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4"/>
        <w:ind w:firstLine="640"/>
        <w:rPr>
          <w:b/>
          <w:color w:val="000000" w:themeColor="text1"/>
          <w:sz w:val="32"/>
          <w14:textFill>
            <w14:solidFill>
              <w14:schemeClr w14:val="tx1"/>
            </w14:solidFill>
          </w14:textFill>
        </w:rPr>
      </w:pPr>
    </w:p>
    <w:p>
      <w:pPr>
        <w:pStyle w:val="14"/>
        <w:rPr>
          <w:b/>
          <w:color w:val="000000" w:themeColor="text1"/>
          <w:sz w:val="32"/>
          <w14:textFill>
            <w14:solidFill>
              <w14:schemeClr w14:val="tx1"/>
            </w14:solidFill>
          </w14:textFill>
        </w:rPr>
      </w:pPr>
    </w:p>
    <w:p>
      <w:pPr>
        <w:pStyle w:val="14"/>
        <w:rPr>
          <w:b/>
          <w:color w:val="000000" w:themeColor="text1"/>
          <w:sz w:val="32"/>
          <w14:textFill>
            <w14:solidFill>
              <w14:schemeClr w14:val="tx1"/>
            </w14:solidFill>
          </w14:textFill>
        </w:rPr>
      </w:pPr>
    </w:p>
    <w:p>
      <w:pPr>
        <w:spacing w:line="365" w:lineRule="auto"/>
        <w:jc w:val="center"/>
        <w:rPr>
          <w:rFonts w:eastAsia="黑体"/>
          <w:b/>
          <w:color w:val="000000" w:themeColor="text1"/>
          <w:sz w:val="48"/>
          <w:szCs w:val="48"/>
          <w14:textFill>
            <w14:solidFill>
              <w14:schemeClr w14:val="tx1"/>
            </w14:solidFill>
          </w14:textFill>
        </w:rPr>
      </w:pPr>
      <w:r>
        <w:rPr>
          <w:rFonts w:hint="eastAsia" w:eastAsia="黑体"/>
          <w:b/>
          <w:color w:val="000000" w:themeColor="text1"/>
          <w:sz w:val="48"/>
          <w:szCs w:val="48"/>
          <w14:textFill>
            <w14:solidFill>
              <w14:schemeClr w14:val="tx1"/>
            </w14:solidFill>
          </w14:textFill>
        </w:rPr>
        <w:t>成都市环城生态区农田综合整治及农业灌区设施建设项目灌区水利设施建设（二标段）一期</w:t>
      </w:r>
    </w:p>
    <w:p>
      <w:pPr>
        <w:pStyle w:val="14"/>
        <w:rPr>
          <w:color w:val="000000" w:themeColor="text1"/>
          <w14:textFill>
            <w14:solidFill>
              <w14:schemeClr w14:val="tx1"/>
            </w14:solidFill>
          </w14:textFill>
        </w:rPr>
      </w:pPr>
    </w:p>
    <w:p>
      <w:pPr>
        <w:pStyle w:val="14"/>
        <w:rPr>
          <w:rFonts w:eastAsia="黑体"/>
          <w:b/>
          <w:color w:val="000000" w:themeColor="text1"/>
          <w:sz w:val="48"/>
          <w:szCs w:val="48"/>
          <w14:textFill>
            <w14:solidFill>
              <w14:schemeClr w14:val="tx1"/>
            </w14:solidFill>
          </w14:textFill>
        </w:rPr>
      </w:pPr>
    </w:p>
    <w:p>
      <w:pPr>
        <w:pStyle w:val="14"/>
        <w:rPr>
          <w:rFonts w:eastAsia="黑体"/>
          <w:b/>
          <w:color w:val="000000" w:themeColor="text1"/>
          <w:sz w:val="48"/>
          <w:szCs w:val="48"/>
          <w14:textFill>
            <w14:solidFill>
              <w14:schemeClr w14:val="tx1"/>
            </w14:solidFill>
          </w14:textFill>
        </w:rPr>
      </w:pPr>
    </w:p>
    <w:p>
      <w:pPr>
        <w:ind w:left="856" w:right="876"/>
        <w:jc w:val="center"/>
        <w:rPr>
          <w:rFonts w:eastAsia="黑体"/>
          <w:b/>
          <w:color w:val="000000" w:themeColor="text1"/>
          <w:sz w:val="84"/>
          <w14:textFill>
            <w14:solidFill>
              <w14:schemeClr w14:val="tx1"/>
            </w14:solidFill>
          </w14:textFill>
        </w:rPr>
      </w:pPr>
      <w:r>
        <w:rPr>
          <w:rFonts w:eastAsia="黑体"/>
          <w:b/>
          <w:color w:val="000000" w:themeColor="text1"/>
          <w:sz w:val="84"/>
          <w14:textFill>
            <w14:solidFill>
              <w14:schemeClr w14:val="tx1"/>
            </w14:solidFill>
          </w14:textFill>
        </w:rPr>
        <w:t>环境影响报告书</w:t>
      </w:r>
    </w:p>
    <w:p>
      <w:pPr>
        <w:spacing w:before="554"/>
        <w:ind w:left="859" w:right="874"/>
        <w:jc w:val="center"/>
        <w:rPr>
          <w:rFonts w:eastAsia="黑体"/>
          <w:b/>
          <w:color w:val="000000" w:themeColor="text1"/>
          <w:sz w:val="48"/>
          <w14:textFill>
            <w14:solidFill>
              <w14:schemeClr w14:val="tx1"/>
            </w14:solidFill>
          </w14:textFill>
        </w:rPr>
      </w:pPr>
      <w:r>
        <w:rPr>
          <w:rFonts w:eastAsia="黑体"/>
          <w:b/>
          <w:color w:val="000000" w:themeColor="text1"/>
          <w:sz w:val="48"/>
          <w14:textFill>
            <w14:solidFill>
              <w14:schemeClr w14:val="tx1"/>
            </w14:solidFill>
          </w14:textFill>
        </w:rPr>
        <w:t>（</w:t>
      </w:r>
      <w:r>
        <w:rPr>
          <w:rFonts w:hint="eastAsia" w:eastAsia="黑体"/>
          <w:b/>
          <w:color w:val="000000" w:themeColor="text1"/>
          <w:sz w:val="48"/>
          <w:lang w:val="en-US" w:eastAsia="zh-CN"/>
          <w14:textFill>
            <w14:solidFill>
              <w14:schemeClr w14:val="tx1"/>
            </w14:solidFill>
          </w14:textFill>
        </w:rPr>
        <w:t>报批</w:t>
      </w:r>
      <w:r>
        <w:rPr>
          <w:rFonts w:eastAsia="黑体"/>
          <w:b/>
          <w:color w:val="000000" w:themeColor="text1"/>
          <w:sz w:val="48"/>
          <w14:textFill>
            <w14:solidFill>
              <w14:schemeClr w14:val="tx1"/>
            </w14:solidFill>
          </w14:textFill>
        </w:rPr>
        <w:t>稿）</w:t>
      </w:r>
    </w:p>
    <w:p>
      <w:pPr>
        <w:pStyle w:val="14"/>
        <w:rPr>
          <w:b/>
          <w:color w:val="000000" w:themeColor="text1"/>
          <w:sz w:val="48"/>
          <w14:textFill>
            <w14:solidFill>
              <w14:schemeClr w14:val="tx1"/>
            </w14:solidFill>
          </w14:textFill>
        </w:rPr>
      </w:pPr>
    </w:p>
    <w:p>
      <w:pPr>
        <w:pStyle w:val="14"/>
        <w:rPr>
          <w:b/>
          <w:color w:val="000000" w:themeColor="text1"/>
          <w:sz w:val="48"/>
          <w14:textFill>
            <w14:solidFill>
              <w14:schemeClr w14:val="tx1"/>
            </w14:solidFill>
          </w14:textFill>
        </w:rPr>
      </w:pPr>
    </w:p>
    <w:p>
      <w:pPr>
        <w:pStyle w:val="14"/>
        <w:rPr>
          <w:b/>
          <w:color w:val="000000" w:themeColor="text1"/>
          <w:sz w:val="48"/>
          <w14:textFill>
            <w14:solidFill>
              <w14:schemeClr w14:val="tx1"/>
            </w14:solidFill>
          </w14:textFill>
        </w:rPr>
      </w:pPr>
    </w:p>
    <w:p>
      <w:pPr>
        <w:pStyle w:val="14"/>
        <w:rPr>
          <w:b/>
          <w:color w:val="000000" w:themeColor="text1"/>
          <w:sz w:val="48"/>
          <w14:textFill>
            <w14:solidFill>
              <w14:schemeClr w14:val="tx1"/>
            </w14:solidFill>
          </w14:textFill>
        </w:rPr>
      </w:pPr>
    </w:p>
    <w:p>
      <w:pPr>
        <w:pStyle w:val="14"/>
        <w:rPr>
          <w:b/>
          <w:color w:val="000000" w:themeColor="text1"/>
          <w:sz w:val="48"/>
          <w14:textFill>
            <w14:solidFill>
              <w14:schemeClr w14:val="tx1"/>
            </w14:solidFill>
          </w14:textFill>
        </w:rPr>
      </w:pPr>
    </w:p>
    <w:p>
      <w:pPr>
        <w:pStyle w:val="14"/>
        <w:rPr>
          <w:b/>
          <w:color w:val="000000" w:themeColor="text1"/>
          <w:sz w:val="48"/>
          <w14:textFill>
            <w14:solidFill>
              <w14:schemeClr w14:val="tx1"/>
            </w14:solidFill>
          </w14:textFill>
        </w:rPr>
      </w:pPr>
    </w:p>
    <w:p>
      <w:pPr>
        <w:pStyle w:val="14"/>
        <w:rPr>
          <w:b/>
          <w:color w:val="000000" w:themeColor="text1"/>
          <w:sz w:val="48"/>
          <w14:textFill>
            <w14:solidFill>
              <w14:schemeClr w14:val="tx1"/>
            </w14:solidFill>
          </w14:textFill>
        </w:rPr>
      </w:pPr>
    </w:p>
    <w:p>
      <w:pPr>
        <w:spacing w:line="360" w:lineRule="auto"/>
        <w:jc w:val="center"/>
        <w:rPr>
          <w:rFonts w:eastAsia="黑体"/>
          <w:b/>
          <w:color w:val="000000" w:themeColor="text1"/>
          <w:sz w:val="32"/>
          <w:szCs w:val="32"/>
          <w14:textFill>
            <w14:solidFill>
              <w14:schemeClr w14:val="tx1"/>
            </w14:solidFill>
          </w14:textFill>
        </w:rPr>
      </w:pPr>
      <w:bookmarkStart w:id="0" w:name="_Toc17387757"/>
      <w:bookmarkStart w:id="1" w:name="_Toc14970882"/>
      <w:r>
        <w:rPr>
          <w:rFonts w:eastAsia="黑体"/>
          <w:b/>
          <w:color w:val="000000" w:themeColor="text1"/>
          <w:sz w:val="32"/>
          <w:szCs w:val="32"/>
          <w14:textFill>
            <w14:solidFill>
              <w14:schemeClr w14:val="tx1"/>
            </w14:solidFill>
          </w14:textFill>
        </w:rPr>
        <w:t>建设单位：</w:t>
      </w:r>
      <w:bookmarkEnd w:id="0"/>
      <w:bookmarkEnd w:id="1"/>
      <w:r>
        <w:rPr>
          <w:rFonts w:hint="eastAsia" w:eastAsia="黑体"/>
          <w:b/>
          <w:color w:val="000000" w:themeColor="text1"/>
          <w:sz w:val="32"/>
          <w:szCs w:val="32"/>
          <w14:textFill>
            <w14:solidFill>
              <w14:schemeClr w14:val="tx1"/>
            </w14:solidFill>
          </w14:textFill>
        </w:rPr>
        <w:t>成都天府绿道建设投资集团有限公司</w:t>
      </w:r>
    </w:p>
    <w:p>
      <w:pPr>
        <w:spacing w:line="360" w:lineRule="auto"/>
        <w:jc w:val="center"/>
        <w:rPr>
          <w:rFonts w:eastAsia="黑体"/>
          <w:b/>
          <w:color w:val="000000" w:themeColor="text1"/>
          <w:sz w:val="32"/>
          <w:szCs w:val="32"/>
          <w14:textFill>
            <w14:solidFill>
              <w14:schemeClr w14:val="tx1"/>
            </w14:solidFill>
          </w14:textFill>
        </w:rPr>
      </w:pPr>
      <w:r>
        <w:rPr>
          <w:rFonts w:eastAsia="黑体"/>
          <w:b/>
          <w:color w:val="000000" w:themeColor="text1"/>
          <w:sz w:val="32"/>
          <w:szCs w:val="32"/>
          <w14:textFill>
            <w14:solidFill>
              <w14:schemeClr w14:val="tx1"/>
            </w14:solidFill>
          </w14:textFill>
        </w:rPr>
        <w:t>评价单位：四川环川盛达环保科技有限责任公司</w:t>
      </w:r>
    </w:p>
    <w:p>
      <w:pPr>
        <w:spacing w:line="360" w:lineRule="auto"/>
        <w:jc w:val="center"/>
        <w:rPr>
          <w:rFonts w:eastAsia="黑体"/>
          <w:b/>
          <w:color w:val="000000" w:themeColor="text1"/>
          <w:sz w:val="32"/>
          <w:szCs w:val="32"/>
          <w14:textFill>
            <w14:solidFill>
              <w14:schemeClr w14:val="tx1"/>
            </w14:solidFill>
          </w14:textFill>
        </w:rPr>
      </w:pPr>
      <w:r>
        <w:rPr>
          <w:rFonts w:eastAsia="黑体"/>
          <w:b/>
          <w:color w:val="000000" w:themeColor="text1"/>
          <w:sz w:val="32"/>
          <w:szCs w:val="32"/>
          <w14:textFill>
            <w14:solidFill>
              <w14:schemeClr w14:val="tx1"/>
            </w14:solidFill>
          </w14:textFill>
        </w:rPr>
        <w:t>编制日期：二零</w:t>
      </w:r>
      <w:bookmarkStart w:id="902" w:name="_GoBack"/>
      <w:bookmarkEnd w:id="902"/>
      <w:r>
        <w:rPr>
          <w:rFonts w:eastAsia="黑体"/>
          <w:b/>
          <w:color w:val="000000" w:themeColor="text1"/>
          <w:sz w:val="32"/>
          <w:szCs w:val="32"/>
          <w14:textFill>
            <w14:solidFill>
              <w14:schemeClr w14:val="tx1"/>
            </w14:solidFill>
          </w14:textFill>
        </w:rPr>
        <w:t>二</w:t>
      </w:r>
      <w:r>
        <w:rPr>
          <w:rFonts w:hint="eastAsia" w:eastAsia="黑体"/>
          <w:b/>
          <w:color w:val="000000" w:themeColor="text1"/>
          <w:sz w:val="32"/>
          <w:szCs w:val="32"/>
          <w14:textFill>
            <w14:solidFill>
              <w14:schemeClr w14:val="tx1"/>
            </w14:solidFill>
          </w14:textFill>
        </w:rPr>
        <w:t>四</w:t>
      </w:r>
      <w:r>
        <w:rPr>
          <w:rFonts w:eastAsia="黑体"/>
          <w:b/>
          <w:color w:val="000000" w:themeColor="text1"/>
          <w:sz w:val="32"/>
          <w:szCs w:val="32"/>
          <w14:textFill>
            <w14:solidFill>
              <w14:schemeClr w14:val="tx1"/>
            </w14:solidFill>
          </w14:textFill>
        </w:rPr>
        <w:t>年</w:t>
      </w:r>
      <w:r>
        <w:rPr>
          <w:rFonts w:hint="eastAsia" w:eastAsia="黑体"/>
          <w:b/>
          <w:color w:val="000000" w:themeColor="text1"/>
          <w:sz w:val="32"/>
          <w:szCs w:val="32"/>
          <w:lang w:val="en-US" w:eastAsia="zh-CN"/>
          <w14:textFill>
            <w14:solidFill>
              <w14:schemeClr w14:val="tx1"/>
            </w14:solidFill>
          </w14:textFill>
        </w:rPr>
        <w:t>五</w:t>
      </w:r>
      <w:r>
        <w:rPr>
          <w:rFonts w:eastAsia="黑体"/>
          <w:b/>
          <w:color w:val="000000" w:themeColor="text1"/>
          <w:sz w:val="32"/>
          <w:szCs w:val="32"/>
          <w14:textFill>
            <w14:solidFill>
              <w14:schemeClr w14:val="tx1"/>
            </w14:solidFill>
          </w14:textFill>
        </w:rPr>
        <w:t>月</w:t>
      </w:r>
    </w:p>
    <w:p>
      <w:pPr>
        <w:spacing w:line="364" w:lineRule="auto"/>
        <w:ind w:firstLine="643"/>
        <w:jc w:val="center"/>
        <w:rPr>
          <w:rFonts w:eastAsia="黑体"/>
          <w:color w:val="000000" w:themeColor="text1"/>
          <w:sz w:val="32"/>
          <w14:textFill>
            <w14:solidFill>
              <w14:schemeClr w14:val="tx1"/>
            </w14:solidFill>
          </w14:textFill>
        </w:rPr>
        <w:sectPr>
          <w:type w:val="continuous"/>
          <w:pgSz w:w="11910" w:h="16840"/>
          <w:pgMar w:top="1400" w:right="1420" w:bottom="280" w:left="1440" w:header="720" w:footer="720" w:gutter="0"/>
          <w:pgBorders>
            <w:top w:val="none" w:sz="0" w:space="0"/>
            <w:left w:val="none" w:sz="0" w:space="0"/>
            <w:bottom w:val="none" w:sz="0" w:space="0"/>
            <w:right w:val="none" w:sz="0" w:space="0"/>
          </w:pgBorders>
          <w:cols w:space="720" w:num="1"/>
        </w:sectPr>
      </w:pPr>
    </w:p>
    <w:sdt>
      <w:sdtPr>
        <w:rPr>
          <w:rFonts w:hint="eastAsia" w:ascii="宋体" w:hAnsi="宋体" w:eastAsia="宋体" w:cs="宋体"/>
          <w:b/>
          <w:bCs/>
          <w:color w:val="000000" w:themeColor="text1"/>
          <w:sz w:val="28"/>
          <w:szCs w:val="28"/>
          <w:lang w:val="zh-CN"/>
          <w14:textFill>
            <w14:solidFill>
              <w14:schemeClr w14:val="tx1"/>
            </w14:solidFill>
          </w14:textFill>
        </w:rPr>
        <w:id w:val="-1238087519"/>
        <w:docPartObj>
          <w:docPartGallery w:val="Table of Contents"/>
          <w:docPartUnique/>
        </w:docPartObj>
      </w:sdtPr>
      <w:sdtEndPr>
        <w:rPr>
          <w:rFonts w:hint="eastAsia" w:ascii="Times New Roman" w:hAnsi="Times New Roman" w:eastAsia="宋体" w:cs="宋体"/>
          <w:b w:val="0"/>
          <w:bCs w:val="0"/>
          <w:color w:val="000000" w:themeColor="text1"/>
          <w:sz w:val="21"/>
          <w:szCs w:val="21"/>
          <w:lang w:val="zh-CN"/>
          <w14:textFill>
            <w14:solidFill>
              <w14:schemeClr w14:val="tx1"/>
            </w14:solidFill>
          </w14:textFill>
        </w:rPr>
      </w:sdtEndPr>
      <w:sdtContent>
        <w:p>
          <w:pPr>
            <w:pStyle w:val="66"/>
            <w:ind w:firstLine="422"/>
            <w:jc w:val="center"/>
            <w:rPr>
              <w:rFonts w:hint="eastAsia" w:ascii="宋体" w:hAnsi="宋体" w:eastAsia="宋体" w:cs="宋体"/>
              <w:b/>
              <w:bCs/>
              <w:color w:val="000000" w:themeColor="text1"/>
              <w:sz w:val="28"/>
              <w:szCs w:val="28"/>
              <w14:textFill>
                <w14:solidFill>
                  <w14:schemeClr w14:val="tx1"/>
                </w14:solidFill>
              </w14:textFill>
            </w:rPr>
          </w:pPr>
          <w:bookmarkStart w:id="2" w:name="目__录"/>
          <w:bookmarkEnd w:id="2"/>
          <w:bookmarkStart w:id="3" w:name="_bookmark0"/>
          <w:bookmarkEnd w:id="3"/>
          <w:r>
            <w:rPr>
              <w:rFonts w:hint="eastAsia" w:ascii="宋体" w:hAnsi="宋体" w:eastAsia="宋体" w:cs="宋体"/>
              <w:b/>
              <w:bCs/>
              <w:color w:val="000000" w:themeColor="text1"/>
              <w:sz w:val="28"/>
              <w:szCs w:val="28"/>
              <w:lang w:val="zh-CN"/>
              <w14:textFill>
                <w14:solidFill>
                  <w14:schemeClr w14:val="tx1"/>
                </w14:solidFill>
              </w14:textFill>
            </w:rPr>
            <w:t>目</w:t>
          </w:r>
          <w:r>
            <w:rPr>
              <w:rFonts w:hint="eastAsia" w:ascii="宋体" w:hAnsi="宋体" w:eastAsia="宋体" w:cs="宋体"/>
              <w:b/>
              <w:bCs/>
              <w:color w:val="000000" w:themeColor="text1"/>
              <w:sz w:val="28"/>
              <w:szCs w:val="28"/>
              <w14:textFill>
                <w14:solidFill>
                  <w14:schemeClr w14:val="tx1"/>
                </w14:solidFill>
              </w14:textFill>
            </w:rPr>
            <w:t xml:space="preserve">  </w:t>
          </w:r>
          <w:r>
            <w:rPr>
              <w:rFonts w:hint="eastAsia" w:ascii="宋体" w:hAnsi="宋体" w:eastAsia="宋体" w:cs="宋体"/>
              <w:b/>
              <w:bCs/>
              <w:color w:val="000000" w:themeColor="text1"/>
              <w:sz w:val="28"/>
              <w:szCs w:val="28"/>
              <w:lang w:val="zh-CN"/>
              <w14:textFill>
                <w14:solidFill>
                  <w14:schemeClr w14:val="tx1"/>
                </w14:solidFill>
              </w14:textFill>
            </w:rPr>
            <w:t>录</w:t>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1"/>
              <w:szCs w:val="21"/>
              <w14:textFill>
                <w14:solidFill>
                  <w14:schemeClr w14:val="tx1"/>
                </w14:solidFill>
              </w14:textFill>
            </w:rPr>
            <w:instrText xml:space="preserve"> TOC \o "1-3" \h \z \u </w:instrText>
          </w:r>
          <w:r>
            <w:rPr>
              <w:rFonts w:hint="default" w:ascii="Times New Roman" w:hAnsi="Times New Roman" w:eastAsia="宋体" w:cs="Times New Roman"/>
              <w:b w:val="0"/>
              <w:bCs w:val="0"/>
              <w:color w:val="000000" w:themeColor="text1"/>
              <w:sz w:val="21"/>
              <w:szCs w:val="21"/>
              <w14:textFill>
                <w14:solidFill>
                  <w14:schemeClr w14:val="tx1"/>
                </w14:solidFill>
              </w14:textFill>
            </w:rPr>
            <w:fldChar w:fldCharType="separate"/>
          </w:r>
          <w:r>
            <w:rPr>
              <w:rFonts w:hint="default" w:ascii="Times New Roman" w:hAnsi="Times New Roman" w:eastAsia="宋体" w:cs="Times New Roman"/>
              <w:bCs w:val="0"/>
              <w:color w:val="000000" w:themeColor="text1"/>
              <w:szCs w:val="21"/>
              <w14:textFill>
                <w14:solidFill>
                  <w14:schemeClr w14:val="tx1"/>
                </w14:solidFill>
              </w14:textFill>
            </w:rPr>
            <w:fldChar w:fldCharType="begin"/>
          </w:r>
          <w:r>
            <w:rPr>
              <w:rFonts w:hint="default" w:ascii="Times New Roman" w:hAnsi="Times New Roman" w:eastAsia="宋体" w:cs="Times New Roman"/>
              <w:bCs w:val="0"/>
              <w:color w:val="000000" w:themeColor="text1"/>
              <w:szCs w:val="21"/>
              <w14:textFill>
                <w14:solidFill>
                  <w14:schemeClr w14:val="tx1"/>
                </w14:solidFill>
              </w14:textFill>
            </w:rPr>
            <w:instrText xml:space="preserve"> HYPERLINK \l _Toc22253 </w:instrText>
          </w:r>
          <w:r>
            <w:rPr>
              <w:rFonts w:hint="default" w:ascii="Times New Roman" w:hAnsi="Times New Roman" w:eastAsia="宋体" w:cs="Times New Roman"/>
              <w:bCs w:val="0"/>
              <w:color w:val="000000" w:themeColor="text1"/>
              <w:szCs w:val="2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概述</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_Toc22253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_Toc9296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_Toc9296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_Toc11760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w:t>
          </w:r>
          <w:r>
            <w:rPr>
              <w:rFonts w:hint="eastAsia" w:eastAsia="黑体"/>
              <w:color w:val="000000" w:themeColor="text1"/>
              <w14:textFill>
                <w14:solidFill>
                  <w14:schemeClr w14:val="tx1"/>
                </w14:solidFill>
              </w14:textFill>
            </w:rPr>
            <w:t>1评价目的</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_Toc11760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_Toc18793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1.2编制依据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_Toc18793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_Toc25826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1.2.1国家法律法规和政策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_Toc25826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_Toc24742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1.2.2</w:t>
          </w:r>
          <w:r>
            <w:rPr>
              <w:rFonts w:hint="eastAsia" w:ascii="Times New Roman" w:hAnsi="Times New Roman" w:cs="Times New Roman"/>
              <w:color w:val="000000" w:themeColor="text1"/>
              <w14:textFill>
                <w14:solidFill>
                  <w14:schemeClr w14:val="tx1"/>
                </w14:solidFill>
              </w14:textFill>
            </w:rPr>
            <w:t>地方</w:t>
          </w:r>
          <w:r>
            <w:rPr>
              <w:rFonts w:ascii="Times New Roman" w:hAnsi="Times New Roman" w:cs="Times New Roman"/>
              <w:color w:val="000000" w:themeColor="text1"/>
              <w14:textFill>
                <w14:solidFill>
                  <w14:schemeClr w14:val="tx1"/>
                </w14:solidFill>
              </w14:textFill>
            </w:rPr>
            <w:t>法规和政策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_Toc24742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_Toc12674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1.2.3相关导则及技术规范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_Toc12674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_Toc3112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1.2.4</w:t>
          </w:r>
          <w:r>
            <w:rPr>
              <w:rFonts w:hint="eastAsia" w:ascii="Times New Roman" w:hAnsi="Times New Roman" w:cs="Times New Roman"/>
              <w:color w:val="000000" w:themeColor="text1"/>
              <w14:textFill>
                <w14:solidFill>
                  <w14:schemeClr w14:val="tx1"/>
                </w14:solidFill>
              </w14:textFill>
            </w:rPr>
            <w:t>技术标准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_Toc3112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_Toc3771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项目文件及相关资料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_Toc3771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_Toc8418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1.3评价</w:t>
          </w:r>
          <w:r>
            <w:rPr>
              <w:rFonts w:hint="eastAsia" w:eastAsia="黑体"/>
              <w:color w:val="000000" w:themeColor="text1"/>
              <w14:textFill>
                <w14:solidFill>
                  <w14:schemeClr w14:val="tx1"/>
                </w14:solidFill>
              </w14:textFill>
            </w:rPr>
            <w:t>原则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_Toc8418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_Toc26751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1.4环境影响因素识别、评价因子筛选、评价标准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_Toc26751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_Toc29791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1.4.1环境影响因素识别</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_Toc29791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_Toc20932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1.4.2工程环境影响的矩阵筛选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_Toc20932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_Toc31474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1.4.3环境影响评价因子识别、评价因子筛选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_Toc31474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_Toc11778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1.4.4评价标准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_Toc11778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_Toc28920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1.5评价工作等级和评价</w:t>
          </w:r>
          <w:r>
            <w:rPr>
              <w:rFonts w:hint="eastAsia" w:eastAsia="黑体"/>
              <w:color w:val="000000" w:themeColor="text1"/>
              <w14:textFill>
                <w14:solidFill>
                  <w14:schemeClr w14:val="tx1"/>
                </w14:solidFill>
              </w14:textFill>
            </w:rPr>
            <w:t>范围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_Toc28920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_Toc7128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1.5.1</w:t>
          </w:r>
          <w:r>
            <w:rPr>
              <w:rFonts w:hint="eastAsia" w:ascii="Times New Roman" w:hAnsi="Times New Roman" w:cs="Times New Roman"/>
              <w:color w:val="000000" w:themeColor="text1"/>
              <w14:textFill>
                <w14:solidFill>
                  <w14:schemeClr w14:val="tx1"/>
                </w14:solidFill>
              </w14:textFill>
            </w:rPr>
            <w:t>大气环境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_Toc7128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_Toc26464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2地表水环境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_Toc26464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_Toc27140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3声环境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_Toc27140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_Toc5458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4地下水环境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_Toc5458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_Toc4324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5土壤环境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_Toc4324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_Toc8235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6生态环境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_Toc8235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_Toc15631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7环境风险</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_Toc15631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_Toc21539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评价工作等级小结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_Toc21539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_Toc23384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1.6评价时段</w:t>
          </w:r>
          <w:r>
            <w:rPr>
              <w:rFonts w:hint="eastAsia" w:eastAsia="黑体"/>
              <w:color w:val="000000" w:themeColor="text1"/>
              <w14:textFill>
                <w14:solidFill>
                  <w14:schemeClr w14:val="tx1"/>
                </w14:solidFill>
              </w14:textFill>
            </w:rPr>
            <w:t>及评价重点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_Toc23384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_Toc24750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1.6.1评价</w:t>
          </w:r>
          <w:r>
            <w:rPr>
              <w:rFonts w:hint="eastAsia" w:ascii="Times New Roman" w:hAnsi="Times New Roman" w:cs="Times New Roman"/>
              <w:color w:val="000000" w:themeColor="text1"/>
              <w14:textFill>
                <w14:solidFill>
                  <w14:schemeClr w14:val="tx1"/>
                </w14:solidFill>
              </w14:textFill>
            </w:rPr>
            <w:t>时段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_Toc24750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_Toc11802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1.6.</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评价</w:t>
          </w:r>
          <w:r>
            <w:rPr>
              <w:rFonts w:hint="eastAsia" w:ascii="Times New Roman" w:hAnsi="Times New Roman" w:cs="Times New Roman"/>
              <w:color w:val="000000" w:themeColor="text1"/>
              <w14:textFill>
                <w14:solidFill>
                  <w14:schemeClr w14:val="tx1"/>
                </w14:solidFill>
              </w14:textFill>
            </w:rPr>
            <w:t>重点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_Toc11802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_Toc29368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1.7产业政策符合性分析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_Toc29368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_Toc3753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1.8相关规划符合性分析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_Toc3753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_Toc27683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1.8.1</w:t>
          </w:r>
          <w:r>
            <w:rPr>
              <w:rFonts w:hint="eastAsia" w:ascii="Times New Roman" w:hAnsi="Times New Roman" w:cs="Times New Roman"/>
              <w:color w:val="000000" w:themeColor="text1"/>
              <w14:textFill>
                <w14:solidFill>
                  <w14:schemeClr w14:val="tx1"/>
                </w14:solidFill>
              </w14:textFill>
            </w:rPr>
            <w:t>与《成都市国民经济和社会发展第十四个五年规划和二〇三五年远景目标纲要》符合性分析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_Toc27683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_Toc13251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1.8.2与《成都市环城生态区总体规划》符合性分析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_Toc13251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_Toc8432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1.8.3</w:t>
          </w:r>
          <w:r>
            <w:rPr>
              <w:rFonts w:hint="eastAsia" w:ascii="Times New Roman" w:hAnsi="Times New Roman" w:cs="Times New Roman"/>
              <w:color w:val="000000" w:themeColor="text1"/>
              <w14:textFill>
                <w14:solidFill>
                  <w14:schemeClr w14:val="tx1"/>
                </w14:solidFill>
              </w14:textFill>
            </w:rPr>
            <w:t>与《成都市“十四五”农业农村现代化规划》符合性分析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_Toc8365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1.8.4与《</w:t>
          </w:r>
          <w:r>
            <w:rPr>
              <w:rFonts w:hint="eastAsia" w:ascii="Times New Roman" w:hAnsi="Times New Roman" w:cs="Times New Roman"/>
              <w:color w:val="000000" w:themeColor="text1"/>
              <w:lang w:val="en-US" w:eastAsia="zh-CN"/>
              <w14:textFill>
                <w14:solidFill>
                  <w14:schemeClr w14:val="tx1"/>
                </w14:solidFill>
              </w14:textFill>
            </w:rPr>
            <w:t>四川省沱</w:t>
          </w:r>
          <w:r>
            <w:rPr>
              <w:rFonts w:hint="eastAsia" w:ascii="Times New Roman" w:hAnsi="Times New Roman" w:cs="Times New Roman"/>
              <w:color w:val="000000" w:themeColor="text1"/>
              <w14:textFill>
                <w14:solidFill>
                  <w14:schemeClr w14:val="tx1"/>
                </w14:solidFill>
              </w14:textFill>
            </w:rPr>
            <w:t>江流域综合规划》符合性分析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_Toc8365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_Toc20823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与</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沱</w:t>
          </w:r>
          <w:r>
            <w:rPr>
              <w:rFonts w:hint="default" w:ascii="Times New Roman" w:hAnsi="Times New Roman" w:cs="Times New Roman"/>
              <w:color w:val="000000" w:themeColor="text1"/>
              <w:lang w:val="en-US" w:eastAsia="zh-CN"/>
              <w14:textFill>
                <w14:solidFill>
                  <w14:schemeClr w14:val="tx1"/>
                </w14:solidFill>
              </w14:textFill>
            </w:rPr>
            <w:t>江流域综合规划环境影响报告书》及审查意见</w:t>
          </w:r>
          <w:r>
            <w:rPr>
              <w:rFonts w:hint="eastAsia" w:ascii="Times New Roman" w:hAnsi="Times New Roman" w:cs="Times New Roman"/>
              <w:color w:val="000000" w:themeColor="text1"/>
              <w14:textFill>
                <w14:solidFill>
                  <w14:schemeClr w14:val="tx1"/>
                </w14:solidFill>
              </w14:textFill>
            </w:rPr>
            <w:t>的符合性分析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_Toc20823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_Toc24234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6</w:t>
          </w:r>
          <w:r>
            <w:rPr>
              <w:rFonts w:hint="eastAsia" w:ascii="Times New Roman" w:hAnsi="Times New Roman" w:cs="Times New Roman"/>
              <w:color w:val="000000" w:themeColor="text1"/>
              <w14:textFill>
                <w14:solidFill>
                  <w14:schemeClr w14:val="tx1"/>
                </w14:solidFill>
              </w14:textFill>
            </w:rPr>
            <w:t>与《成都市“十四五”水务发展规划》符合性分析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_Toc24234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_Toc3049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7</w:t>
          </w:r>
          <w:r>
            <w:rPr>
              <w:rFonts w:hint="eastAsia" w:ascii="Times New Roman" w:hAnsi="Times New Roman" w:cs="Times New Roman"/>
              <w:color w:val="000000" w:themeColor="text1"/>
              <w14:textFill>
                <w14:solidFill>
                  <w14:schemeClr w14:val="tx1"/>
                </w14:solidFill>
              </w14:textFill>
            </w:rPr>
            <w:t>与《龙泉花果山风景名胜区总体规划(2022-2035年)》符合性分析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_Toc11001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8</w:t>
          </w:r>
          <w:r>
            <w:rPr>
              <w:rFonts w:hint="eastAsia" w:ascii="Times New Roman" w:hAnsi="Times New Roman" w:cs="Times New Roman"/>
              <w:color w:val="000000" w:themeColor="text1"/>
              <w14:textFill>
                <w14:solidFill>
                  <w14:schemeClr w14:val="tx1"/>
                </w14:solidFill>
              </w14:textFill>
            </w:rPr>
            <w:t>与《风景名胜区管理条例》、《四川省风景名胜区管理条例》符合性分析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_Toc11001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_Toc9751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9</w:t>
          </w:r>
          <w:r>
            <w:rPr>
              <w:rFonts w:hint="eastAsia" w:ascii="Times New Roman" w:hAnsi="Times New Roman" w:cs="Times New Roman"/>
              <w:color w:val="000000" w:themeColor="text1"/>
              <w14:textFill>
                <w14:solidFill>
                  <w14:schemeClr w14:val="tx1"/>
                </w14:solidFill>
              </w14:textFill>
            </w:rPr>
            <w:t>与《四川省饮用水水源保护管理条例》、《成都市饮用水水源保护条例》符合性分析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_Toc9751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_Toc1475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10</w:t>
          </w:r>
          <w:r>
            <w:rPr>
              <w:rFonts w:hint="eastAsia" w:ascii="Times New Roman" w:hAnsi="Times New Roman" w:cs="Times New Roman"/>
              <w:color w:val="000000" w:themeColor="text1"/>
              <w14:textFill>
                <w14:solidFill>
                  <w14:schemeClr w14:val="tx1"/>
                </w14:solidFill>
              </w14:textFill>
            </w:rPr>
            <w:t>与《四川省、重庆市长江经济带发展负面清单实施细则》（试行、2022年版）的通知的符合性分析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_Toc9689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1.8.1</w:t>
          </w:r>
          <w:r>
            <w:rPr>
              <w:rFonts w:hint="eastAsia" w:ascii="Times New Roman" w:hAnsi="Times New Roman"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与《中华人民共和国河道管理条例》的符合性分析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_Toc9689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_Toc12724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1.8.1</w:t>
          </w:r>
          <w:r>
            <w:rPr>
              <w:rFonts w:hint="eastAsia" w:ascii="Times New Roman" w:hAnsi="Times New Roman" w:cs="Times New Roman"/>
              <w:color w:val="000000" w:themeColor="text1"/>
              <w:lang w:val="en-US" w:eastAsia="zh-CN"/>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与水污染防治法律法规政策及生态环境保护规划的符合性分析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_Toc12724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_Toc3452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1.8.1</w:t>
          </w:r>
          <w:r>
            <w:rPr>
              <w:rFonts w:hint="eastAsia" w:ascii="Times New Roman" w:hAnsi="Times New Roman"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与《成都市环城生态区保护条例》的符合性分析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_Toc3452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_Toc28937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1.9与“三线一单”符合性分析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_Toc28937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_Toc17119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1.1</w:t>
          </w:r>
          <w:r>
            <w:rPr>
              <w:rFonts w:hint="eastAsia" w:eastAsia="黑体"/>
              <w:color w:val="000000" w:themeColor="text1"/>
              <w14:textFill>
                <w14:solidFill>
                  <w14:schemeClr w14:val="tx1"/>
                </w14:solidFill>
              </w14:textFill>
            </w:rPr>
            <w:t>0</w:t>
          </w:r>
          <w:r>
            <w:rPr>
              <w:rFonts w:eastAsia="黑体"/>
              <w:color w:val="000000" w:themeColor="text1"/>
              <w14:textFill>
                <w14:solidFill>
                  <w14:schemeClr w14:val="tx1"/>
                </w14:solidFill>
              </w14:textFill>
            </w:rPr>
            <w:t>项目外环境关系</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_Toc17119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_Toc29785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.1项目外环境关系</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_Toc29785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_Toc21931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临时堆土场</w:t>
          </w:r>
          <w:r>
            <w:rPr>
              <w:rFonts w:ascii="Times New Roman" w:hAnsi="Times New Roman" w:cs="Times New Roman"/>
              <w:color w:val="000000" w:themeColor="text1"/>
              <w14:textFill>
                <w14:solidFill>
                  <w14:schemeClr w14:val="tx1"/>
                </w14:solidFill>
              </w14:textFill>
            </w:rPr>
            <w:t>外环境关系</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_Toc21931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_Toc20582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3施工工区</w:t>
          </w:r>
          <w:r>
            <w:rPr>
              <w:rFonts w:ascii="Times New Roman" w:hAnsi="Times New Roman" w:cs="Times New Roman"/>
              <w:color w:val="000000" w:themeColor="text1"/>
              <w14:textFill>
                <w14:solidFill>
                  <w14:schemeClr w14:val="tx1"/>
                </w14:solidFill>
              </w14:textFill>
            </w:rPr>
            <w:t>外环境关系</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_Toc20582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_Toc17487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1.1</w:t>
          </w:r>
          <w:r>
            <w:rPr>
              <w:rFonts w:hint="eastAsia" w:eastAsia="黑体"/>
              <w:color w:val="000000" w:themeColor="text1"/>
              <w14:textFill>
                <w14:solidFill>
                  <w14:schemeClr w14:val="tx1"/>
                </w14:solidFill>
              </w14:textFill>
            </w:rPr>
            <w:t>1</w:t>
          </w:r>
          <w:r>
            <w:rPr>
              <w:rFonts w:eastAsia="黑体"/>
              <w:color w:val="000000" w:themeColor="text1"/>
              <w14:textFill>
                <w14:solidFill>
                  <w14:schemeClr w14:val="tx1"/>
                </w14:solidFill>
              </w14:textFill>
            </w:rPr>
            <w:t>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_Toc17487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_Toc15288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.1环境空气保护目标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_Toc15288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_Toc7615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.2地表水环境保护目标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_Toc7615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_Toc6611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.3声环境保护目标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_Toc3659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.4生态环境</w:t>
          </w:r>
          <w:r>
            <w:rPr>
              <w:rFonts w:hint="eastAsia" w:ascii="Times New Roman" w:hAnsi="Times New Roman" w:cs="Times New Roman"/>
              <w:color w:val="000000" w:themeColor="text1"/>
              <w14:textFill>
                <w14:solidFill>
                  <w14:schemeClr w14:val="tx1"/>
                </w14:solidFill>
              </w14:textFill>
            </w:rPr>
            <w:t>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_Toc3659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_Toc18750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kern w:val="0"/>
              <w14:textFill>
                <w14:solidFill>
                  <w14:schemeClr w14:val="tx1"/>
                </w14:solidFill>
              </w14:textFill>
            </w:rPr>
            <w:t>项目概况与工程分析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_Toc18750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_Toc6148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2.1流域概况及开发利用情况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_Toc6148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_Toc4800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2.2项目概况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_Toc4800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_Toc31635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2.2.1项目基本情况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_Toc31635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_Toc19319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2.2.2工程布置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_Toc19319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_Toc15462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2.2.3</w:t>
          </w:r>
          <w:r>
            <w:rPr>
              <w:rFonts w:hint="eastAsia" w:eastAsia="黑体"/>
              <w:color w:val="000000" w:themeColor="text1"/>
              <w:kern w:val="0"/>
              <w:szCs w:val="24"/>
              <w14:textFill>
                <w14:solidFill>
                  <w14:schemeClr w14:val="tx1"/>
                </w14:solidFill>
              </w14:textFill>
            </w:rPr>
            <w:t>灌排渠系</w:t>
          </w:r>
          <w:r>
            <w:rPr>
              <w:rFonts w:eastAsia="黑体"/>
              <w:color w:val="000000" w:themeColor="text1"/>
              <w:kern w:val="0"/>
              <w:szCs w:val="24"/>
              <w14:textFill>
                <w14:solidFill>
                  <w14:schemeClr w14:val="tx1"/>
                </w14:solidFill>
              </w14:textFill>
            </w:rPr>
            <w:t>现状及存在的主要问题</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_Toc15462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_Toc2230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2.2.4项目组成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_Toc17309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2.3</w:t>
          </w:r>
          <w:r>
            <w:rPr>
              <w:rFonts w:hint="eastAsia" w:eastAsia="黑体"/>
              <w:bCs/>
              <w:color w:val="000000" w:themeColor="text1"/>
              <w:kern w:val="0"/>
              <w:szCs w:val="32"/>
              <w14:textFill>
                <w14:solidFill>
                  <w14:schemeClr w14:val="tx1"/>
                </w14:solidFill>
              </w14:textFill>
            </w:rPr>
            <w:t>工程</w:t>
          </w:r>
          <w:r>
            <w:rPr>
              <w:rFonts w:eastAsia="黑体"/>
              <w:bCs/>
              <w:color w:val="000000" w:themeColor="text1"/>
              <w:kern w:val="0"/>
              <w:szCs w:val="32"/>
              <w14:textFill>
                <w14:solidFill>
                  <w14:schemeClr w14:val="tx1"/>
                </w14:solidFill>
              </w14:textFill>
            </w:rPr>
            <w:t>设计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_Toc17309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_Toc31697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2.3.1</w:t>
          </w:r>
          <w:r>
            <w:rPr>
              <w:rFonts w:hint="eastAsia" w:eastAsia="黑体"/>
              <w:color w:val="000000" w:themeColor="text1"/>
              <w:kern w:val="0"/>
              <w:szCs w:val="24"/>
              <w14:textFill>
                <w14:solidFill>
                  <w14:schemeClr w14:val="tx1"/>
                </w14:solidFill>
              </w14:textFill>
            </w:rPr>
            <w:t>灌排水工程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_Toc31697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_Toc32553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2.3.2</w:t>
          </w:r>
          <w:r>
            <w:rPr>
              <w:rFonts w:hint="eastAsia" w:eastAsia="黑体"/>
              <w:color w:val="000000" w:themeColor="text1"/>
              <w:kern w:val="0"/>
              <w:szCs w:val="24"/>
              <w14:textFill>
                <w14:solidFill>
                  <w14:schemeClr w14:val="tx1"/>
                </w14:solidFill>
              </w14:textFill>
            </w:rPr>
            <w:t>渠系建筑物工程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_Toc32553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_Toc32059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2.3.</w:t>
          </w:r>
          <w:r>
            <w:rPr>
              <w:rFonts w:hint="eastAsia" w:eastAsia="黑体"/>
              <w:color w:val="000000" w:themeColor="text1"/>
              <w:kern w:val="0"/>
              <w:szCs w:val="24"/>
              <w14:textFill>
                <w14:solidFill>
                  <w14:schemeClr w14:val="tx1"/>
                </w14:solidFill>
              </w14:textFill>
            </w:rPr>
            <w:t>3清淤工程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_Toc32059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_Toc1769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3</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4工程特性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_Toc18851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2.</w:t>
          </w:r>
          <w:r>
            <w:rPr>
              <w:rFonts w:hint="eastAsia" w:eastAsia="黑体"/>
              <w:bCs/>
              <w:color w:val="000000" w:themeColor="text1"/>
              <w:kern w:val="0"/>
              <w:szCs w:val="32"/>
              <w14:textFill>
                <w14:solidFill>
                  <w14:schemeClr w14:val="tx1"/>
                </w14:solidFill>
              </w14:textFill>
            </w:rPr>
            <w:t>4</w:t>
          </w:r>
          <w:r>
            <w:rPr>
              <w:rFonts w:eastAsia="黑体"/>
              <w:bCs/>
              <w:color w:val="000000" w:themeColor="text1"/>
              <w:kern w:val="0"/>
              <w:szCs w:val="32"/>
              <w14:textFill>
                <w14:solidFill>
                  <w14:schemeClr w14:val="tx1"/>
                </w14:solidFill>
              </w14:textFill>
            </w:rPr>
            <w:t>施工组织</w:t>
          </w:r>
          <w:r>
            <w:rPr>
              <w:rFonts w:hint="eastAsia" w:eastAsia="黑体"/>
              <w:bCs/>
              <w:color w:val="000000" w:themeColor="text1"/>
              <w:kern w:val="0"/>
              <w:szCs w:val="32"/>
              <w14:textFill>
                <w14:solidFill>
                  <w14:schemeClr w14:val="tx1"/>
                </w14:solidFill>
              </w14:textFill>
            </w:rPr>
            <w:t>设计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_Toc18851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_Toc24538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4</w:t>
          </w:r>
          <w:r>
            <w:rPr>
              <w:rFonts w:eastAsia="黑体"/>
              <w:color w:val="000000" w:themeColor="text1"/>
              <w:kern w:val="0"/>
              <w:szCs w:val="24"/>
              <w14:textFill>
                <w14:solidFill>
                  <w14:schemeClr w14:val="tx1"/>
                </w14:solidFill>
              </w14:textFill>
            </w:rPr>
            <w:t>.1施工交通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_Toc24538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_Toc18678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4</w:t>
          </w:r>
          <w:r>
            <w:rPr>
              <w:rFonts w:eastAsia="黑体"/>
              <w:color w:val="000000" w:themeColor="text1"/>
              <w:kern w:val="0"/>
              <w:szCs w:val="24"/>
              <w14:textFill>
                <w14:solidFill>
                  <w14:schemeClr w14:val="tx1"/>
                </w14:solidFill>
              </w14:textFill>
            </w:rPr>
            <w:t>.2施工导流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_Toc18678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_Toc30095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4</w:t>
          </w:r>
          <w:r>
            <w:rPr>
              <w:rFonts w:eastAsia="黑体"/>
              <w:color w:val="000000" w:themeColor="text1"/>
              <w:kern w:val="0"/>
              <w:szCs w:val="24"/>
              <w14:textFill>
                <w14:solidFill>
                  <w14:schemeClr w14:val="tx1"/>
                </w14:solidFill>
              </w14:textFill>
            </w:rPr>
            <w:t>.3施工</w:t>
          </w:r>
          <w:r>
            <w:rPr>
              <w:rFonts w:hint="eastAsia" w:eastAsia="黑体"/>
              <w:color w:val="000000" w:themeColor="text1"/>
              <w:kern w:val="0"/>
              <w:szCs w:val="24"/>
              <w14:textFill>
                <w14:solidFill>
                  <w14:schemeClr w14:val="tx1"/>
                </w14:solidFill>
              </w14:textFill>
            </w:rPr>
            <w:t>总布置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_Toc30095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_Toc13933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eastAsia="黑体"/>
              <w:color w:val="000000" w:themeColor="text1"/>
              <w:kern w:val="0"/>
              <w:szCs w:val="24"/>
              <w14:textFill>
                <w14:solidFill>
                  <w14:schemeClr w14:val="tx1"/>
                </w14:solidFill>
              </w14:textFill>
            </w:rPr>
            <w:t>2.4.4工程占地与移民安置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_Toc13933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_Toc25733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eastAsia="黑体"/>
              <w:color w:val="000000" w:themeColor="text1"/>
              <w:kern w:val="0"/>
              <w:szCs w:val="24"/>
              <w14:textFill>
                <w14:solidFill>
                  <w14:schemeClr w14:val="tx1"/>
                </w14:solidFill>
              </w14:textFill>
            </w:rPr>
            <w:t>2.4.5土石方平衡及临时堆土场规划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_Toc25733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_Toc31251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4</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6</w:t>
          </w:r>
          <w:r>
            <w:rPr>
              <w:rFonts w:eastAsia="黑体"/>
              <w:color w:val="000000" w:themeColor="text1"/>
              <w:kern w:val="0"/>
              <w:szCs w:val="24"/>
              <w14:textFill>
                <w14:solidFill>
                  <w14:schemeClr w14:val="tx1"/>
                </w14:solidFill>
              </w14:textFill>
            </w:rPr>
            <w:t>施工</w:t>
          </w:r>
          <w:r>
            <w:rPr>
              <w:rFonts w:hint="eastAsia" w:eastAsia="黑体"/>
              <w:color w:val="000000" w:themeColor="text1"/>
              <w:kern w:val="0"/>
              <w:szCs w:val="24"/>
              <w14:textFill>
                <w14:solidFill>
                  <w14:schemeClr w14:val="tx1"/>
                </w14:solidFill>
              </w14:textFill>
            </w:rPr>
            <w:t>总进度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_Toc31251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_Toc17434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bCs/>
              <w:color w:val="000000" w:themeColor="text1"/>
              <w:kern w:val="0"/>
              <w:szCs w:val="32"/>
              <w14:textFill>
                <w14:solidFill>
                  <w14:schemeClr w14:val="tx1"/>
                </w14:solidFill>
              </w14:textFill>
            </w:rPr>
            <w:t>2</w:t>
          </w:r>
          <w:r>
            <w:rPr>
              <w:rFonts w:eastAsia="Times New Roman"/>
              <w:bCs/>
              <w:color w:val="000000" w:themeColor="text1"/>
              <w:kern w:val="0"/>
              <w:szCs w:val="32"/>
              <w14:textFill>
                <w14:solidFill>
                  <w14:schemeClr w14:val="tx1"/>
                </w14:solidFill>
              </w14:textFill>
            </w:rPr>
            <w:t>.</w:t>
          </w:r>
          <w:r>
            <w:rPr>
              <w:rFonts w:hint="eastAsia"/>
              <w:bCs/>
              <w:color w:val="000000" w:themeColor="text1"/>
              <w:kern w:val="0"/>
              <w:szCs w:val="32"/>
              <w14:textFill>
                <w14:solidFill>
                  <w14:schemeClr w14:val="tx1"/>
                </w14:solidFill>
              </w14:textFill>
            </w:rPr>
            <w:t>5工程选址合理性分析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_Toc17434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_Toc18274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bCs/>
              <w:color w:val="000000" w:themeColor="text1"/>
              <w:kern w:val="0"/>
              <w:szCs w:val="32"/>
              <w14:textFill>
                <w14:solidFill>
                  <w14:schemeClr w14:val="tx1"/>
                </w14:solidFill>
              </w14:textFill>
            </w:rPr>
            <w:t>2</w:t>
          </w:r>
          <w:r>
            <w:rPr>
              <w:rFonts w:eastAsia="Times New Roman"/>
              <w:bCs/>
              <w:color w:val="000000" w:themeColor="text1"/>
              <w:kern w:val="0"/>
              <w:szCs w:val="32"/>
              <w14:textFill>
                <w14:solidFill>
                  <w14:schemeClr w14:val="tx1"/>
                </w14:solidFill>
              </w14:textFill>
            </w:rPr>
            <w:t>.6</w:t>
          </w:r>
          <w:r>
            <w:rPr>
              <w:bCs/>
              <w:color w:val="000000" w:themeColor="text1"/>
              <w:kern w:val="0"/>
              <w:szCs w:val="32"/>
              <w14:textFill>
                <w14:solidFill>
                  <w14:schemeClr w14:val="tx1"/>
                </w14:solidFill>
              </w14:textFill>
            </w:rPr>
            <w:t>施工</w:t>
          </w:r>
          <w:r>
            <w:rPr>
              <w:rFonts w:hint="eastAsia"/>
              <w:bCs/>
              <w:color w:val="000000" w:themeColor="text1"/>
              <w:kern w:val="0"/>
              <w:szCs w:val="32"/>
              <w14:textFill>
                <w14:solidFill>
                  <w14:schemeClr w14:val="tx1"/>
                </w14:solidFill>
              </w14:textFill>
            </w:rPr>
            <w:t>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_Toc18274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_Toc21800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6</w:t>
          </w:r>
          <w:r>
            <w:rPr>
              <w:rFonts w:eastAsia="黑体"/>
              <w:color w:val="000000" w:themeColor="text1"/>
              <w:kern w:val="0"/>
              <w:szCs w:val="24"/>
              <w14:textFill>
                <w14:solidFill>
                  <w14:schemeClr w14:val="tx1"/>
                </w14:solidFill>
              </w14:textFill>
            </w:rPr>
            <w:t>.1</w:t>
          </w:r>
          <w:r>
            <w:rPr>
              <w:rFonts w:hint="eastAsia" w:eastAsia="黑体"/>
              <w:color w:val="000000" w:themeColor="text1"/>
              <w:kern w:val="0"/>
              <w:szCs w:val="24"/>
              <w14:textFill>
                <w14:solidFill>
                  <w14:schemeClr w14:val="tx1"/>
                </w14:solidFill>
              </w14:textFill>
            </w:rPr>
            <w:t>施工工艺流程介绍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_Toc21800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_Toc29161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6</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2</w:t>
          </w:r>
          <w:r>
            <w:rPr>
              <w:rFonts w:eastAsia="黑体"/>
              <w:color w:val="000000" w:themeColor="text1"/>
              <w:kern w:val="0"/>
              <w:szCs w:val="24"/>
              <w14:textFill>
                <w14:solidFill>
                  <w14:schemeClr w14:val="tx1"/>
                </w14:solidFill>
              </w14:textFill>
            </w:rPr>
            <w:t>施工期环境影响</w:t>
          </w:r>
          <w:r>
            <w:rPr>
              <w:rFonts w:hint="eastAsia" w:eastAsia="黑体"/>
              <w:color w:val="000000" w:themeColor="text1"/>
              <w:kern w:val="0"/>
              <w:szCs w:val="24"/>
              <w14:textFill>
                <w14:solidFill>
                  <w14:schemeClr w14:val="tx1"/>
                </w14:solidFill>
              </w14:textFill>
            </w:rPr>
            <w:t>因素及源强</w:t>
          </w:r>
          <w:r>
            <w:rPr>
              <w:rFonts w:eastAsia="黑体"/>
              <w:color w:val="000000" w:themeColor="text1"/>
              <w:kern w:val="0"/>
              <w:szCs w:val="24"/>
              <w14:textFill>
                <w14:solidFill>
                  <w14:schemeClr w14:val="tx1"/>
                </w14:solidFill>
              </w14:textFill>
            </w:rPr>
            <w:t>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_Toc29161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_Toc25240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bCs/>
              <w:color w:val="000000" w:themeColor="text1"/>
              <w:kern w:val="0"/>
              <w:szCs w:val="32"/>
              <w14:textFill>
                <w14:solidFill>
                  <w14:schemeClr w14:val="tx1"/>
                </w14:solidFill>
              </w14:textFill>
            </w:rPr>
            <w:t>2.7运营期</w:t>
          </w:r>
          <w:r>
            <w:rPr>
              <w:rFonts w:hint="eastAsia"/>
              <w:bCs/>
              <w:color w:val="000000" w:themeColor="text1"/>
              <w:kern w:val="0"/>
              <w:szCs w:val="32"/>
              <w14:textFill>
                <w14:solidFill>
                  <w14:schemeClr w14:val="tx1"/>
                </w14:solidFill>
              </w14:textFill>
            </w:rPr>
            <w:t>环境影响</w:t>
          </w:r>
          <w:r>
            <w:rPr>
              <w:bCs/>
              <w:color w:val="000000" w:themeColor="text1"/>
              <w:kern w:val="0"/>
              <w:szCs w:val="32"/>
              <w14:textFill>
                <w14:solidFill>
                  <w14:schemeClr w14:val="tx1"/>
                </w14:solidFill>
              </w14:textFill>
            </w:rPr>
            <w:t>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_Toc25240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_Toc12323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.1</w:t>
          </w:r>
          <w:r>
            <w:rPr>
              <w:rFonts w:hint="eastAsia" w:eastAsia="黑体"/>
              <w:color w:val="000000" w:themeColor="text1"/>
              <w:kern w:val="0"/>
              <w:szCs w:val="24"/>
              <w14:textFill>
                <w14:solidFill>
                  <w14:schemeClr w14:val="tx1"/>
                </w14:solidFill>
              </w14:textFill>
            </w:rPr>
            <w:t>水文情势的影响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_Toc19304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2地表水的影响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_Toc19304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_Toc1498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3大气环境的影响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_Toc10738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4声环境的影响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_Toc10738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_Toc6862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5固体废物的影响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_Toc6862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_Toc27267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6地下水的影响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_Toc27267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_Toc10107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7生态环境的影响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_Toc10107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_Toc29562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2.</w:t>
          </w:r>
          <w:r>
            <w:rPr>
              <w:rFonts w:hint="eastAsia" w:eastAsia="黑体"/>
              <w:color w:val="000000" w:themeColor="text1"/>
              <w:kern w:val="0"/>
              <w:szCs w:val="24"/>
              <w14:textFill>
                <w14:solidFill>
                  <w14:schemeClr w14:val="tx1"/>
                </w14:solidFill>
              </w14:textFill>
            </w:rPr>
            <w:t>7</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8土壤环境的影响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_Toc29562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_Toc12599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_Toc12599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_Toc21382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3.1自然环境概况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_Toc21382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_Toc22517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3.1.1地理位置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_Toc22517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_Toc20163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3.1.2</w:t>
          </w:r>
          <w:r>
            <w:rPr>
              <w:rFonts w:hint="eastAsia" w:ascii="Times New Roman" w:hAnsi="Times New Roman" w:cs="Times New Roman"/>
              <w:color w:val="000000" w:themeColor="text1"/>
              <w14:textFill>
                <w14:solidFill>
                  <w14:schemeClr w14:val="tx1"/>
                </w14:solidFill>
              </w14:textFill>
            </w:rPr>
            <w:t>河流水系</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_Toc20163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_Toc19317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3.1.3</w:t>
          </w:r>
          <w:r>
            <w:rPr>
              <w:rFonts w:hint="eastAsia" w:ascii="Times New Roman" w:hAnsi="Times New Roman" w:cs="Times New Roman"/>
              <w:color w:val="000000" w:themeColor="text1"/>
              <w14:textFill>
                <w14:solidFill>
                  <w14:schemeClr w14:val="tx1"/>
                </w14:solidFill>
              </w14:textFill>
            </w:rPr>
            <w:t>气候气象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_Toc19317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_Toc10688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3.1.</w:t>
          </w:r>
          <w:r>
            <w:rPr>
              <w:rFonts w:hint="eastAsia" w:ascii="Times New Roman" w:hAnsi="Times New Roman" w:cs="Times New Roman"/>
              <w:color w:val="000000" w:themeColor="text1"/>
              <w14:textFill>
                <w14:solidFill>
                  <w14:schemeClr w14:val="tx1"/>
                </w14:solidFill>
              </w14:textFill>
            </w:rPr>
            <w:t>4地形地貌</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_Toc10688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_Toc27308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3.1.</w:t>
          </w:r>
          <w:r>
            <w:rPr>
              <w:rFonts w:hint="eastAsia" w:ascii="Times New Roman" w:hAnsi="Times New Roman" w:cs="Times New Roman"/>
              <w:color w:val="000000" w:themeColor="text1"/>
              <w14:textFill>
                <w14:solidFill>
                  <w14:schemeClr w14:val="tx1"/>
                </w14:solidFill>
              </w14:textFill>
            </w:rPr>
            <w:t>5地质构造</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_Toc27308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_Toc18869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3.1.</w:t>
          </w:r>
          <w:r>
            <w:rPr>
              <w:rFonts w:hint="eastAsia" w:ascii="Times New Roman" w:hAnsi="Times New Roman" w:cs="Times New Roman"/>
              <w:color w:val="000000" w:themeColor="text1"/>
              <w14:textFill>
                <w14:solidFill>
                  <w14:schemeClr w14:val="tx1"/>
                </w14:solidFill>
              </w14:textFill>
            </w:rPr>
            <w:t>6水文地质条件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_Toc18869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_Toc26529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3.2环境质量现状及评价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_Toc26529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_Toc15222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3.2.1环境空气质量现状与评价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_Toc15222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_Toc23326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3.2.2地表水环境质量现状与评价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_Toc23326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_Toc32480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3.2.</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声环境质量现状评价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_Toc32480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_Toc20186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土壤环境质量现状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_Toc20186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140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_Toc8920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szCs w:val="24"/>
              <w14:textFill>
                <w14:solidFill>
                  <w14:schemeClr w14:val="tx1"/>
                </w14:solidFill>
              </w14:textFill>
            </w:rPr>
            <w:t>3.2.6生态环境现状</w:t>
          </w:r>
          <w:r>
            <w:rPr>
              <w:rFonts w:hint="eastAsia" w:ascii="Times New Roman" w:hAnsi="Times New Roman" w:cs="Times New Roman"/>
              <w:color w:val="000000" w:themeColor="text1"/>
              <w:szCs w:val="24"/>
              <w14:textFill>
                <w14:solidFill>
                  <w14:schemeClr w14:val="tx1"/>
                </w14:solidFill>
              </w14:textFill>
            </w:rPr>
            <w:t>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_Toc8920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142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_Toc14861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szCs w:val="24"/>
              <w14:textFill>
                <w14:solidFill>
                  <w14:schemeClr w14:val="tx1"/>
                </w14:solidFill>
              </w14:textFill>
            </w:rPr>
            <w:t>3.2.</w:t>
          </w:r>
          <w:r>
            <w:rPr>
              <w:rFonts w:hint="eastAsia" w:ascii="Times New Roman" w:hAnsi="Times New Roman" w:cs="Times New Roman"/>
              <w:color w:val="000000" w:themeColor="text1"/>
              <w:szCs w:val="24"/>
              <w14:textFill>
                <w14:solidFill>
                  <w14:schemeClr w14:val="tx1"/>
                </w14:solidFill>
              </w14:textFill>
            </w:rPr>
            <w:t>7</w:t>
          </w:r>
          <w:r>
            <w:rPr>
              <w:rFonts w:ascii="Times New Roman" w:hAnsi="Times New Roman" w:cs="Times New Roman"/>
              <w:color w:val="000000" w:themeColor="text1"/>
              <w:szCs w:val="24"/>
              <w14:textFill>
                <w14:solidFill>
                  <w14:schemeClr w14:val="tx1"/>
                </w14:solidFill>
              </w14:textFill>
            </w:rPr>
            <w:t>环境</w:t>
          </w:r>
          <w:r>
            <w:rPr>
              <w:rFonts w:hint="eastAsia" w:ascii="Times New Roman" w:hAnsi="Times New Roman" w:cs="Times New Roman"/>
              <w:color w:val="000000" w:themeColor="text1"/>
              <w:szCs w:val="24"/>
              <w14:textFill>
                <w14:solidFill>
                  <w14:schemeClr w14:val="tx1"/>
                </w14:solidFill>
              </w14:textFill>
            </w:rPr>
            <w:t>敏感区</w:t>
          </w:r>
          <w:r>
            <w:rPr>
              <w:rFonts w:ascii="Times New Roman" w:hAnsi="Times New Roman" w:cs="Times New Roman"/>
              <w:color w:val="000000" w:themeColor="text1"/>
              <w:szCs w:val="24"/>
              <w14:textFill>
                <w14:solidFill>
                  <w14:schemeClr w14:val="tx1"/>
                </w14:solidFill>
              </w14:textFill>
            </w:rPr>
            <w:t>现状</w:t>
          </w:r>
          <w:r>
            <w:rPr>
              <w:rFonts w:hint="eastAsia" w:ascii="Times New Roman" w:hAnsi="Times New Roman" w:cs="Times New Roman"/>
              <w:color w:val="000000" w:themeColor="text1"/>
              <w:szCs w:val="24"/>
              <w14:textFill>
                <w14:solidFill>
                  <w14:schemeClr w14:val="tx1"/>
                </w14:solidFill>
              </w14:textFill>
            </w:rPr>
            <w:t>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_Toc14861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_Toc24081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4环境影响</w:t>
          </w:r>
          <w:r>
            <w:rPr>
              <w:rFonts w:hint="eastAsia" w:ascii="Times New Roman" w:hAnsi="Times New Roman" w:cs="Times New Roman"/>
              <w:color w:val="000000" w:themeColor="text1"/>
              <w14:textFill>
                <w14:solidFill>
                  <w14:schemeClr w14:val="tx1"/>
                </w14:solidFill>
              </w14:textFill>
            </w:rPr>
            <w:t>预测</w:t>
          </w:r>
          <w:r>
            <w:rPr>
              <w:rFonts w:ascii="Times New Roman" w:hAnsi="Times New Roman" w:cs="Times New Roman"/>
              <w:color w:val="000000" w:themeColor="text1"/>
              <w14:textFill>
                <w14:solidFill>
                  <w14:schemeClr w14:val="tx1"/>
                </w14:solidFill>
              </w14:textFill>
            </w:rPr>
            <w:t>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_Toc24081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_Toc2956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4.1水文情势的影响分析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_Toc29492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4.1.1水文情势情况</w:t>
          </w:r>
          <w:r>
            <w:rPr>
              <w:rFonts w:hint="eastAsia" w:eastAsia="黑体"/>
              <w:color w:val="000000" w:themeColor="text1"/>
              <w:kern w:val="0"/>
              <w:szCs w:val="24"/>
              <w14:textFill>
                <w14:solidFill>
                  <w14:schemeClr w14:val="tx1"/>
                </w14:solidFill>
              </w14:textFill>
            </w:rPr>
            <w:t>介绍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_Toc29492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_Toc30176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4.1.2</w:t>
          </w:r>
          <w:r>
            <w:rPr>
              <w:rFonts w:hint="eastAsia" w:eastAsia="黑体"/>
              <w:color w:val="000000" w:themeColor="text1"/>
              <w:kern w:val="0"/>
              <w:szCs w:val="24"/>
              <w14:textFill>
                <w14:solidFill>
                  <w14:schemeClr w14:val="tx1"/>
                </w14:solidFill>
              </w14:textFill>
            </w:rPr>
            <w:t>施工期</w:t>
          </w:r>
          <w:r>
            <w:rPr>
              <w:rFonts w:eastAsia="黑体"/>
              <w:color w:val="000000" w:themeColor="text1"/>
              <w:kern w:val="0"/>
              <w:szCs w:val="24"/>
              <w14:textFill>
                <w14:solidFill>
                  <w14:schemeClr w14:val="tx1"/>
                </w14:solidFill>
              </w14:textFill>
            </w:rPr>
            <w:t>水文情势影响分析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_Toc30176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_Toc25379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4.1.</w:t>
          </w:r>
          <w:r>
            <w:rPr>
              <w:rFonts w:hint="eastAsia" w:eastAsia="黑体"/>
              <w:color w:val="000000" w:themeColor="text1"/>
              <w:kern w:val="0"/>
              <w:szCs w:val="24"/>
              <w14:textFill>
                <w14:solidFill>
                  <w14:schemeClr w14:val="tx1"/>
                </w14:solidFill>
              </w14:textFill>
            </w:rPr>
            <w:t>3运营期</w:t>
          </w:r>
          <w:r>
            <w:rPr>
              <w:rFonts w:eastAsia="黑体"/>
              <w:color w:val="000000" w:themeColor="text1"/>
              <w:kern w:val="0"/>
              <w:szCs w:val="24"/>
              <w14:textFill>
                <w14:solidFill>
                  <w14:schemeClr w14:val="tx1"/>
                </w14:solidFill>
              </w14:textFill>
            </w:rPr>
            <w:t>水文情势影响分析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_Toc25379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_Toc5362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4.2施工期水环境影响预测与评价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_Toc5362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_Toc18026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w:t>
          </w:r>
          <w:r>
            <w:rPr>
              <w:rFonts w:hint="eastAsia" w:eastAsia="黑体"/>
              <w:color w:val="000000" w:themeColor="text1"/>
              <w:kern w:val="0"/>
              <w:szCs w:val="24"/>
              <w14:textFill>
                <w14:solidFill>
                  <w14:schemeClr w14:val="tx1"/>
                </w14:solidFill>
              </w14:textFill>
            </w:rPr>
            <w:t>2</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1施工废水的</w:t>
          </w:r>
          <w:r>
            <w:rPr>
              <w:rFonts w:eastAsia="黑体"/>
              <w:color w:val="000000" w:themeColor="text1"/>
              <w:kern w:val="0"/>
              <w:szCs w:val="24"/>
              <w14:textFill>
                <w14:solidFill>
                  <w14:schemeClr w14:val="tx1"/>
                </w14:solidFill>
              </w14:textFill>
            </w:rPr>
            <w:t>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_Toc18026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_Toc583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w:t>
          </w:r>
          <w:r>
            <w:rPr>
              <w:rFonts w:hint="eastAsia" w:eastAsia="黑体"/>
              <w:color w:val="000000" w:themeColor="text1"/>
              <w:kern w:val="0"/>
              <w:szCs w:val="24"/>
              <w14:textFill>
                <w14:solidFill>
                  <w14:schemeClr w14:val="tx1"/>
                </w14:solidFill>
              </w14:textFill>
            </w:rPr>
            <w:t>2</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2工程扰动对渠道水质的</w:t>
          </w:r>
          <w:r>
            <w:rPr>
              <w:rFonts w:eastAsia="黑体"/>
              <w:color w:val="000000" w:themeColor="text1"/>
              <w:kern w:val="0"/>
              <w:szCs w:val="24"/>
              <w14:textFill>
                <w14:solidFill>
                  <w14:schemeClr w14:val="tx1"/>
                </w14:solidFill>
              </w14:textFill>
            </w:rPr>
            <w:t>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_Toc583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_Toc12056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w:t>
          </w:r>
          <w:r>
            <w:rPr>
              <w:rFonts w:hint="eastAsia" w:eastAsia="黑体"/>
              <w:color w:val="000000" w:themeColor="text1"/>
              <w:kern w:val="0"/>
              <w:szCs w:val="24"/>
              <w14:textFill>
                <w14:solidFill>
                  <w14:schemeClr w14:val="tx1"/>
                </w14:solidFill>
              </w14:textFill>
            </w:rPr>
            <w:t>2</w:t>
          </w:r>
          <w:r>
            <w:rPr>
              <w:rFonts w:eastAsia="黑体"/>
              <w:color w:val="000000" w:themeColor="text1"/>
              <w:kern w:val="0"/>
              <w:szCs w:val="24"/>
              <w14:textFill>
                <w14:solidFill>
                  <w14:schemeClr w14:val="tx1"/>
                </w14:solidFill>
              </w14:textFill>
            </w:rPr>
            <w:t>.</w:t>
          </w:r>
          <w:r>
            <w:rPr>
              <w:rFonts w:hint="eastAsia" w:eastAsia="黑体"/>
              <w:color w:val="000000" w:themeColor="text1"/>
              <w:kern w:val="0"/>
              <w:szCs w:val="24"/>
              <w14:textFill>
                <w14:solidFill>
                  <w14:schemeClr w14:val="tx1"/>
                </w14:solidFill>
              </w14:textFill>
            </w:rPr>
            <w:t>3对地下水的</w:t>
          </w:r>
          <w:r>
            <w:rPr>
              <w:rFonts w:eastAsia="黑体"/>
              <w:color w:val="000000" w:themeColor="text1"/>
              <w:kern w:val="0"/>
              <w:szCs w:val="24"/>
              <w14:textFill>
                <w14:solidFill>
                  <w14:schemeClr w14:val="tx1"/>
                </w14:solidFill>
              </w14:textFill>
            </w:rPr>
            <w:t>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_Toc12056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_Toc21466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4.3营运期水环境影响预测与评价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_Toc21466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_Toc16032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4.4施工期大气环境影响分析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_Toc16032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_Toc8990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4.5营运期大气环境影响分析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_Toc8990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_Toc14185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4.6施工期声环境影响预测和评价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_Toc14185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_Toc25769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4.7营运期声环境影响预测和评价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_Toc25769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_Toc20534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4.8施工期固体废物影响预测与评价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_Toc20534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_Toc24212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4.9营运期固体废物影响分析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_Toc24212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_Toc32665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4.10施工期生态环境影响分析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_Toc32665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_Toc15006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4.10.1对</w:t>
          </w:r>
          <w:r>
            <w:rPr>
              <w:rFonts w:hint="eastAsia" w:eastAsia="黑体"/>
              <w:color w:val="000000" w:themeColor="text1"/>
              <w:kern w:val="0"/>
              <w:szCs w:val="24"/>
              <w14:textFill>
                <w14:solidFill>
                  <w14:schemeClr w14:val="tx1"/>
                </w14:solidFill>
              </w14:textFill>
            </w:rPr>
            <w:t>陆生动植物</w:t>
          </w:r>
          <w:r>
            <w:rPr>
              <w:rFonts w:eastAsia="黑体"/>
              <w:color w:val="000000" w:themeColor="text1"/>
              <w:kern w:val="0"/>
              <w:szCs w:val="24"/>
              <w14:textFill>
                <w14:solidFill>
                  <w14:schemeClr w14:val="tx1"/>
                </w14:solidFill>
              </w14:textFill>
            </w:rPr>
            <w:t>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_Toc15006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_Toc26620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4.10.2对水生生态的影响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_Toc26620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_Toc23180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eastAsia="黑体"/>
              <w:color w:val="000000" w:themeColor="text1"/>
              <w:kern w:val="0"/>
              <w:szCs w:val="24"/>
              <w14:textFill>
                <w14:solidFill>
                  <w14:schemeClr w14:val="tx1"/>
                </w14:solidFill>
              </w14:textFill>
            </w:rPr>
            <w:t>4.10.3对生态系统的影响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_Toc23180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_Toc2139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4.11营运期生态环境影响分析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pos="3600"/>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_Toc16803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color w:val="000000" w:themeColor="text1"/>
              <w:kern w:val="0"/>
              <w:szCs w:val="24"/>
              <w14:textFill>
                <w14:solidFill>
                  <w14:schemeClr w14:val="tx1"/>
                </w14:solidFill>
              </w14:textFill>
            </w:rPr>
            <w:t>4.11.1</w:t>
          </w:r>
          <w:r>
            <w:rPr>
              <w:rFonts w:hint="eastAsia"/>
              <w:color w:val="000000" w:themeColor="text1"/>
              <w:kern w:val="0"/>
              <w:szCs w:val="24"/>
              <w14:textFill>
                <w14:solidFill>
                  <w14:schemeClr w14:val="tx1"/>
                </w14:solidFill>
              </w14:textFill>
            </w:rPr>
            <w:tab/>
          </w:r>
          <w:r>
            <w:rPr>
              <w:rFonts w:hint="eastAsia"/>
              <w:color w:val="000000" w:themeColor="text1"/>
              <w:kern w:val="0"/>
              <w:szCs w:val="24"/>
              <w14:textFill>
                <w14:solidFill>
                  <w14:schemeClr w14:val="tx1"/>
                </w14:solidFill>
              </w14:textFill>
            </w:rPr>
            <w:t>对植物植被的影响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_Toc16803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_Toc10563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color w:val="000000" w:themeColor="text1"/>
              <w:kern w:val="0"/>
              <w:szCs w:val="24"/>
              <w14:textFill>
                <w14:solidFill>
                  <w14:schemeClr w14:val="tx1"/>
                </w14:solidFill>
              </w14:textFill>
            </w:rPr>
            <w:t>4.11.2对陆生动物的影响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_Toc10563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_Toc9511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color w:val="000000" w:themeColor="text1"/>
              <w:kern w:val="0"/>
              <w:szCs w:val="24"/>
              <w14:textFill>
                <w14:solidFill>
                  <w14:schemeClr w14:val="tx1"/>
                </w14:solidFill>
              </w14:textFill>
            </w:rPr>
            <w:t>4.11.</w:t>
          </w:r>
          <w:r>
            <w:rPr>
              <w:rFonts w:hint="eastAsia"/>
              <w:color w:val="000000" w:themeColor="text1"/>
              <w:kern w:val="0"/>
              <w:szCs w:val="24"/>
              <w14:textFill>
                <w14:solidFill>
                  <w14:schemeClr w14:val="tx1"/>
                </w14:solidFill>
              </w14:textFill>
            </w:rPr>
            <w:t>3对</w:t>
          </w:r>
          <w:r>
            <w:rPr>
              <w:color w:val="000000" w:themeColor="text1"/>
              <w:kern w:val="0"/>
              <w:szCs w:val="24"/>
              <w14:textFill>
                <w14:solidFill>
                  <w14:schemeClr w14:val="tx1"/>
                </w14:solidFill>
              </w14:textFill>
            </w:rPr>
            <w:t>水生生态</w:t>
          </w:r>
          <w:r>
            <w:rPr>
              <w:rFonts w:hint="eastAsia"/>
              <w:color w:val="000000" w:themeColor="text1"/>
              <w:kern w:val="0"/>
              <w:szCs w:val="24"/>
              <w14:textFill>
                <w14:solidFill>
                  <w14:schemeClr w14:val="tx1"/>
                </w14:solidFill>
              </w14:textFill>
            </w:rPr>
            <w:t>的</w:t>
          </w:r>
          <w:r>
            <w:rPr>
              <w:color w:val="000000" w:themeColor="text1"/>
              <w:kern w:val="0"/>
              <w:szCs w:val="24"/>
              <w14:textFill>
                <w14:solidFill>
                  <w14:schemeClr w14:val="tx1"/>
                </w14:solidFill>
              </w14:textFill>
            </w:rPr>
            <w:t>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_Toc9511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_Toc4513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default" w:ascii="Times New Roman" w:hAnsi="Times New Roman" w:eastAsia="黑体" w:cs="Times New Roman"/>
              <w:bCs/>
              <w:color w:val="000000" w:themeColor="text1"/>
              <w:kern w:val="0"/>
              <w:szCs w:val="32"/>
              <w14:textFill>
                <w14:solidFill>
                  <w14:schemeClr w14:val="tx1"/>
                </w14:solidFill>
              </w14:textFill>
            </w:rPr>
            <w:t>4.12对</w:t>
          </w:r>
          <w:r>
            <w:rPr>
              <w:rFonts w:hint="eastAsia" w:eastAsia="黑体" w:cs="Times New Roman"/>
              <w:bCs/>
              <w:color w:val="000000" w:themeColor="text1"/>
              <w:kern w:val="0"/>
              <w:szCs w:val="32"/>
              <w:lang w:val="en-US" w:eastAsia="zh-CN"/>
              <w14:textFill>
                <w14:solidFill>
                  <w14:schemeClr w14:val="tx1"/>
                </w14:solidFill>
              </w14:textFill>
            </w:rPr>
            <w:t>花果山</w:t>
          </w:r>
          <w:r>
            <w:rPr>
              <w:rFonts w:hint="default" w:ascii="Times New Roman" w:hAnsi="Times New Roman" w:eastAsia="黑体" w:cs="Times New Roman"/>
              <w:bCs/>
              <w:color w:val="000000" w:themeColor="text1"/>
              <w:kern w:val="0"/>
              <w:szCs w:val="32"/>
              <w14:textFill>
                <w14:solidFill>
                  <w14:schemeClr w14:val="tx1"/>
                </w14:solidFill>
              </w14:textFill>
            </w:rPr>
            <w:t>风景名胜区</w:t>
          </w:r>
          <w:r>
            <w:rPr>
              <w:rFonts w:hint="eastAsia" w:eastAsia="黑体" w:cs="Times New Roman"/>
              <w:bCs/>
              <w:color w:val="000000" w:themeColor="text1"/>
              <w:kern w:val="0"/>
              <w:szCs w:val="32"/>
              <w:lang w:eastAsia="zh-CN"/>
              <w14:textFill>
                <w14:solidFill>
                  <w14:schemeClr w14:val="tx1"/>
                </w14:solidFill>
              </w14:textFill>
            </w:rPr>
            <w:t>（</w:t>
          </w:r>
          <w:r>
            <w:rPr>
              <w:rFonts w:hint="eastAsia" w:eastAsia="黑体" w:cs="Times New Roman"/>
              <w:bCs/>
              <w:color w:val="000000" w:themeColor="text1"/>
              <w:kern w:val="0"/>
              <w:szCs w:val="32"/>
              <w:lang w:val="en-US" w:eastAsia="zh-CN"/>
              <w14:textFill>
                <w14:solidFill>
                  <w14:schemeClr w14:val="tx1"/>
                </w14:solidFill>
              </w14:textFill>
            </w:rPr>
            <w:t>十陵景区</w:t>
          </w:r>
          <w:r>
            <w:rPr>
              <w:rFonts w:hint="eastAsia" w:eastAsia="黑体" w:cs="Times New Roman"/>
              <w:bCs/>
              <w:color w:val="000000" w:themeColor="text1"/>
              <w:kern w:val="0"/>
              <w:szCs w:val="32"/>
              <w:lang w:eastAsia="zh-CN"/>
              <w14:textFill>
                <w14:solidFill>
                  <w14:schemeClr w14:val="tx1"/>
                </w14:solidFill>
              </w14:textFill>
            </w:rPr>
            <w:t>）</w:t>
          </w:r>
          <w:r>
            <w:rPr>
              <w:rFonts w:hint="default" w:ascii="Times New Roman" w:hAnsi="Times New Roman" w:eastAsia="黑体" w:cs="Times New Roman"/>
              <w:bCs/>
              <w:color w:val="000000" w:themeColor="text1"/>
              <w:kern w:val="0"/>
              <w:szCs w:val="32"/>
              <w14:textFill>
                <w14:solidFill>
                  <w14:schemeClr w14:val="tx1"/>
                </w14:solidFill>
              </w14:textFill>
            </w:rPr>
            <w:t>的影响分析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_Toc4513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_Toc626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default" w:ascii="Times New Roman" w:hAnsi="Times New Roman" w:cs="Times New Roman"/>
              <w:color w:val="000000" w:themeColor="text1"/>
              <w:kern w:val="0"/>
              <w:szCs w:val="24"/>
              <w14:textFill>
                <w14:solidFill>
                  <w14:schemeClr w14:val="tx1"/>
                </w14:solidFill>
              </w14:textFill>
            </w:rPr>
            <w:t>4.12.1对生物的影响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_Toc18739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default" w:ascii="Times New Roman" w:hAnsi="Times New Roman" w:cs="Times New Roman"/>
              <w:color w:val="000000" w:themeColor="text1"/>
              <w:kern w:val="0"/>
              <w:szCs w:val="24"/>
              <w14:textFill>
                <w14:solidFill>
                  <w14:schemeClr w14:val="tx1"/>
                </w14:solidFill>
              </w14:textFill>
            </w:rPr>
            <w:t>4.12.2对景观的影响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_Toc18739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_Toc13696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eastAsia="黑体"/>
              <w:bCs/>
              <w:color w:val="000000" w:themeColor="text1"/>
              <w:kern w:val="0"/>
              <w:szCs w:val="32"/>
              <w:lang w:val="en-US" w:eastAsia="zh-CN"/>
              <w14:textFill>
                <w14:solidFill>
                  <w14:schemeClr w14:val="tx1"/>
                </w14:solidFill>
              </w14:textFill>
            </w:rPr>
            <w:t>4.13对龙泉驿区东风渠、东干渠麻石桥集中式饮用水水源地影响分</w:t>
          </w:r>
          <w:r>
            <w:rPr>
              <w:rFonts w:hint="eastAsia" w:eastAsia="黑体"/>
              <w:bCs/>
              <w:color w:val="000000" w:themeColor="text1"/>
              <w:kern w:val="0"/>
              <w:szCs w:val="32"/>
              <w14:textFill>
                <w14:solidFill>
                  <w14:schemeClr w14:val="tx1"/>
                </w14:solidFill>
              </w14:textFill>
            </w:rPr>
            <w:t>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_Toc13696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_Toc19035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eastAsia="黑体" w:cs="Times New Roman"/>
              <w:bCs/>
              <w:color w:val="000000" w:themeColor="text1"/>
              <w:kern w:val="0"/>
              <w:szCs w:val="32"/>
              <w:lang w:val="en-US" w:eastAsia="zh-CN"/>
              <w14:textFill>
                <w14:solidFill>
                  <w14:schemeClr w14:val="tx1"/>
                </w14:solidFill>
              </w14:textFill>
            </w:rPr>
            <w:t>4.14对四川省成都市明蜀王陵（龙泉驿区）影响分析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_Toc19035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_Toc27706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4.1</w:t>
          </w:r>
          <w:r>
            <w:rPr>
              <w:rFonts w:hint="eastAsia" w:eastAsia="黑体"/>
              <w:bCs/>
              <w:color w:val="000000" w:themeColor="text1"/>
              <w:kern w:val="0"/>
              <w:szCs w:val="32"/>
              <w:lang w:val="en-US" w:eastAsia="zh-CN"/>
              <w14:textFill>
                <w14:solidFill>
                  <w14:schemeClr w14:val="tx1"/>
                </w14:solidFill>
              </w14:textFill>
            </w:rPr>
            <w:t>5</w:t>
          </w:r>
          <w:r>
            <w:rPr>
              <w:rFonts w:hint="eastAsia" w:eastAsia="黑体"/>
              <w:bCs/>
              <w:color w:val="000000" w:themeColor="text1"/>
              <w:kern w:val="0"/>
              <w:szCs w:val="32"/>
              <w14:textFill>
                <w14:solidFill>
                  <w14:schemeClr w14:val="tx1"/>
                </w14:solidFill>
              </w14:textFill>
            </w:rPr>
            <w:t>土壤</w:t>
          </w:r>
          <w:r>
            <w:rPr>
              <w:rFonts w:eastAsia="黑体"/>
              <w:bCs/>
              <w:color w:val="000000" w:themeColor="text1"/>
              <w:kern w:val="0"/>
              <w:szCs w:val="32"/>
              <w14:textFill>
                <w14:solidFill>
                  <w14:schemeClr w14:val="tx1"/>
                </w14:solidFill>
              </w14:textFill>
            </w:rPr>
            <w:t>环境影响</w:t>
          </w:r>
          <w:r>
            <w:rPr>
              <w:rFonts w:hint="eastAsia" w:eastAsia="黑体"/>
              <w:bCs/>
              <w:color w:val="000000" w:themeColor="text1"/>
              <w:kern w:val="0"/>
              <w:szCs w:val="32"/>
              <w14:textFill>
                <w14:solidFill>
                  <w14:schemeClr w14:val="tx1"/>
                </w14:solidFill>
              </w14:textFill>
            </w:rPr>
            <w:t>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_Toc27706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_Toc23608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4.1</w:t>
          </w:r>
          <w:r>
            <w:rPr>
              <w:rFonts w:hint="eastAsia" w:eastAsia="黑体"/>
              <w:bCs/>
              <w:color w:val="000000" w:themeColor="text1"/>
              <w:kern w:val="0"/>
              <w:szCs w:val="32"/>
              <w:lang w:val="en-US" w:eastAsia="zh-CN"/>
              <w14:textFill>
                <w14:solidFill>
                  <w14:schemeClr w14:val="tx1"/>
                </w14:solidFill>
              </w14:textFill>
            </w:rPr>
            <w:t>6</w:t>
          </w:r>
          <w:r>
            <w:rPr>
              <w:rFonts w:eastAsia="黑体"/>
              <w:bCs/>
              <w:color w:val="000000" w:themeColor="text1"/>
              <w:kern w:val="0"/>
              <w:szCs w:val="32"/>
              <w14:textFill>
                <w14:solidFill>
                  <w14:schemeClr w14:val="tx1"/>
                </w14:solidFill>
              </w14:textFill>
            </w:rPr>
            <w:t>环境风险分析与评价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_Toc23608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_Toc26264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kern w:val="0"/>
              <w:szCs w:val="24"/>
              <w14:textFill>
                <w14:solidFill>
                  <w14:schemeClr w14:val="tx1"/>
                </w14:solidFill>
              </w14:textFill>
            </w:rPr>
            <w:t>4.1</w:t>
          </w:r>
          <w:r>
            <w:rPr>
              <w:rFonts w:hint="eastAsia" w:eastAsia="黑体"/>
              <w:color w:val="000000" w:themeColor="text1"/>
              <w:kern w:val="0"/>
              <w:szCs w:val="24"/>
              <w:lang w:val="en-US" w:eastAsia="zh-CN"/>
              <w14:textFill>
                <w14:solidFill>
                  <w14:schemeClr w14:val="tx1"/>
                </w14:solidFill>
              </w14:textFill>
            </w:rPr>
            <w:t>6</w:t>
          </w:r>
          <w:r>
            <w:rPr>
              <w:rFonts w:eastAsia="黑体"/>
              <w:color w:val="000000" w:themeColor="text1"/>
              <w:kern w:val="0"/>
              <w:szCs w:val="24"/>
              <w14:textFill>
                <w14:solidFill>
                  <w14:schemeClr w14:val="tx1"/>
                </w14:solidFill>
              </w14:textFill>
            </w:rPr>
            <w:t>.1环境风险分析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_Toc26264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_Toc26334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szCs w:val="24"/>
              <w14:textFill>
                <w14:solidFill>
                  <w14:schemeClr w14:val="tx1"/>
                </w14:solidFill>
              </w14:textFill>
            </w:rPr>
            <w:t>4.1</w:t>
          </w:r>
          <w:r>
            <w:rPr>
              <w:rFonts w:hint="eastAsia" w:eastAsia="黑体"/>
              <w:bCs/>
              <w:color w:val="000000" w:themeColor="text1"/>
              <w:szCs w:val="24"/>
              <w:lang w:val="en-US" w:eastAsia="zh-CN"/>
              <w14:textFill>
                <w14:solidFill>
                  <w14:schemeClr w14:val="tx1"/>
                </w14:solidFill>
              </w14:textFill>
            </w:rPr>
            <w:t>6</w:t>
          </w:r>
          <w:r>
            <w:rPr>
              <w:rFonts w:eastAsia="黑体"/>
              <w:bCs/>
              <w:color w:val="000000" w:themeColor="text1"/>
              <w:szCs w:val="24"/>
              <w14:textFill>
                <w14:solidFill>
                  <w14:schemeClr w14:val="tx1"/>
                </w14:solidFill>
              </w14:textFill>
            </w:rPr>
            <w:t>.2风险防范措施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_Toc26334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_Toc15500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szCs w:val="24"/>
              <w14:textFill>
                <w14:solidFill>
                  <w14:schemeClr w14:val="tx1"/>
                </w14:solidFill>
              </w14:textFill>
            </w:rPr>
            <w:t>4.1</w:t>
          </w:r>
          <w:r>
            <w:rPr>
              <w:rFonts w:hint="eastAsia" w:eastAsia="黑体"/>
              <w:bCs/>
              <w:color w:val="000000" w:themeColor="text1"/>
              <w:szCs w:val="24"/>
              <w:lang w:val="en-US" w:eastAsia="zh-CN"/>
              <w14:textFill>
                <w14:solidFill>
                  <w14:schemeClr w14:val="tx1"/>
                </w14:solidFill>
              </w14:textFill>
            </w:rPr>
            <w:t>6</w:t>
          </w:r>
          <w:r>
            <w:rPr>
              <w:rFonts w:eastAsia="黑体"/>
              <w:bCs/>
              <w:color w:val="000000" w:themeColor="text1"/>
              <w:szCs w:val="24"/>
              <w14:textFill>
                <w14:solidFill>
                  <w14:schemeClr w14:val="tx1"/>
                </w14:solidFill>
              </w14:textFill>
            </w:rPr>
            <w:t>.3环境风险评价结论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_Toc15500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_Toc23026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bCs/>
              <w:color w:val="000000" w:themeColor="text1"/>
              <w:kern w:val="0"/>
              <w:szCs w:val="32"/>
              <w14:textFill>
                <w14:solidFill>
                  <w14:schemeClr w14:val="tx1"/>
                </w14:solidFill>
              </w14:textFill>
            </w:rPr>
            <w:t>4.1</w:t>
          </w:r>
          <w:r>
            <w:rPr>
              <w:rFonts w:hint="eastAsia" w:eastAsia="黑体"/>
              <w:bCs/>
              <w:color w:val="000000" w:themeColor="text1"/>
              <w:kern w:val="0"/>
              <w:szCs w:val="32"/>
              <w:lang w:val="en-US" w:eastAsia="zh-CN"/>
              <w14:textFill>
                <w14:solidFill>
                  <w14:schemeClr w14:val="tx1"/>
                </w14:solidFill>
              </w14:textFill>
            </w:rPr>
            <w:t>7工程灌溉退水影响分析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_Toc23026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_Toc159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环境保护措施及其可行性论证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_Toc16751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5.1施工期污染防治措施及可行性分析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_Toc16751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_Toc3113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5.1.1施工废气污染防治措施及可行性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_Toc3113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_Toc16746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5.1.2施工废水污染防治措施及可行性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_Toc16746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_Toc27271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5.1.3施工噪声污染防治措施及可行性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_Toc27271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_Toc14597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5.1.4施工固体废物的污染防治措施及可行性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_Toc14597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_Toc17082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5.1.5施工期生态保护措施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215</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_Toc3576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6土壤环境</w:t>
          </w:r>
          <w:r>
            <w:rPr>
              <w:rFonts w:ascii="Times New Roman" w:hAnsi="Times New Roman" w:cs="Times New Roman"/>
              <w:color w:val="000000" w:themeColor="text1"/>
              <w14:textFill>
                <w14:solidFill>
                  <w14:schemeClr w14:val="tx1"/>
                </w14:solidFill>
              </w14:textFill>
            </w:rPr>
            <w:t>影响</w:t>
          </w:r>
          <w:r>
            <w:rPr>
              <w:rFonts w:hint="eastAsia" w:ascii="Times New Roman" w:hAnsi="Times New Roman" w:cs="Times New Roman"/>
              <w:color w:val="000000" w:themeColor="text1"/>
              <w14:textFill>
                <w14:solidFill>
                  <w14:schemeClr w14:val="tx1"/>
                </w14:solidFill>
              </w14:textFill>
            </w:rPr>
            <w:t>保护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_Toc3576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_Toc23387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5.2运营期环境保护对策措施及可行性分析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_Toc23387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_Toc27985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5.2.1水质保障措施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_Toc27985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_Toc29378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5.2.2生态监管措施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_Toc29378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_Toc29540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5.3对</w:t>
          </w:r>
          <w:r>
            <w:rPr>
              <w:rFonts w:hint="eastAsia" w:eastAsia="宋体" w:cs="Times New Roman"/>
              <w:color w:val="000000" w:themeColor="text1"/>
              <w:lang w:val="en-US" w:eastAsia="zh-CN"/>
              <w14:textFill>
                <w14:solidFill>
                  <w14:schemeClr w14:val="tx1"/>
                </w14:solidFill>
              </w14:textFill>
            </w:rPr>
            <w:t>花果山</w:t>
          </w:r>
          <w:r>
            <w:rPr>
              <w:rFonts w:hint="default" w:ascii="Times New Roman" w:hAnsi="Times New Roman" w:eastAsia="宋体" w:cs="Times New Roman"/>
              <w:color w:val="000000" w:themeColor="text1"/>
              <w14:textFill>
                <w14:solidFill>
                  <w14:schemeClr w14:val="tx1"/>
                </w14:solidFill>
              </w14:textFill>
            </w:rPr>
            <w:t>风景名胜区</w:t>
          </w:r>
          <w:r>
            <w:rPr>
              <w:rFonts w:hint="eastAsia" w:eastAsia="宋体" w:cs="Times New Roman"/>
              <w:color w:val="000000" w:themeColor="text1"/>
              <w:lang w:eastAsia="zh-CN"/>
              <w14:textFill>
                <w14:solidFill>
                  <w14:schemeClr w14:val="tx1"/>
                </w14:solidFill>
              </w14:textFill>
            </w:rPr>
            <w:t>（</w:t>
          </w:r>
          <w:r>
            <w:rPr>
              <w:rFonts w:hint="eastAsia" w:eastAsia="宋体" w:cs="Times New Roman"/>
              <w:color w:val="000000" w:themeColor="text1"/>
              <w:lang w:val="en-US" w:eastAsia="zh-CN"/>
              <w14:textFill>
                <w14:solidFill>
                  <w14:schemeClr w14:val="tx1"/>
                </w14:solidFill>
              </w14:textFill>
            </w:rPr>
            <w:t>十陵景区</w:t>
          </w:r>
          <w:r>
            <w:rPr>
              <w:rFonts w:hint="eastAsia"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的保护措施及可行性</w:t>
          </w:r>
          <w:r>
            <w:rPr>
              <w:rFonts w:hint="eastAsia" w:eastAsia="宋体" w:cs="Times New Roman"/>
              <w:color w:val="000000" w:themeColor="text1"/>
              <w:lang w:val="en-US" w:eastAsia="zh-CN"/>
              <w14:textFill>
                <w14:solidFill>
                  <w14:schemeClr w14:val="tx1"/>
                </w14:solidFill>
              </w14:textFill>
            </w:rPr>
            <w:t>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_Toc29540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_Toc13778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5.3.1施工期保护管理与风险防范对策措施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_Toc13778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_Toc31740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5.3.2运营期保护管理与风险防范对策措施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_Toc31740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_Toc12752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6.环境影响经济损益分析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_Toc12752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_Toc9547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6.1环保投资估算</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_Toc9547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_Toc16932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6.2效益分析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_Toc16932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_Toc9008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6.2.1社会经济效益分析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_Toc9008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_Toc16633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6.2.2环境效益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_Toc16633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_Toc11716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6.3环境保护的技术经济合理性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_Toc11716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_Toc14876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_Toc14876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_Toc27993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7.1环境管理计划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_Toc27993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_Toc6533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7.1.1环境管理目标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_Toc6533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_Toc5956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7.1.2环境管理机构设置及职责</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_Toc5956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_Toc23406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7.1.3环境管理制度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_Toc23406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_Toc18989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7.1.4环境保护管理方案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_Toc18989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_Toc12777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7.1.5环境保护培训计划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_Toc12777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_Toc28095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7.2环境监理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_Toc28095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_Toc29772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7.2.1监理目的</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_Toc29772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_Toc14570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7.2.2监理机构</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_Toc14570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_Toc3830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7.2.3监理内容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_Toc3830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_Toc23312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7.3总量控制指标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_Toc23312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_Toc7732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7.4环境监测计划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_Toc7732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_Toc26590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7.4.1</w:t>
          </w:r>
          <w:r>
            <w:rPr>
              <w:rFonts w:hint="eastAsia" w:ascii="Times New Roman" w:hAnsi="Times New Roman" w:cs="Times New Roman"/>
              <w:color w:val="000000" w:themeColor="text1"/>
              <w14:textFill>
                <w14:solidFill>
                  <w14:schemeClr w14:val="tx1"/>
                </w14:solidFill>
              </w14:textFill>
            </w:rPr>
            <w:t>环境</w:t>
          </w:r>
          <w:r>
            <w:rPr>
              <w:rFonts w:ascii="Times New Roman" w:hAnsi="Times New Roman" w:cs="Times New Roman"/>
              <w:color w:val="000000" w:themeColor="text1"/>
              <w14:textFill>
                <w14:solidFill>
                  <w14:schemeClr w14:val="tx1"/>
                </w14:solidFill>
              </w14:textFill>
            </w:rPr>
            <w:t>监测</w:t>
          </w:r>
          <w:r>
            <w:rPr>
              <w:rFonts w:hint="eastAsia" w:ascii="Times New Roman" w:hAnsi="Times New Roman" w:cs="Times New Roman"/>
              <w:color w:val="000000" w:themeColor="text1"/>
              <w14:textFill>
                <w14:solidFill>
                  <w14:schemeClr w14:val="tx1"/>
                </w14:solidFill>
              </w14:textFill>
            </w:rPr>
            <w:t>工作组织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_Toc26590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_Toc30031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7.4.2</w:t>
          </w:r>
          <w:r>
            <w:rPr>
              <w:rFonts w:hint="eastAsia" w:ascii="Times New Roman" w:hAnsi="Times New Roman" w:cs="Times New Roman"/>
              <w:color w:val="000000" w:themeColor="text1"/>
              <w14:textFill>
                <w14:solidFill>
                  <w14:schemeClr w14:val="tx1"/>
                </w14:solidFill>
              </w14:textFill>
            </w:rPr>
            <w:t>环境</w:t>
          </w:r>
          <w:r>
            <w:rPr>
              <w:rFonts w:ascii="Times New Roman" w:hAnsi="Times New Roman" w:cs="Times New Roman"/>
              <w:color w:val="000000" w:themeColor="text1"/>
              <w14:textFill>
                <w14:solidFill>
                  <w14:schemeClr w14:val="tx1"/>
                </w14:solidFill>
              </w14:textFill>
            </w:rPr>
            <w:t>监测</w:t>
          </w:r>
          <w:r>
            <w:rPr>
              <w:rFonts w:hint="eastAsia" w:ascii="Times New Roman" w:hAnsi="Times New Roman" w:cs="Times New Roman"/>
              <w:color w:val="000000" w:themeColor="text1"/>
              <w14:textFill>
                <w14:solidFill>
                  <w14:schemeClr w14:val="tx1"/>
                </w14:solidFill>
              </w14:textFill>
            </w:rPr>
            <w:t>工作内容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_Toc30031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232</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_Toc25243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7.4.</w:t>
          </w:r>
          <w:r>
            <w:rPr>
              <w:rFonts w:hint="eastAsia" w:ascii="Times New Roman" w:hAnsi="Times New Roman" w:cs="Times New Roman"/>
              <w:color w:val="000000" w:themeColor="text1"/>
              <w14:textFill>
                <w14:solidFill>
                  <w14:schemeClr w14:val="tx1"/>
                </w14:solidFill>
              </w14:textFill>
            </w:rPr>
            <w:t>3施工期环境</w:t>
          </w:r>
          <w:r>
            <w:rPr>
              <w:rFonts w:ascii="Times New Roman" w:hAnsi="Times New Roman" w:cs="Times New Roman"/>
              <w:color w:val="000000" w:themeColor="text1"/>
              <w14:textFill>
                <w14:solidFill>
                  <w14:schemeClr w14:val="tx1"/>
                </w14:solidFill>
              </w14:textFill>
            </w:rPr>
            <w:t>监测</w:t>
          </w:r>
          <w:r>
            <w:rPr>
              <w:rFonts w:hint="eastAsia" w:ascii="Times New Roman" w:hAnsi="Times New Roman" w:cs="Times New Roman"/>
              <w:color w:val="000000" w:themeColor="text1"/>
              <w14:textFill>
                <w14:solidFill>
                  <w14:schemeClr w14:val="tx1"/>
                </w14:solidFill>
              </w14:textFill>
            </w:rPr>
            <w:t>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_Toc25243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_Toc6924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eastAsia="黑体" w:cs="Times New Roman"/>
              <w:color w:val="000000" w:themeColor="text1"/>
              <w14:textFill>
                <w14:solidFill>
                  <w14:schemeClr w14:val="tx1"/>
                </w14:solidFill>
              </w14:textFill>
            </w:rPr>
            <w:t>7.5竣工环境保护验收内容及要求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_Toc6924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234</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26"/>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_Toc27949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8环境影响评价结论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_Toc27949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_Toc20256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8.1建设项目概况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_Toc20256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_Toc49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8.2产业政策和相关规划符合性结论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_Toc2160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8.2.1产业政策符合性分析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_Toc31951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8.2.2规划符合性分析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_Toc31951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236</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_Toc6669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8.2.3与“三线一单”符合性分析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_Toc11828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8.3环境质量现状评价结论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_Toc11828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_Toc23883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8.3.1空气环境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_Toc23883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_Toc16344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8.3.2地表水环境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_Toc16344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_Toc29033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8.3.</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声环境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_Toc29033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237</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_Toc5883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8.3.</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土壤环境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_Toc5883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_Toc26020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8.3.6生态环境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_Toc26020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238</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_Toc12540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8.4环境影响分析结论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_Toc12540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_Toc2217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8.4.1大气环境影响分析结论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_Toc2217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239</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_Toc30071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8.4.2水环境影响分析结论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_Toc30071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_Toc12475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8.4.3声环境影响分析结论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_Toc12475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_Toc8786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8.4.4固废影响分析结论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_Toc8786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_Toc10776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8.4.5生态影响分析结论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_Toc10776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240</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_Toc26903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8.5环境保护措施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_Toc26903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241</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_Toc9557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8.6环境影响经济效益分析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_Toc9557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_Toc20568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8.7公众参与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_Toc20568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_Toc3532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8.8</w:t>
          </w:r>
          <w:r>
            <w:rPr>
              <w:rFonts w:hint="eastAsia" w:eastAsia="黑体"/>
              <w:color w:val="000000" w:themeColor="text1"/>
              <w14:textFill>
                <w14:solidFill>
                  <w14:schemeClr w14:val="tx1"/>
                </w14:solidFill>
              </w14:textFill>
            </w:rPr>
            <w:t>综合评价</w:t>
          </w:r>
          <w:r>
            <w:rPr>
              <w:rFonts w:eastAsia="黑体"/>
              <w:color w:val="000000" w:themeColor="text1"/>
              <w14:textFill>
                <w14:solidFill>
                  <w14:schemeClr w14:val="tx1"/>
                </w14:solidFill>
              </w14:textFill>
            </w:rPr>
            <w:t>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_Toc3532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32"/>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_Toc16618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eastAsia="黑体"/>
              <w:color w:val="000000" w:themeColor="text1"/>
              <w14:textFill>
                <w14:solidFill>
                  <w14:schemeClr w14:val="tx1"/>
                </w14:solidFill>
              </w14:textFill>
            </w:rPr>
            <w:t>8.9要求与建议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_Toc16618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_Toc12372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8.9.1要求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pStyle w:val="18"/>
            <w:tabs>
              <w:tab w:val="right" w:leader="dot" w:pos="9050"/>
            </w:tabs>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begin"/>
          </w:r>
          <w:r>
            <w:rPr>
              <w:rFonts w:hint="default" w:ascii="Times New Roman" w:hAnsi="Times New Roman" w:eastAsia="宋体" w:cs="Times New Roman"/>
              <w:bCs w:val="0"/>
              <w:color w:val="000000" w:themeColor="text1"/>
              <w:szCs w:val="21"/>
              <w:lang w:val="zh-CN"/>
              <w14:textFill>
                <w14:solidFill>
                  <w14:schemeClr w14:val="tx1"/>
                </w14:solidFill>
              </w14:textFill>
            </w:rPr>
            <w:instrText xml:space="preserve"> HYPERLINK \l _Toc9784 </w:instrText>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8.9.2建议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_Toc9784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243</w:t>
          </w:r>
          <w:r>
            <w:rPr>
              <w:color w:val="000000" w:themeColor="text1"/>
              <w14:textFill>
                <w14:solidFill>
                  <w14:schemeClr w14:val="tx1"/>
                </w14:solidFill>
              </w14:textFill>
            </w:rPr>
            <w:fldChar w:fldCharType="end"/>
          </w: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p>
          <w:pPr>
            <w:spacing w:line="360" w:lineRule="auto"/>
            <w:jc w:val="both"/>
            <w:rPr>
              <w:color w:val="000000" w:themeColor="text1"/>
              <w14:textFill>
                <w14:solidFill>
                  <w14:schemeClr w14:val="tx1"/>
                </w14:solidFill>
              </w14:textFill>
            </w:rPr>
          </w:pPr>
          <w:r>
            <w:rPr>
              <w:rFonts w:hint="default" w:ascii="Times New Roman" w:hAnsi="Times New Roman" w:eastAsia="宋体" w:cs="Times New Roman"/>
              <w:bCs w:val="0"/>
              <w:color w:val="000000" w:themeColor="text1"/>
              <w:szCs w:val="21"/>
              <w:lang w:val="zh-CN"/>
              <w14:textFill>
                <w14:solidFill>
                  <w14:schemeClr w14:val="tx1"/>
                </w14:solidFill>
              </w14:textFill>
            </w:rPr>
            <w:fldChar w:fldCharType="end"/>
          </w:r>
        </w:p>
      </w:sdtContent>
    </w:sdt>
    <w:p>
      <w:pPr>
        <w:spacing w:line="360" w:lineRule="auto"/>
        <w:rPr>
          <w:rFonts w:eastAsia="Times New Roman"/>
          <w:color w:val="000000" w:themeColor="text1"/>
          <w14:textFill>
            <w14:solidFill>
              <w14:schemeClr w14:val="tx1"/>
            </w14:solidFill>
          </w14:textFill>
        </w:rPr>
      </w:pPr>
    </w:p>
    <w:p>
      <w:pPr>
        <w:pStyle w:val="14"/>
        <w:ind w:firstLine="522"/>
        <w:rPr>
          <w:color w:val="000000" w:themeColor="text1"/>
          <w:sz w:val="26"/>
          <w14:textFill>
            <w14:solidFill>
              <w14:schemeClr w14:val="tx1"/>
            </w14:solidFill>
          </w14:textFill>
        </w:rPr>
        <w:sectPr>
          <w:footerReference r:id="rId3" w:type="default"/>
          <w:pgSz w:w="11910" w:h="16840"/>
          <w:pgMar w:top="1360" w:right="1420" w:bottom="1280" w:left="1440" w:header="882" w:footer="1097" w:gutter="0"/>
          <w:pgBorders>
            <w:top w:val="none" w:sz="0" w:space="0"/>
            <w:left w:val="none" w:sz="0" w:space="0"/>
            <w:bottom w:val="none" w:sz="0" w:space="0"/>
            <w:right w:val="none" w:sz="0" w:space="0"/>
          </w:pgBorders>
          <w:cols w:space="720" w:num="1"/>
        </w:sectPr>
      </w:pPr>
    </w:p>
    <w:p>
      <w:pPr>
        <w:adjustRightInd w:val="0"/>
        <w:snapToGrid w:val="0"/>
        <w:spacing w:line="360" w:lineRule="auto"/>
        <w:ind w:firstLine="482" w:firstLineChars="200"/>
        <w:jc w:val="both"/>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附</w:t>
      </w:r>
      <w:r>
        <w:rPr>
          <w:rFonts w:hint="eastAsia"/>
          <w:b/>
          <w:bCs/>
          <w:color w:val="000000" w:themeColor="text1"/>
          <w:sz w:val="24"/>
          <w:szCs w:val="24"/>
          <w:lang w:val="en-US" w:eastAsia="zh-CN"/>
          <w14:textFill>
            <w14:solidFill>
              <w14:schemeClr w14:val="tx1"/>
            </w14:solidFill>
          </w14:textFill>
        </w:rPr>
        <w:t>表</w:t>
      </w:r>
      <w:r>
        <w:rPr>
          <w:b/>
          <w:bCs/>
          <w:color w:val="000000" w:themeColor="text1"/>
          <w:sz w:val="24"/>
          <w:szCs w:val="24"/>
          <w14:textFill>
            <w14:solidFill>
              <w14:schemeClr w14:val="tx1"/>
            </w14:solidFill>
          </w14:textFill>
        </w:rPr>
        <w:t>：</w:t>
      </w:r>
    </w:p>
    <w:p>
      <w:pPr>
        <w:adjustRightInd w:val="0"/>
        <w:snapToGrid w:val="0"/>
        <w:spacing w:line="360" w:lineRule="auto"/>
        <w:ind w:firstLine="480" w:firstLineChars="200"/>
        <w:jc w:val="both"/>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附表1 样方调查记录表</w:t>
      </w:r>
    </w:p>
    <w:p>
      <w:pPr>
        <w:adjustRightInd w:val="0"/>
        <w:snapToGrid w:val="0"/>
        <w:spacing w:line="360" w:lineRule="auto"/>
        <w:ind w:firstLine="480" w:firstLineChars="200"/>
        <w:jc w:val="both"/>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附表2 生态调查生物名录</w:t>
      </w:r>
    </w:p>
    <w:p>
      <w:pPr>
        <w:adjustRightInd w:val="0"/>
        <w:snapToGrid w:val="0"/>
        <w:spacing w:line="360" w:lineRule="auto"/>
        <w:ind w:firstLine="482" w:firstLineChars="200"/>
        <w:jc w:val="both"/>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附图：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附图1 项目地理位置图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附图2-1 北支一渠、董家堰补水渠外环境关系及监测点位图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附图2-2 南五、南六支渠外环境关系及监测点位图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附图2-3 施工工区、临时堆士场外环境关系图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附图3-1 北支一渠（上）、董家堰补水渠（上、下）总平面布置图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附图3-2 南五、南六支渠总平面布置图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附图3-3 施工工区平面布置图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附图4-1 项目区域水系图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附图4-2 项目区域水系图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附图5 地表水评价范围图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附图6 典型水土保持措施分布图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附图7 生态保护目标空间分布图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附图8 植被覆盖度（NDVI）空间分布图</w:t>
      </w:r>
    </w:p>
    <w:p>
      <w:pPr>
        <w:adjustRightInd w:val="0"/>
        <w:snapToGrid w:val="0"/>
        <w:spacing w:line="360" w:lineRule="auto"/>
        <w:ind w:firstLine="480" w:firstLineChars="200"/>
        <w:jc w:val="both"/>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14:textFill>
            <w14:solidFill>
              <w14:schemeClr w14:val="tx1"/>
            </w14:solidFill>
          </w14:textFill>
        </w:rPr>
        <w:t xml:space="preserve">附图9 </w:t>
      </w:r>
      <w:r>
        <w:rPr>
          <w:rFonts w:hint="eastAsia"/>
          <w:color w:val="000000" w:themeColor="text1"/>
          <w:sz w:val="24"/>
          <w:szCs w:val="24"/>
          <w:lang w:val="en-US" w:eastAsia="zh-CN"/>
          <w14:textFill>
            <w14:solidFill>
              <w14:schemeClr w14:val="tx1"/>
            </w14:solidFill>
          </w14:textFill>
        </w:rPr>
        <w:t>本项目与名木古树</w:t>
      </w:r>
      <w:r>
        <w:rPr>
          <w:rFonts w:hint="eastAsia"/>
          <w:color w:val="000000" w:themeColor="text1"/>
          <w:sz w:val="24"/>
          <w:szCs w:val="24"/>
          <w14:textFill>
            <w14:solidFill>
              <w14:schemeClr w14:val="tx1"/>
            </w14:solidFill>
          </w14:textFill>
        </w:rPr>
        <w:t>位置关系</w:t>
      </w:r>
      <w:r>
        <w:rPr>
          <w:rFonts w:hint="eastAsia"/>
          <w:color w:val="000000" w:themeColor="text1"/>
          <w:sz w:val="24"/>
          <w:szCs w:val="24"/>
          <w:lang w:val="en-US" w:eastAsia="zh-CN"/>
          <w14:textFill>
            <w14:solidFill>
              <w14:schemeClr w14:val="tx1"/>
            </w14:solidFill>
          </w14:textFill>
        </w:rPr>
        <w:t>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附图10 样方、样线调查点位示意图</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附图11-1 北支一渠（上）、董家堰补水渠（上、下）永久占地区域与林地、耕地位置关系</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附图11-2 南五、南六支渠永久占地区域与林地、耕地位置关系</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附图11-3 董家堰临时堆土场与林地、耕地位置关系</w:t>
      </w:r>
    </w:p>
    <w:p>
      <w:pPr>
        <w:adjustRightInd w:val="0"/>
        <w:snapToGrid w:val="0"/>
        <w:spacing w:line="360" w:lineRule="auto"/>
        <w:ind w:firstLine="480" w:firstLineChars="200"/>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附图11-4 施工工区、南五、南六余土摊平处理区与林地、耕地位置关系</w:t>
      </w:r>
    </w:p>
    <w:p>
      <w:pPr>
        <w:adjustRightInd w:val="0"/>
        <w:snapToGrid w:val="0"/>
        <w:spacing w:line="360" w:lineRule="auto"/>
        <w:ind w:firstLine="482" w:firstLineChars="200"/>
        <w:jc w:val="both"/>
        <w:rPr>
          <w:b/>
          <w:bCs/>
          <w:color w:val="000000" w:themeColor="text1"/>
          <w:sz w:val="24"/>
          <w:szCs w:val="24"/>
          <w14:textFill>
            <w14:solidFill>
              <w14:schemeClr w14:val="tx1"/>
            </w14:solidFill>
          </w14:textFill>
        </w:rPr>
      </w:pPr>
      <w:bookmarkStart w:id="4" w:name="_Toc3701"/>
      <w:bookmarkStart w:id="5" w:name="_Toc10374"/>
      <w:bookmarkStart w:id="6" w:name="_Toc23759"/>
      <w:r>
        <w:rPr>
          <w:b/>
          <w:bCs/>
          <w:color w:val="000000" w:themeColor="text1"/>
          <w:sz w:val="24"/>
          <w:szCs w:val="24"/>
          <w14:textFill>
            <w14:solidFill>
              <w14:schemeClr w14:val="tx1"/>
            </w14:solidFill>
          </w14:textFill>
        </w:rPr>
        <w:t>附件：</w:t>
      </w:r>
      <w:bookmarkEnd w:id="4"/>
      <w:bookmarkEnd w:id="5"/>
      <w:bookmarkEnd w:id="6"/>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附件1</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环评委托书</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附件2</w:t>
      </w:r>
      <w:r>
        <w:rPr>
          <w:rFonts w:hint="eastAsia"/>
          <w:color w:val="000000" w:themeColor="text1"/>
          <w:sz w:val="24"/>
          <w:szCs w:val="24"/>
          <w14:textFill>
            <w14:solidFill>
              <w14:schemeClr w14:val="tx1"/>
            </w14:solidFill>
          </w14:textFill>
        </w:rPr>
        <w:t xml:space="preserve"> 项目立项文件</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附件3 噪声监测报告</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附件4 底泥检测报告</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附件5 地表水监测报告</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附件6 关于耕地“进出平衡”相关事宜的承诺函</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附件7 关于同意对涉及龙泉驿区饮用水水源地准保护区陆域范围内部分渠段实施整治的函</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附件8 关于环城生态区水利灌溉设施建设实施方案涉及弃土消纳场相关事宜的说明</w:t>
      </w:r>
    </w:p>
    <w:p>
      <w:pPr>
        <w:adjustRightInd w:val="0"/>
        <w:snapToGrid w:val="0"/>
        <w:spacing w:line="360" w:lineRule="auto"/>
        <w:ind w:firstLine="480" w:firstLineChars="200"/>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附件9 临时堆土场和余土摊平处理区情况说明</w:t>
      </w:r>
    </w:p>
    <w:p>
      <w:pPr>
        <w:adjustRightInd w:val="0"/>
        <w:snapToGrid w:val="0"/>
        <w:spacing w:line="360" w:lineRule="auto"/>
        <w:ind w:firstLine="480" w:firstLineChars="200"/>
        <w:jc w:val="both"/>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附件10 风景名胜区专题报告专家意见表</w:t>
      </w:r>
    </w:p>
    <w:p>
      <w:pPr>
        <w:adjustRightInd w:val="0"/>
        <w:snapToGrid w:val="0"/>
        <w:spacing w:line="360" w:lineRule="auto"/>
        <w:ind w:firstLine="480" w:firstLineChars="200"/>
        <w:jc w:val="both"/>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附件11 关于涉及基本农田和占用林地的承诺</w:t>
      </w:r>
    </w:p>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7" w:name="1.0概述"/>
      <w:bookmarkEnd w:id="7"/>
      <w:bookmarkStart w:id="8" w:name="_bookmark1"/>
      <w:bookmarkEnd w:id="8"/>
      <w:bookmarkStart w:id="9" w:name="_Toc29143"/>
      <w:bookmarkStart w:id="10" w:name="_Toc17387759"/>
      <w:bookmarkStart w:id="11" w:name="_Toc26299"/>
      <w:bookmarkStart w:id="12" w:name="_Toc70496204"/>
      <w:bookmarkStart w:id="13" w:name="_Toc17399"/>
      <w:bookmarkStart w:id="14" w:name="_Toc28196"/>
    </w:p>
    <w:p>
      <w:pPr>
        <w:rPr>
          <w:color w:val="000000" w:themeColor="text1"/>
          <w14:textFill>
            <w14:solidFill>
              <w14:schemeClr w14:val="tx1"/>
            </w14:solidFill>
          </w14:textFill>
        </w:rPr>
        <w:sectPr>
          <w:headerReference r:id="rId4" w:type="default"/>
          <w:footerReference r:id="rId5" w:type="default"/>
          <w:pgSz w:w="11910" w:h="16840"/>
          <w:pgMar w:top="1360" w:right="1420" w:bottom="1280" w:left="1440" w:header="882" w:footer="340" w:gutter="0"/>
          <w:pgBorders>
            <w:top w:val="none" w:sz="0" w:space="0"/>
            <w:left w:val="none" w:sz="0" w:space="0"/>
            <w:bottom w:val="none" w:sz="0" w:space="0"/>
            <w:right w:val="none" w:sz="0" w:space="0"/>
          </w:pgBorders>
          <w:pgNumType w:start="1"/>
          <w:cols w:space="720" w:num="1"/>
          <w:docGrid w:linePitch="286" w:charSpace="0"/>
        </w:sectPr>
      </w:pPr>
    </w:p>
    <w:bookmarkEnd w:id="9"/>
    <w:bookmarkEnd w:id="10"/>
    <w:bookmarkEnd w:id="11"/>
    <w:bookmarkEnd w:id="12"/>
    <w:bookmarkEnd w:id="13"/>
    <w:bookmarkEnd w:id="14"/>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15" w:name="2.0总则"/>
      <w:bookmarkEnd w:id="15"/>
      <w:bookmarkStart w:id="16" w:name="_bookmark12"/>
      <w:bookmarkEnd w:id="16"/>
      <w:bookmarkStart w:id="17" w:name="_Toc71276214"/>
      <w:bookmarkStart w:id="18" w:name="_Toc22253"/>
      <w:bookmarkStart w:id="19" w:name="_Toc3875"/>
      <w:bookmarkStart w:id="20" w:name="_Toc70496205"/>
      <w:bookmarkStart w:id="21" w:name="_Toc31244"/>
      <w:bookmarkStart w:id="22" w:name="_Toc3542"/>
      <w:bookmarkStart w:id="23" w:name="_Toc11177"/>
      <w:r>
        <w:rPr>
          <w:rFonts w:ascii="Times New Roman" w:hAnsi="Times New Roman" w:cs="Times New Roman"/>
          <w:color w:val="000000" w:themeColor="text1"/>
          <w14:textFill>
            <w14:solidFill>
              <w14:schemeClr w14:val="tx1"/>
            </w14:solidFill>
          </w14:textFill>
        </w:rPr>
        <w:t>概述</w:t>
      </w:r>
      <w:bookmarkEnd w:id="17"/>
      <w:bookmarkEnd w:id="18"/>
      <w:bookmarkStart w:id="24" w:name="_bookmark2"/>
      <w:bookmarkEnd w:id="24"/>
      <w:bookmarkStart w:id="25" w:name="1.1任务由来"/>
      <w:bookmarkEnd w:id="25"/>
    </w:p>
    <w:p>
      <w:pPr>
        <w:adjustRightInd w:val="0"/>
        <w:snapToGrid w:val="0"/>
        <w:spacing w:line="360" w:lineRule="auto"/>
        <w:ind w:firstLine="643"/>
        <w:rPr>
          <w:rFonts w:eastAsia="黑体"/>
          <w:b/>
          <w:color w:val="000000" w:themeColor="text1"/>
          <w:sz w:val="32"/>
          <w:szCs w:val="32"/>
          <w14:textFill>
            <w14:solidFill>
              <w14:schemeClr w14:val="tx1"/>
            </w14:solidFill>
          </w14:textFill>
        </w:rPr>
      </w:pPr>
      <w:bookmarkStart w:id="26" w:name="_Toc18456"/>
      <w:bookmarkStart w:id="27" w:name="_Toc23959"/>
      <w:bookmarkStart w:id="28" w:name="_Toc27552559"/>
      <w:bookmarkStart w:id="29" w:name="_Toc8106"/>
      <w:r>
        <w:rPr>
          <w:rFonts w:eastAsia="黑体"/>
          <w:b/>
          <w:color w:val="000000" w:themeColor="text1"/>
          <w:sz w:val="32"/>
          <w:szCs w:val="32"/>
          <w14:textFill>
            <w14:solidFill>
              <w14:schemeClr w14:val="tx1"/>
            </w14:solidFill>
          </w14:textFill>
        </w:rPr>
        <w:t>1、</w:t>
      </w:r>
      <w:bookmarkEnd w:id="26"/>
      <w:bookmarkEnd w:id="27"/>
      <w:bookmarkEnd w:id="28"/>
      <w:bookmarkEnd w:id="29"/>
      <w:r>
        <w:rPr>
          <w:rFonts w:eastAsia="黑体"/>
          <w:b/>
          <w:color w:val="000000" w:themeColor="text1"/>
          <w:sz w:val="32"/>
          <w:szCs w:val="32"/>
          <w14:textFill>
            <w14:solidFill>
              <w14:schemeClr w14:val="tx1"/>
            </w14:solidFill>
          </w14:textFill>
        </w:rPr>
        <w:t>项目背景</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环城生态区从“198”规划实施开始，最初的目的是为了防止城市粘连扩张，后来随着城市的发展，演化为城市重要的生态区。至2017年，为践行公园城市理念，成都市政府启动环城生态公园建设，并先后审议通过了《成都市环城生态区一锦城绿道规划及一期建设方案》和《锦城绿道二期建设方案》。至2020年，成都市规划和自然资源局严格按照《国务院办公厅关于坚决制止耕地“非农化”行为的通知》（国办发明电</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2020</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24号）精神，研究形成锦城公园耕地保护工作方案，于2021年编制并审议通过了《成都市环城生态区土地综合整治与生态修复总体规划》。</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习近平总书记2022年6月在四川考察时强调，成都平原自古有“天府之国”的美称,要严守耕地红线，保护好这片产粮宝地，把粮食生产抓紧抓牢，在新时代打造更高水平的“天府粮仓”。为深入贯彻总书记重要指示精神，全面落实党中央、国务院和四川省委、省政府关于加强耕地保护保障粮食安全的决策部署，切实把习近平总书记的重要指示和殷殷嘱托转化为做好“三农”工作的具体实践，创新体现公园城市示范区新发展理念、符合超大城市特征、全国一流的耕地保护利用和粮食生产展示窗口，全力打造更高水平的天府粮仓，市水务局高度重视环城生态区内灌溉用水保障工作，在对环城生态区内河道、渠系、塘堰、水景观进行全面梳理研究基础上，统水安全、水资源、水生态、水环境、水管理，系统谋划、统一部署，指导天府绿道公司于2020年完成了《环城生态区生态水利规划》编制，结合当前“天府粮仓”10.1万亩粮油产业带建设，突出生态化、智慧化功能，打造现代化环城灌区，实现“一环”多能，推动《规划》落地落实。</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2021年~2022年，成都天府绿道建设投资集团有限公司有序开展环城生态区农田整治区复垦复耕工作、加快开展农业水利设施建设、农业配套设施建设，按照“市级统筹、分区立项、整体实施、统一标准、联合验收”原则，围绕成都市环城生态区农业定位，立足区域现状基础条件，充分考虑环城生态区农田整治区复垦复耕、农业种植结构、现代农业生态方式等实际需求，开展成都市环城生态区农田综合正在及农业灌区设施建设项目。</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由于成都市环城生态区农田综合整治及农业灌区原有灌溉渠道建设久远，又因城市建设、农业生产搁置等原因，部分农田区域灌排体系破坏、建设标准滞后、断面侵占、水系不畅，部分渠道淤积、填埋、堵塞，河渠行洪断面缩窄，导致渠道排水不畅，坑塘蓄水能力不足，坑塘淤积，边坡滑坡。</w:t>
      </w:r>
    </w:p>
    <w:p>
      <w:pPr>
        <w:adjustRightInd w:val="0"/>
        <w:snapToGrid w:val="0"/>
        <w:spacing w:line="360" w:lineRule="auto"/>
        <w:ind w:firstLine="480" w:firstLineChars="200"/>
        <w:jc w:val="both"/>
        <w:rPr>
          <w:rFonts w:hint="eastAsia"/>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为加快推进环城生态区农业灌溉设施建设，</w:t>
      </w:r>
      <w:r>
        <w:rPr>
          <w:color w:val="000000" w:themeColor="text1"/>
          <w:sz w:val="24"/>
          <w:szCs w:val="24"/>
          <w14:textFill>
            <w14:solidFill>
              <w14:schemeClr w14:val="tx1"/>
            </w14:solidFill>
          </w14:textFill>
        </w:rPr>
        <w:t>2024</w:t>
      </w:r>
      <w:r>
        <w:rPr>
          <w:rFonts w:hint="eastAsia"/>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1</w:t>
      </w:r>
      <w:r>
        <w:rPr>
          <w:rFonts w:hint="eastAsia"/>
          <w:color w:val="000000" w:themeColor="text1"/>
          <w:sz w:val="24"/>
          <w:szCs w:val="24"/>
          <w14:textFill>
            <w14:solidFill>
              <w14:schemeClr w14:val="tx1"/>
            </w14:solidFill>
          </w14:textFill>
        </w:rPr>
        <w:t>月，根据成都市人民政府及市水务局相关专题会议和专家座谈会，经综合研判确定按照“需求牵引、灌排优先、落地至上”的原则，聚焦当前灌溉和排涝主要任务，分步推进区域水利灌溉设施建设，先期实施具备建设条件的内容。2024年2月8日成都市水务局出具了“关于环城生态区农田综合整治及农业灌区设施建设项目灌区水利设施建设（二标段）实施方案（一期）的批复”</w:t>
      </w:r>
      <w:r>
        <w:rPr>
          <w:rFonts w:hint="eastAsia"/>
          <w:color w:val="000000" w:themeColor="text1"/>
          <w:sz w:val="24"/>
          <w:szCs w:val="24"/>
          <w:lang w:eastAsia="zh-CN"/>
          <w14:textFill>
            <w14:solidFill>
              <w14:schemeClr w14:val="tx1"/>
            </w14:solidFill>
          </w14:textFill>
        </w:rPr>
        <w:t>（</w:t>
      </w:r>
      <w:r>
        <w:rPr>
          <w:rFonts w:hint="eastAsia" w:eastAsia="宋"/>
          <w:color w:val="000000" w:themeColor="text1"/>
          <w:sz w:val="24"/>
          <w:lang w:val="en-US" w:eastAsia="zh-CN"/>
          <w14:textFill>
            <w14:solidFill>
              <w14:schemeClr w14:val="tx1"/>
            </w14:solidFill>
          </w14:textFill>
        </w:rPr>
        <w:t>成水务函〔2024〕68号）</w:t>
      </w:r>
      <w:r>
        <w:rPr>
          <w:rFonts w:hint="eastAsia"/>
          <w:color w:val="000000" w:themeColor="text1"/>
          <w:sz w:val="24"/>
          <w:szCs w:val="24"/>
          <w14:textFill>
            <w14:solidFill>
              <w14:schemeClr w14:val="tx1"/>
            </w14:solidFill>
          </w14:textFill>
        </w:rPr>
        <w:t>，确定本项目的建设内容为：对</w:t>
      </w:r>
      <w:r>
        <w:rPr>
          <w:rFonts w:hint="eastAsia"/>
          <w:color w:val="000000" w:themeColor="text1"/>
          <w:kern w:val="0"/>
          <w:sz w:val="24"/>
          <w:szCs w:val="24"/>
          <w14:textFill>
            <w14:solidFill>
              <w14:schemeClr w14:val="tx1"/>
            </w14:solidFill>
          </w14:textFill>
        </w:rPr>
        <w:t>南五支渠、南六支渠、北支一渠（上）、董家堰补水渠（上）、董家堰补水渠（下）5条渠道进行清淤、衬砌等综合治理措施，整治长度共</w:t>
      </w:r>
      <w:r>
        <w:rPr>
          <w:rFonts w:hint="default"/>
          <w:color w:val="000000" w:themeColor="text1"/>
          <w:kern w:val="0"/>
          <w:sz w:val="24"/>
          <w:szCs w:val="24"/>
          <w:lang w:val="en-US"/>
          <w14:textFill>
            <w14:solidFill>
              <w14:schemeClr w14:val="tx1"/>
            </w14:solidFill>
          </w14:textFill>
        </w:rPr>
        <w:t>6891m</w:t>
      </w:r>
      <w:r>
        <w:rPr>
          <w:rFonts w:hint="eastAsia"/>
          <w:color w:val="000000" w:themeColor="text1"/>
          <w:kern w:val="0"/>
          <w:sz w:val="24"/>
          <w:szCs w:val="24"/>
          <w14:textFill>
            <w14:solidFill>
              <w14:schemeClr w14:val="tx1"/>
            </w14:solidFill>
          </w14:textFill>
        </w:rPr>
        <w:t>；其中整治灌排渠道4条，长4630m，拆除重建灌溉</w:t>
      </w:r>
      <w:r>
        <w:rPr>
          <w:rFonts w:hint="eastAsia"/>
          <w:color w:val="000000" w:themeColor="text1"/>
          <w:sz w:val="24"/>
          <w14:textFill>
            <w14:solidFill>
              <w14:schemeClr w14:val="tx1"/>
            </w14:solidFill>
          </w14:textFill>
        </w:rPr>
        <w:t>渠道1条，长2261m；新建节制闸和分水闸共</w:t>
      </w:r>
      <w:r>
        <w:rPr>
          <w:color w:val="000000" w:themeColor="text1"/>
          <w:sz w:val="24"/>
          <w14:textFill>
            <w14:solidFill>
              <w14:schemeClr w14:val="tx1"/>
            </w14:solidFill>
          </w14:textFill>
        </w:rPr>
        <w:t>11</w:t>
      </w:r>
      <w:r>
        <w:rPr>
          <w:rFonts w:hint="eastAsia"/>
          <w:color w:val="000000" w:themeColor="text1"/>
          <w:sz w:val="24"/>
          <w14:textFill>
            <w14:solidFill>
              <w14:schemeClr w14:val="tx1"/>
            </w14:solidFill>
          </w14:textFill>
        </w:rPr>
        <w:t>座，其中节制闸</w:t>
      </w:r>
      <w:r>
        <w:rPr>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座，分水闸</w:t>
      </w:r>
      <w:r>
        <w:rPr>
          <w:color w:val="000000" w:themeColor="text1"/>
          <w:sz w:val="24"/>
          <w14:textFill>
            <w14:solidFill>
              <w14:schemeClr w14:val="tx1"/>
            </w14:solidFill>
          </w14:textFill>
        </w:rPr>
        <w:t>6</w:t>
      </w:r>
      <w:r>
        <w:rPr>
          <w:rFonts w:hint="eastAsia"/>
          <w:color w:val="000000" w:themeColor="text1"/>
          <w:sz w:val="24"/>
          <w14:textFill>
            <w14:solidFill>
              <w14:schemeClr w14:val="tx1"/>
            </w14:solidFill>
          </w14:textFill>
        </w:rPr>
        <w:t>座；拆除重建箱涵</w:t>
      </w:r>
      <w:r>
        <w:rPr>
          <w:color w:val="000000" w:themeColor="text1"/>
          <w:sz w:val="24"/>
          <w14:textFill>
            <w14:solidFill>
              <w14:schemeClr w14:val="tx1"/>
            </w14:solidFill>
          </w14:textFill>
        </w:rPr>
        <w:t>3</w:t>
      </w:r>
      <w:r>
        <w:rPr>
          <w:rFonts w:hint="eastAsia"/>
          <w:color w:val="000000" w:themeColor="text1"/>
          <w:sz w:val="24"/>
          <w14:textFill>
            <w14:solidFill>
              <w14:schemeClr w14:val="tx1"/>
            </w14:solidFill>
          </w14:textFill>
        </w:rPr>
        <w:t>座；重建排水口</w:t>
      </w:r>
      <w:r>
        <w:rPr>
          <w:color w:val="000000" w:themeColor="text1"/>
          <w:sz w:val="24"/>
          <w14:textFill>
            <w14:solidFill>
              <w14:schemeClr w14:val="tx1"/>
            </w14:solidFill>
          </w14:textFill>
        </w:rPr>
        <w:t>2</w:t>
      </w:r>
      <w:r>
        <w:rPr>
          <w:rFonts w:hint="eastAsia"/>
          <w:color w:val="000000" w:themeColor="text1"/>
          <w:sz w:val="24"/>
          <w14:textFill>
            <w14:solidFill>
              <w14:schemeClr w14:val="tx1"/>
            </w14:solidFill>
          </w14:textFill>
        </w:rPr>
        <w:t>座；并对整治渠道进行。</w:t>
      </w:r>
    </w:p>
    <w:p>
      <w:pPr>
        <w:adjustRightInd w:val="0"/>
        <w:snapToGrid w:val="0"/>
        <w:spacing w:line="360" w:lineRule="auto"/>
        <w:ind w:firstLine="480"/>
        <w:jc w:val="both"/>
        <w:rPr>
          <w:rFonts w:hint="eastAsia" w:eastAsia="宋"/>
          <w:color w:val="000000" w:themeColor="text1"/>
          <w:sz w:val="24"/>
          <w:lang w:val="en-US" w:eastAsia="zh-CN"/>
          <w14:textFill>
            <w14:solidFill>
              <w14:schemeClr w14:val="tx1"/>
            </w14:solidFill>
          </w14:textFill>
        </w:rPr>
      </w:pPr>
      <w:r>
        <w:rPr>
          <w:rFonts w:hint="eastAsia" w:eastAsia="宋"/>
          <w:color w:val="000000" w:themeColor="text1"/>
          <w:sz w:val="24"/>
          <w:lang w:val="en-US" w:eastAsia="zh-CN"/>
          <w14:textFill>
            <w14:solidFill>
              <w14:schemeClr w14:val="tx1"/>
            </w14:solidFill>
          </w14:textFill>
        </w:rPr>
        <w:t>根据批复内容，“二标段一期”项目中南六支渠整治长度为1305m。由于前期实施方案阶段，成都市2023年基本农田划补方案未实施，根据成都市2022年“三区三线”资料叠图分析，项目不涉及占用基本农田。因成都市2023年基本农田划补方案于2024年3月通过之后，根据叠图分析，项目南六支渠中</w:t>
      </w:r>
      <w:r>
        <w:rPr>
          <w:rFonts w:hint="eastAsia"/>
          <w:color w:val="000000" w:themeColor="text1"/>
          <w:sz w:val="24"/>
          <w:lang w:val="en-US" w:eastAsia="zh-CN"/>
          <w14:textFill>
            <w14:solidFill>
              <w14:schemeClr w14:val="tx1"/>
            </w14:solidFill>
          </w14:textFill>
        </w:rPr>
        <w:t>K0+738~K0+811段、K0+836~K0+881段、K0+932~K0+973段位于新的基本农田范围内，故建设单位承诺本项目位于基本农田范围内的部分，不予实施（见附件9）。因此，本项目南六支渠综合整治长度为1146</w:t>
      </w:r>
      <w:r>
        <w:rPr>
          <w:rFonts w:hint="eastAsia" w:eastAsia="宋"/>
          <w:color w:val="000000" w:themeColor="text1"/>
          <w:sz w:val="24"/>
          <w:lang w:val="en-US" w:eastAsia="zh-CN"/>
          <w14:textFill>
            <w14:solidFill>
              <w14:schemeClr w14:val="tx1"/>
            </w14:solidFill>
          </w14:textFill>
        </w:rPr>
        <w:t>m。</w:t>
      </w:r>
    </w:p>
    <w:p>
      <w:pPr>
        <w:adjustRightInd w:val="0"/>
        <w:snapToGrid w:val="0"/>
        <w:spacing w:line="360" w:lineRule="auto"/>
        <w:jc w:val="center"/>
        <w:rPr>
          <w:rFonts w:hint="eastAsia" w:eastAsia="宋体"/>
          <w:color w:val="000000" w:themeColor="text1"/>
          <w:sz w:val="24"/>
          <w:lang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3753485</wp:posOffset>
                </wp:positionH>
                <wp:positionV relativeFrom="paragraph">
                  <wp:posOffset>1676400</wp:posOffset>
                </wp:positionV>
                <wp:extent cx="60325" cy="163195"/>
                <wp:effectExtent l="4445" t="1905" r="11430" b="6350"/>
                <wp:wrapNone/>
                <wp:docPr id="145" name="直接连接符 145"/>
                <wp:cNvGraphicFramePr/>
                <a:graphic xmlns:a="http://schemas.openxmlformats.org/drawingml/2006/main">
                  <a:graphicData uri="http://schemas.microsoft.com/office/word/2010/wordprocessingShape">
                    <wps:wsp>
                      <wps:cNvCnPr/>
                      <wps:spPr>
                        <a:xfrm flipH="1" flipV="1">
                          <a:off x="0" y="0"/>
                          <a:ext cx="60325" cy="163195"/>
                        </a:xfrm>
                        <a:prstGeom prst="line">
                          <a:avLst/>
                        </a:prstGeom>
                        <a:solidFill>
                          <a:srgbClr val="FFFF00"/>
                        </a:solidFill>
                        <a:ln w="6350" cap="flat" cmpd="sng">
                          <a:solidFill>
                            <a:schemeClr val="tx1"/>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95.55pt;margin-top:132pt;height:12.85pt;width:4.75pt;z-index:251701248;mso-width-relative:page;mso-height-relative:page;" fillcolor="#FFFF00" filled="t" stroked="t" coordsize="21600,21600" o:gfxdata="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y6Jn1wAAAAsBAAAPAAAAAAAA&#10;AAEAIAAAACIAAABkcnMvZG93bnJldi54bWxQSwECFAAUAAAACACHTuJALL3U0hMCAAAzBAAADgAA&#10;AAAAAAABACAAAAAmAQAAZHJzL2Uyb0RvYy54bWxQSwUGAAAAAAYABgBZAQAAqwUAAAAA&#10;">
                <v:fill on="t" focussize="0,0"/>
                <v:stroke weight="0.5pt" color="#000000 [3213]" joinstyle="round"/>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3618865</wp:posOffset>
                </wp:positionH>
                <wp:positionV relativeFrom="paragraph">
                  <wp:posOffset>1814195</wp:posOffset>
                </wp:positionV>
                <wp:extent cx="741045" cy="310515"/>
                <wp:effectExtent l="0" t="0" r="0" b="0"/>
                <wp:wrapNone/>
                <wp:docPr id="146" name="矩形 146"/>
                <wp:cNvGraphicFramePr/>
                <a:graphic xmlns:a="http://schemas.openxmlformats.org/drawingml/2006/main">
                  <a:graphicData uri="http://schemas.microsoft.com/office/word/2010/wordprocessingShape">
                    <wps:wsp>
                      <wps:cNvSpPr/>
                      <wps:spPr>
                        <a:xfrm>
                          <a:off x="0" y="0"/>
                          <a:ext cx="741045" cy="310515"/>
                        </a:xfrm>
                        <a:prstGeom prst="rect">
                          <a:avLst/>
                        </a:prstGeom>
                        <a:noFill/>
                        <a:ln>
                          <a:noFill/>
                        </a:ln>
                      </wps:spPr>
                      <wps:txb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K0+973</w:t>
                            </w:r>
                          </w:p>
                        </w:txbxContent>
                      </wps:txbx>
                      <wps:bodyPr upright="1"/>
                    </wps:wsp>
                  </a:graphicData>
                </a:graphic>
              </wp:anchor>
            </w:drawing>
          </mc:Choice>
          <mc:Fallback>
            <w:pict>
              <v:rect id="_x0000_s1026" o:spid="_x0000_s1026" o:spt="1" style="position:absolute;left:0pt;margin-left:284.95pt;margin-top:142.85pt;height:24.45pt;width:58.35pt;z-index:251702272;mso-width-relative:page;mso-height-relative:page;" filled="f" stroked="f" coordsize="21600,21600" o:gfxdata="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bHJk3dAAAACwEA&#10;AA8AAAAAAAAAAQAgAAAAIgAAAGRycy9kb3ducmV2LnhtbFBLAQIUABQAAAAIAIdO4kB94JZ3owEA&#10;AEQDAAAOAAAAAAAAAAEAIAAAACwBAABkcnMvZTJvRG9jLnhtbFBLBQYAAAAABgAGAFkBAABBBQAA&#10;AAA=&#10;">
                <v:fill on="f" focussize="0,0"/>
                <v:stroke on="f"/>
                <v:imagedata o:title=""/>
                <o:lock v:ext="edit" aspectratio="f"/>
                <v:textbo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K0+973</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3301365</wp:posOffset>
                </wp:positionH>
                <wp:positionV relativeFrom="paragraph">
                  <wp:posOffset>1172845</wp:posOffset>
                </wp:positionV>
                <wp:extent cx="741045" cy="310515"/>
                <wp:effectExtent l="0" t="0" r="0" b="0"/>
                <wp:wrapNone/>
                <wp:docPr id="141" name="矩形 141"/>
                <wp:cNvGraphicFramePr/>
                <a:graphic xmlns:a="http://schemas.openxmlformats.org/drawingml/2006/main">
                  <a:graphicData uri="http://schemas.microsoft.com/office/word/2010/wordprocessingShape">
                    <wps:wsp>
                      <wps:cNvSpPr/>
                      <wps:spPr>
                        <a:xfrm>
                          <a:off x="0" y="0"/>
                          <a:ext cx="741045" cy="310515"/>
                        </a:xfrm>
                        <a:prstGeom prst="rect">
                          <a:avLst/>
                        </a:prstGeom>
                        <a:noFill/>
                        <a:ln>
                          <a:noFill/>
                        </a:ln>
                      </wps:spPr>
                      <wps:txb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K0+932</w:t>
                            </w:r>
                          </w:p>
                        </w:txbxContent>
                      </wps:txbx>
                      <wps:bodyPr upright="1"/>
                    </wps:wsp>
                  </a:graphicData>
                </a:graphic>
              </wp:anchor>
            </w:drawing>
          </mc:Choice>
          <mc:Fallback>
            <w:pict>
              <v:rect id="_x0000_s1026" o:spid="_x0000_s1026" o:spt="1" style="position:absolute;left:0pt;margin-left:259.95pt;margin-top:92.35pt;height:24.45pt;width:58.35pt;z-index:251700224;mso-width-relative:page;mso-height-relative:page;" filled="f" stroked="f" coordsize="21600,21600" o:gfxdata="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y9bzQ3AAAAAsBAAAP&#10;AAAAAAAAAAEAIAAAACIAAABkcnMvZG93bnJldi54bWxQSwECFAAUAAAACACHTuJAuLYQAaIBAABE&#10;AwAADgAAAAAAAAABACAAAAArAQAAZHJzL2Uyb0RvYy54bWxQSwUGAAAAAAYABgBZAQAAPwUAAAAA&#10;">
                <v:fill on="f" focussize="0,0"/>
                <v:stroke on="f"/>
                <v:imagedata o:title=""/>
                <o:lock v:ext="edit" aspectratio="f"/>
                <v:textbo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K0+932</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3596640</wp:posOffset>
                </wp:positionH>
                <wp:positionV relativeFrom="paragraph">
                  <wp:posOffset>1392555</wp:posOffset>
                </wp:positionV>
                <wp:extent cx="95250" cy="299720"/>
                <wp:effectExtent l="4445" t="1270" r="14605" b="3810"/>
                <wp:wrapNone/>
                <wp:docPr id="140" name="直接连接符 140"/>
                <wp:cNvGraphicFramePr/>
                <a:graphic xmlns:a="http://schemas.openxmlformats.org/drawingml/2006/main">
                  <a:graphicData uri="http://schemas.microsoft.com/office/word/2010/wordprocessingShape">
                    <wps:wsp>
                      <wps:cNvCnPr/>
                      <wps:spPr>
                        <a:xfrm flipH="1" flipV="1">
                          <a:off x="0" y="0"/>
                          <a:ext cx="95250" cy="299720"/>
                        </a:xfrm>
                        <a:prstGeom prst="line">
                          <a:avLst/>
                        </a:prstGeom>
                        <a:solidFill>
                          <a:srgbClr val="FFFF00"/>
                        </a:solidFill>
                        <a:ln w="6350" cap="flat" cmpd="sng">
                          <a:solidFill>
                            <a:schemeClr val="tx1"/>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83.2pt;margin-top:109.65pt;height:23.6pt;width:7.5pt;z-index:251699200;mso-width-relative:page;mso-height-relative:page;" fillcolor="#FFFF00" filled="t" stroked="t" coordsize="21600,21600" o:gfxdata="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Wfp5tgAAAALAQAADwAAAAAA&#10;AAABACAAAAAiAAAAZHJzL2Rvd25yZXYueG1sUEsBAhQAFAAAAAgAh07iQDf91N0TAgAAMwQAAA4A&#10;AAAAAAAAAQAgAAAAJwEAAGRycy9lMm9Eb2MueG1sUEsFBgAAAAAGAAYAWQEAAKwFAAAAAA==&#10;">
                <v:fill on="t" focussize="0,0"/>
                <v:stroke weight="0.5pt" color="#000000 [3213]" joinstyle="round"/>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3282315</wp:posOffset>
                </wp:positionH>
                <wp:positionV relativeFrom="paragraph">
                  <wp:posOffset>1998345</wp:posOffset>
                </wp:positionV>
                <wp:extent cx="741045" cy="310515"/>
                <wp:effectExtent l="0" t="0" r="0" b="0"/>
                <wp:wrapNone/>
                <wp:docPr id="128" name="矩形 128"/>
                <wp:cNvGraphicFramePr/>
                <a:graphic xmlns:a="http://schemas.openxmlformats.org/drawingml/2006/main">
                  <a:graphicData uri="http://schemas.microsoft.com/office/word/2010/wordprocessingShape">
                    <wps:wsp>
                      <wps:cNvSpPr/>
                      <wps:spPr>
                        <a:xfrm>
                          <a:off x="0" y="0"/>
                          <a:ext cx="741045" cy="310515"/>
                        </a:xfrm>
                        <a:prstGeom prst="rect">
                          <a:avLst/>
                        </a:prstGeom>
                        <a:noFill/>
                        <a:ln>
                          <a:noFill/>
                        </a:ln>
                      </wps:spPr>
                      <wps:txb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K0+881</w:t>
                            </w:r>
                          </w:p>
                        </w:txbxContent>
                      </wps:txbx>
                      <wps:bodyPr upright="1"/>
                    </wps:wsp>
                  </a:graphicData>
                </a:graphic>
              </wp:anchor>
            </w:drawing>
          </mc:Choice>
          <mc:Fallback>
            <w:pict>
              <v:rect id="_x0000_s1026" o:spid="_x0000_s1026" o:spt="1" style="position:absolute;left:0pt;margin-left:258.45pt;margin-top:157.35pt;height:24.45pt;width:58.35pt;z-index:251698176;mso-width-relative:page;mso-height-relative:page;" filled="f" stroked="f" coordsize="21600,21600" o:gfxdata="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37JAlNsAAAALAQAA&#10;DwAAAAAAAAABACAAAAAiAAAAZHJzL2Rvd25yZXYueG1sUEsBAhQAFAAAAAgAh07iQD3AKlKkAQAA&#10;RAMAAA4AAAAAAAAAAQAgAAAAKgEAAGRycy9lMm9Eb2MueG1sUEsFBgAAAAAGAAYAWQEAAEAFAAAA&#10;AA==&#10;">
                <v:fill on="f" focussize="0,0"/>
                <v:stroke on="f"/>
                <v:imagedata o:title=""/>
                <o:lock v:ext="edit" aspectratio="f"/>
                <v:textbo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K0+881</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3463290</wp:posOffset>
                </wp:positionH>
                <wp:positionV relativeFrom="paragraph">
                  <wp:posOffset>1684655</wp:posOffset>
                </wp:positionV>
                <wp:extent cx="95250" cy="299720"/>
                <wp:effectExtent l="4445" t="1270" r="14605" b="3810"/>
                <wp:wrapNone/>
                <wp:docPr id="127" name="直接连接符 127"/>
                <wp:cNvGraphicFramePr/>
                <a:graphic xmlns:a="http://schemas.openxmlformats.org/drawingml/2006/main">
                  <a:graphicData uri="http://schemas.microsoft.com/office/word/2010/wordprocessingShape">
                    <wps:wsp>
                      <wps:cNvCnPr/>
                      <wps:spPr>
                        <a:xfrm flipH="1" flipV="1">
                          <a:off x="0" y="0"/>
                          <a:ext cx="95250" cy="299720"/>
                        </a:xfrm>
                        <a:prstGeom prst="line">
                          <a:avLst/>
                        </a:prstGeom>
                        <a:solidFill>
                          <a:srgbClr val="FFFF00"/>
                        </a:solidFill>
                        <a:ln w="6350" cap="flat" cmpd="sng">
                          <a:solidFill>
                            <a:schemeClr val="tx1"/>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72.7pt;margin-top:132.65pt;height:23.6pt;width:7.5pt;z-index:251697152;mso-width-relative:page;mso-height-relative:page;" fillcolor="#FFFF00" filled="t" stroked="t" coordsize="21600,21600" o:gfxdata="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RQPGtgAAAALAQAADwAAAAAA&#10;AAABACAAAAAiAAAAZHJzL2Rvd25yZXYueG1sUEsBAhQAFAAAAAgAh07iQMAvfsETAgAAMwQAAA4A&#10;AAAAAAAAAQAgAAAAJwEAAGRycy9lMm9Eb2MueG1sUEsFBgAAAAAGAAYAWQEAAKwFAAAAAA==&#10;">
                <v:fill on="t" focussize="0,0"/>
                <v:stroke weight="0.5pt" color="#000000 [3213]" joinstyle="round"/>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2736850</wp:posOffset>
                </wp:positionH>
                <wp:positionV relativeFrom="paragraph">
                  <wp:posOffset>2000885</wp:posOffset>
                </wp:positionV>
                <wp:extent cx="640080" cy="272415"/>
                <wp:effectExtent l="0" t="0" r="0" b="0"/>
                <wp:wrapNone/>
                <wp:docPr id="125" name="矩形 125"/>
                <wp:cNvGraphicFramePr/>
                <a:graphic xmlns:a="http://schemas.openxmlformats.org/drawingml/2006/main">
                  <a:graphicData uri="http://schemas.microsoft.com/office/word/2010/wordprocessingShape">
                    <wps:wsp>
                      <wps:cNvSpPr/>
                      <wps:spPr>
                        <a:xfrm>
                          <a:off x="0" y="0"/>
                          <a:ext cx="640080" cy="272415"/>
                        </a:xfrm>
                        <a:prstGeom prst="rect">
                          <a:avLst/>
                        </a:prstGeom>
                        <a:noFill/>
                        <a:ln>
                          <a:noFill/>
                        </a:ln>
                      </wps:spPr>
                      <wps:txb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K0+811</w:t>
                            </w:r>
                          </w:p>
                        </w:txbxContent>
                      </wps:txbx>
                      <wps:bodyPr upright="1"/>
                    </wps:wsp>
                  </a:graphicData>
                </a:graphic>
              </wp:anchor>
            </w:drawing>
          </mc:Choice>
          <mc:Fallback>
            <w:pict>
              <v:rect id="_x0000_s1026" o:spid="_x0000_s1026" o:spt="1" style="position:absolute;left:0pt;margin-left:215.5pt;margin-top:157.55pt;height:21.45pt;width:50.4pt;z-index:251695104;mso-width-relative:page;mso-height-relative:page;" filled="f" stroked="f" coordsize="21600,21600" o:gfxdata="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LDFzKLbAAAACwEAAA8A&#10;AAAAAAAAAQAgAAAAIgAAAGRycy9kb3ducmV2LnhtbFBLAQIUABQAAAAIAIdO4kCuzHurogEAAEQD&#10;AAAOAAAAAAAAAAEAIAAAACoBAABkcnMvZTJvRG9jLnhtbFBLBQYAAAAABgAGAFkBAAA+BQAAAAA=&#10;">
                <v:fill on="f" focussize="0,0"/>
                <v:stroke on="f"/>
                <v:imagedata o:title=""/>
                <o:lock v:ext="edit" aspectratio="f"/>
                <v:textbo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K0+811</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2799715</wp:posOffset>
                </wp:positionH>
                <wp:positionV relativeFrom="paragraph">
                  <wp:posOffset>1160145</wp:posOffset>
                </wp:positionV>
                <wp:extent cx="741045" cy="310515"/>
                <wp:effectExtent l="0" t="0" r="0" b="0"/>
                <wp:wrapNone/>
                <wp:docPr id="121" name="矩形 121"/>
                <wp:cNvGraphicFramePr/>
                <a:graphic xmlns:a="http://schemas.openxmlformats.org/drawingml/2006/main">
                  <a:graphicData uri="http://schemas.microsoft.com/office/word/2010/wordprocessingShape">
                    <wps:wsp>
                      <wps:cNvSpPr/>
                      <wps:spPr>
                        <a:xfrm>
                          <a:off x="0" y="0"/>
                          <a:ext cx="741045" cy="310515"/>
                        </a:xfrm>
                        <a:prstGeom prst="rect">
                          <a:avLst/>
                        </a:prstGeom>
                        <a:noFill/>
                        <a:ln>
                          <a:noFill/>
                        </a:ln>
                      </wps:spPr>
                      <wps:txb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K0+836</w:t>
                            </w:r>
                          </w:p>
                        </w:txbxContent>
                      </wps:txbx>
                      <wps:bodyPr upright="1"/>
                    </wps:wsp>
                  </a:graphicData>
                </a:graphic>
              </wp:anchor>
            </w:drawing>
          </mc:Choice>
          <mc:Fallback>
            <w:pict>
              <v:rect id="_x0000_s1026" o:spid="_x0000_s1026" o:spt="1" style="position:absolute;left:0pt;margin-left:220.45pt;margin-top:91.35pt;height:24.45pt;width:58.35pt;z-index:251693056;mso-width-relative:page;mso-height-relative:page;" filled="f" stroked="f" coordsize="21600,21600" o:gfxdata="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pwWyqN0AAAALAQAA&#10;DwAAAAAAAAABACAAAAAiAAAAZHJzL2Rvd25yZXYueG1sUEsBAhQAFAAAAAgAh07iQHI7oMmiAQAA&#10;RAMAAA4AAAAAAAAAAQAgAAAALAEAAGRycy9lMm9Eb2MueG1sUEsFBgAAAAAGAAYAWQEAAEAFAAAA&#10;AA==&#10;">
                <v:fill on="f" focussize="0,0"/>
                <v:stroke on="f"/>
                <v:imagedata o:title=""/>
                <o:lock v:ext="edit" aspectratio="f"/>
                <v:textbo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K0+836</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3215640</wp:posOffset>
                </wp:positionH>
                <wp:positionV relativeFrom="paragraph">
                  <wp:posOffset>1405255</wp:posOffset>
                </wp:positionV>
                <wp:extent cx="95250" cy="299720"/>
                <wp:effectExtent l="4445" t="1270" r="14605" b="3810"/>
                <wp:wrapNone/>
                <wp:docPr id="126" name="直接连接符 126"/>
                <wp:cNvGraphicFramePr/>
                <a:graphic xmlns:a="http://schemas.openxmlformats.org/drawingml/2006/main">
                  <a:graphicData uri="http://schemas.microsoft.com/office/word/2010/wordprocessingShape">
                    <wps:wsp>
                      <wps:cNvCnPr/>
                      <wps:spPr>
                        <a:xfrm flipH="1" flipV="1">
                          <a:off x="0" y="0"/>
                          <a:ext cx="95250" cy="299720"/>
                        </a:xfrm>
                        <a:prstGeom prst="line">
                          <a:avLst/>
                        </a:prstGeom>
                        <a:solidFill>
                          <a:srgbClr val="FFFF00"/>
                        </a:solidFill>
                        <a:ln w="6350" cap="flat" cmpd="sng">
                          <a:solidFill>
                            <a:schemeClr val="tx1"/>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53.2pt;margin-top:110.65pt;height:23.6pt;width:7.5pt;z-index:251696128;mso-width-relative:page;mso-height-relative:page;" fillcolor="#FFFF00" filled="t" stroked="t" coordsize="21600,21600" o:gfxdata="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nj4VtgAAAALAQAADwAAAAAA&#10;AAABACAAAAAiAAAAZHJzL2Rvd25yZXYueG1sUEsBAhQAFAAAAAgAh07iQBAFUbsTAgAAMwQAAA4A&#10;AAAAAAAAAQAgAAAAJwEAAGRycy9lMm9Eb2MueG1sUEsFBgAAAAAGAAYAWQEAAKwFAAAAAA==&#10;">
                <v:fill on="t" focussize="0,0"/>
                <v:stroke weight="0.5pt" color="#000000 [3213]" joinstyle="round"/>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2057400</wp:posOffset>
                </wp:positionH>
                <wp:positionV relativeFrom="paragraph">
                  <wp:posOffset>1937385</wp:posOffset>
                </wp:positionV>
                <wp:extent cx="640080" cy="272415"/>
                <wp:effectExtent l="0" t="0" r="0" b="0"/>
                <wp:wrapNone/>
                <wp:docPr id="4" name="矩形 4"/>
                <wp:cNvGraphicFramePr/>
                <a:graphic xmlns:a="http://schemas.openxmlformats.org/drawingml/2006/main">
                  <a:graphicData uri="http://schemas.microsoft.com/office/word/2010/wordprocessingShape">
                    <wps:wsp>
                      <wps:cNvSpPr/>
                      <wps:spPr>
                        <a:xfrm>
                          <a:off x="0" y="0"/>
                          <a:ext cx="640080" cy="272415"/>
                        </a:xfrm>
                        <a:prstGeom prst="rect">
                          <a:avLst/>
                        </a:prstGeom>
                        <a:noFill/>
                        <a:ln>
                          <a:noFill/>
                        </a:ln>
                      </wps:spPr>
                      <wps:txb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K0+738</w:t>
                            </w:r>
                          </w:p>
                        </w:txbxContent>
                      </wps:txbx>
                      <wps:bodyPr upright="1"/>
                    </wps:wsp>
                  </a:graphicData>
                </a:graphic>
              </wp:anchor>
            </w:drawing>
          </mc:Choice>
          <mc:Fallback>
            <w:pict>
              <v:rect id="_x0000_s1026" o:spid="_x0000_s1026" o:spt="1" style="position:absolute;left:0pt;margin-left:162pt;margin-top:152.55pt;height:21.45pt;width:50.4pt;z-index:251692032;mso-width-relative:page;mso-height-relative:page;" filled="f" stroked="f" coordsize="21600,21600" o:gfxdata="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88EZF2wAAAAsBAAAPAAAA&#10;AAAAAAEAIAAAACIAAABkcnMvZG93bnJldi54bWxQSwECFAAUAAAACACHTuJA+/F65aABAABAAwAA&#10;DgAAAAAAAAABACAAAAAqAQAAZHJzL2Uyb0RvYy54bWxQSwUGAAAAAAYABgBZAQAAPAUAAAAA&#10;">
                <v:fill on="f" focussize="0,0"/>
                <v:stroke on="f"/>
                <v:imagedata o:title=""/>
                <o:lock v:ext="edit" aspectratio="f"/>
                <v:textbox>
                  <w:txbxContent>
                    <w:p>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K0+738</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3037840</wp:posOffset>
                </wp:positionH>
                <wp:positionV relativeFrom="paragraph">
                  <wp:posOffset>1716405</wp:posOffset>
                </wp:positionV>
                <wp:extent cx="76200" cy="325120"/>
                <wp:effectExtent l="4445" t="1270" r="14605" b="16510"/>
                <wp:wrapNone/>
                <wp:docPr id="123" name="直接连接符 123"/>
                <wp:cNvGraphicFramePr/>
                <a:graphic xmlns:a="http://schemas.openxmlformats.org/drawingml/2006/main">
                  <a:graphicData uri="http://schemas.microsoft.com/office/word/2010/wordprocessingShape">
                    <wps:wsp>
                      <wps:cNvCnPr/>
                      <wps:spPr>
                        <a:xfrm flipV="1">
                          <a:off x="0" y="0"/>
                          <a:ext cx="76200" cy="325120"/>
                        </a:xfrm>
                        <a:prstGeom prst="line">
                          <a:avLst/>
                        </a:prstGeom>
                        <a:solidFill>
                          <a:srgbClr val="FFFF00"/>
                        </a:solidFill>
                        <a:ln w="6350" cap="flat" cmpd="sng">
                          <a:solidFill>
                            <a:schemeClr val="tx1"/>
                          </a:solidFill>
                          <a:prstDash val="solid"/>
                          <a:headEnd type="none" w="med" len="med"/>
                          <a:tailEnd type="none" w="med" len="med"/>
                        </a:ln>
                      </wps:spPr>
                      <wps:bodyPr upright="1"/>
                    </wps:wsp>
                  </a:graphicData>
                </a:graphic>
              </wp:anchor>
            </w:drawing>
          </mc:Choice>
          <mc:Fallback>
            <w:pict>
              <v:line id="_x0000_s1026" o:spid="_x0000_s1026" o:spt="20" style="position:absolute;left:0pt;flip:y;margin-left:239.2pt;margin-top:135.15pt;height:25.6pt;width:6pt;z-index:251694080;mso-width-relative:page;mso-height-relative:page;" fillcolor="#FFFF00" filled="t" stroked="t" coordsize="21600,21600" o:gfxdata="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uJYJtoAAAALAQAADwAAAAAAAAABACAA&#10;AAAiAAAAZHJzL2Rvd25yZXYueG1sUEsBAhQAFAAAAAgAh07iQFCOKvULAgAAKQQAAA4AAAAAAAAA&#10;AQAgAAAAKQEAAGRycy9lMm9Eb2MueG1sUEsFBgAAAAAGAAYAWQEAAKYFAAAAAA==&#10;">
                <v:fill on="t" focussize="0,0"/>
                <v:stroke weight="0.5pt" color="#000000 [3213]" joinstyle="round"/>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2551430</wp:posOffset>
                </wp:positionH>
                <wp:positionV relativeFrom="paragraph">
                  <wp:posOffset>1735455</wp:posOffset>
                </wp:positionV>
                <wp:extent cx="365760" cy="173990"/>
                <wp:effectExtent l="1905" t="4445" r="13335" b="12065"/>
                <wp:wrapNone/>
                <wp:docPr id="100" name="直接连接符 100"/>
                <wp:cNvGraphicFramePr/>
                <a:graphic xmlns:a="http://schemas.openxmlformats.org/drawingml/2006/main">
                  <a:graphicData uri="http://schemas.microsoft.com/office/word/2010/wordprocessingShape">
                    <wps:wsp>
                      <wps:cNvCnPr/>
                      <wps:spPr>
                        <a:xfrm flipV="1">
                          <a:off x="0" y="0"/>
                          <a:ext cx="365760" cy="173990"/>
                        </a:xfrm>
                        <a:prstGeom prst="line">
                          <a:avLst/>
                        </a:prstGeom>
                        <a:solidFill>
                          <a:srgbClr val="FFFF00"/>
                        </a:solidFill>
                        <a:ln w="6350" cap="flat" cmpd="sng">
                          <a:solidFill>
                            <a:schemeClr val="tx1"/>
                          </a:solidFill>
                          <a:prstDash val="solid"/>
                          <a:headEnd type="none" w="med" len="med"/>
                          <a:tailEnd type="none" w="med" len="med"/>
                        </a:ln>
                      </wps:spPr>
                      <wps:bodyPr upright="1"/>
                    </wps:wsp>
                  </a:graphicData>
                </a:graphic>
              </wp:anchor>
            </w:drawing>
          </mc:Choice>
          <mc:Fallback>
            <w:pict>
              <v:line id="_x0000_s1026" o:spid="_x0000_s1026" o:spt="20" style="position:absolute;left:0pt;flip:y;margin-left:200.9pt;margin-top:136.65pt;height:13.7pt;width:28.8pt;z-index:251691008;mso-width-relative:page;mso-height-relative:page;" fillcolor="#FFFF00" filled="t" stroked="t" coordsize="21600,21600" o:gfxdata="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DI20tkAAAALAQAADwAAAAAAAAAB&#10;ACAAAAAiAAAAZHJzL2Rvd25yZXYueG1sUEsBAhQAFAAAAAgAh07iQLWwAw8PAgAAKgQAAA4AAAAA&#10;AAAAAQAgAAAAKAEAAGRycy9lMm9Eb2MueG1sUEsFBgAAAAAGAAYAWQEAAKkFAAAAAA==&#10;">
                <v:fill on="t" focussize="0,0"/>
                <v:stroke weight="0.5pt" color="#000000 [3213]" joinstyle="round"/>
                <v:imagedata o:title=""/>
                <o:lock v:ext="edit" aspectratio="f"/>
              </v:line>
            </w:pict>
          </mc:Fallback>
        </mc:AlternateContent>
      </w:r>
      <w:r>
        <w:rPr>
          <w:rFonts w:hint="eastAsia" w:eastAsia="宋体"/>
          <w:color w:val="000000" w:themeColor="text1"/>
          <w:sz w:val="24"/>
          <w:lang w:eastAsia="zh-CN"/>
          <w14:textFill>
            <w14:solidFill>
              <w14:schemeClr w14:val="tx1"/>
            </w14:solidFill>
          </w14:textFill>
        </w:rPr>
        <w:drawing>
          <wp:inline distT="0" distB="0" distL="114300" distR="114300">
            <wp:extent cx="5230495" cy="3602355"/>
            <wp:effectExtent l="0" t="0" r="8255" b="17145"/>
            <wp:docPr id="122" name="图片 122" descr="43749ec72327f2363208832d3d07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43749ec72327f2363208832d3d07f5f"/>
                    <pic:cNvPicPr>
                      <a:picLocks noChangeAspect="1"/>
                    </pic:cNvPicPr>
                  </pic:nvPicPr>
                  <pic:blipFill>
                    <a:blip r:embed="rId24"/>
                    <a:stretch>
                      <a:fillRect/>
                    </a:stretch>
                  </pic:blipFill>
                  <pic:spPr>
                    <a:xfrm>
                      <a:off x="0" y="0"/>
                      <a:ext cx="5230495" cy="3602355"/>
                    </a:xfrm>
                    <a:prstGeom prst="rect">
                      <a:avLst/>
                    </a:prstGeom>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jc w:val="center"/>
        <w:textAlignment w:val="auto"/>
        <w:rPr>
          <w:rFonts w:hint="default" w:ascii="Times New Roman" w:hAnsi="Times New Roman" w:eastAsia="黑体" w:cs="Times New Roman"/>
          <w:bCs/>
          <w:color w:val="000000" w:themeColor="text1"/>
          <w:kern w:val="2"/>
          <w:sz w:val="24"/>
          <w:szCs w:val="21"/>
          <w:lang w:val="en-US" w:eastAsia="zh-CN" w:bidi="ar-SA"/>
          <w14:textFill>
            <w14:solidFill>
              <w14:schemeClr w14:val="tx1"/>
            </w14:solidFill>
          </w14:textFill>
        </w:rPr>
      </w:pPr>
      <w:r>
        <w:rPr>
          <w:rFonts w:hint="default" w:ascii="Times New Roman" w:hAnsi="Times New Roman" w:eastAsia="黑体" w:cs="Times New Roman"/>
          <w:bCs/>
          <w:color w:val="000000" w:themeColor="text1"/>
          <w:kern w:val="2"/>
          <w:sz w:val="24"/>
          <w:szCs w:val="21"/>
          <w:lang w:val="en-US" w:eastAsia="zh-CN" w:bidi="ar-SA"/>
          <w14:textFill>
            <w14:solidFill>
              <w14:schemeClr w14:val="tx1"/>
            </w14:solidFill>
          </w14:textFill>
        </w:rPr>
        <w:t xml:space="preserve">图1 </w:t>
      </w:r>
      <w:r>
        <w:rPr>
          <w:rFonts w:hint="eastAsia" w:ascii="Times New Roman" w:hAnsi="Times New Roman" w:eastAsia="黑体" w:cs="Times New Roman"/>
          <w:bCs/>
          <w:color w:val="000000" w:themeColor="text1"/>
          <w:kern w:val="2"/>
          <w:sz w:val="24"/>
          <w:szCs w:val="21"/>
          <w:lang w:val="en-US" w:eastAsia="zh-CN" w:bidi="ar-SA"/>
          <w14:textFill>
            <w14:solidFill>
              <w14:schemeClr w14:val="tx1"/>
            </w14:solidFill>
          </w14:textFill>
        </w:rPr>
        <w:t>南六支渠K0+738~K0+811段、K0+836~K0+881段、K0+932~K0+973段</w:t>
      </w:r>
      <w:r>
        <w:rPr>
          <w:rFonts w:hint="default" w:ascii="Times New Roman" w:hAnsi="Times New Roman" w:eastAsia="黑体" w:cs="Times New Roman"/>
          <w:bCs/>
          <w:color w:val="000000" w:themeColor="text1"/>
          <w:kern w:val="2"/>
          <w:sz w:val="24"/>
          <w:szCs w:val="21"/>
          <w:lang w:val="en-US" w:eastAsia="zh-CN" w:bidi="ar-SA"/>
          <w14:textFill>
            <w14:solidFill>
              <w14:schemeClr w14:val="tx1"/>
            </w14:solidFill>
          </w14:textFill>
        </w:rPr>
        <w:t>与基本农田位置关系图</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根据《中华人民共和国环境保护法》、《中华人民共和国环境影响评价法》、《国务院关于修改（建设项目环境保护管理条例）的决定》（2017年国务院第682号）等环保法律法规的要求，需对本项目开展环境影响评价工作。本项目为河道整治工程，根据《建设项目环境影响评价分类管理名录》（2021年版），项目属于“五十一、水利</w:t>
      </w:r>
      <w:r>
        <w:rPr>
          <w:rFonts w:hint="eastAsia"/>
          <w:color w:val="000000" w:themeColor="text1"/>
          <w:sz w:val="24"/>
          <w:lang w:val="en-US" w:eastAsia="zh-CN"/>
          <w14:textFill>
            <w14:solidFill>
              <w14:schemeClr w14:val="tx1"/>
            </w14:solidFill>
          </w14:textFill>
        </w:rPr>
        <w:t xml:space="preserve"> </w:t>
      </w:r>
      <w:r>
        <w:rPr>
          <w:color w:val="000000" w:themeColor="text1"/>
          <w:sz w:val="24"/>
          <w14:textFill>
            <w14:solidFill>
              <w14:schemeClr w14:val="tx1"/>
            </w14:solidFill>
          </w14:textFill>
        </w:rPr>
        <w:t>125、</w:t>
      </w:r>
      <w:r>
        <w:rPr>
          <w:rFonts w:hint="eastAsia"/>
          <w:color w:val="000000" w:themeColor="text1"/>
          <w:sz w:val="24"/>
          <w14:textFill>
            <w14:solidFill>
              <w14:schemeClr w14:val="tx1"/>
            </w14:solidFill>
          </w14:textFill>
        </w:rPr>
        <w:t>灌区</w:t>
      </w:r>
      <w:r>
        <w:rPr>
          <w:color w:val="000000" w:themeColor="text1"/>
          <w:sz w:val="24"/>
          <w14:textFill>
            <w14:solidFill>
              <w14:schemeClr w14:val="tx1"/>
            </w14:solidFill>
          </w14:textFill>
        </w:rPr>
        <w:t>工程（不含水源工程的）</w:t>
      </w:r>
      <w:r>
        <w:rPr>
          <w:rFonts w:hint="eastAsia"/>
          <w:color w:val="000000" w:themeColor="text1"/>
          <w:sz w:val="24"/>
          <w14:textFill>
            <w14:solidFill>
              <w14:schemeClr w14:val="tx1"/>
            </w14:solidFill>
          </w14:textFill>
        </w:rPr>
        <w:t>-涉及环境敏感区的</w:t>
      </w:r>
      <w:r>
        <w:rPr>
          <w:color w:val="000000" w:themeColor="text1"/>
          <w:sz w:val="24"/>
          <w14:textFill>
            <w14:solidFill>
              <w14:schemeClr w14:val="tx1"/>
            </w14:solidFill>
          </w14:textFill>
        </w:rPr>
        <w:t>”，应编制环境影响报告书</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由于花果山风景名胜区属于环境敏感区中的“风景名胜区”，而本项目南五、南六支渠大部分渠段位于花果山风景名胜区（十陵景区）三级保护区内，</w:t>
      </w:r>
      <w:r>
        <w:rPr>
          <w:color w:val="000000" w:themeColor="text1"/>
          <w:sz w:val="24"/>
          <w14:textFill>
            <w14:solidFill>
              <w14:schemeClr w14:val="tx1"/>
            </w14:solidFill>
          </w14:textFill>
        </w:rPr>
        <w:t>因此，</w:t>
      </w:r>
      <w:r>
        <w:rPr>
          <w:rFonts w:hint="eastAsia"/>
          <w:color w:val="000000" w:themeColor="text1"/>
          <w:sz w:val="24"/>
          <w14:textFill>
            <w14:solidFill>
              <w14:schemeClr w14:val="tx1"/>
            </w14:solidFill>
          </w14:textFill>
        </w:rPr>
        <w:t>成都天府绿道建设投资集团有限公司</w:t>
      </w:r>
      <w:r>
        <w:rPr>
          <w:color w:val="000000" w:themeColor="text1"/>
          <w:sz w:val="24"/>
          <w14:textFill>
            <w14:solidFill>
              <w14:schemeClr w14:val="tx1"/>
            </w14:solidFill>
          </w14:textFill>
        </w:rPr>
        <w:t>委托我单位开展本项目的环境影响报告书编制工作。我公司接受委托后，在研究有关文件、现场踏勘和调查的基础上，按照《环境影响评价技术导则》所规定的原则、方法、内容及要求，完成了《</w:t>
      </w:r>
      <w:r>
        <w:rPr>
          <w:rFonts w:hint="eastAsia"/>
          <w:color w:val="000000" w:themeColor="text1"/>
          <w:sz w:val="24"/>
          <w14:textFill>
            <w14:solidFill>
              <w14:schemeClr w14:val="tx1"/>
            </w14:solidFill>
          </w14:textFill>
        </w:rPr>
        <w:t>成都市环城生态区农田综合整治及农业灌区设施建设项目灌区水利设施建设（二标段）一期</w:t>
      </w:r>
      <w:r>
        <w:rPr>
          <w:color w:val="000000" w:themeColor="text1"/>
          <w:sz w:val="24"/>
          <w14:textFill>
            <w14:solidFill>
              <w14:schemeClr w14:val="tx1"/>
            </w14:solidFill>
          </w14:textFill>
        </w:rPr>
        <w:t>》的编制工作。</w:t>
      </w:r>
    </w:p>
    <w:p>
      <w:pPr>
        <w:adjustRightInd w:val="0"/>
        <w:snapToGrid w:val="0"/>
        <w:spacing w:line="360" w:lineRule="auto"/>
        <w:ind w:firstLine="643"/>
        <w:jc w:val="both"/>
        <w:rPr>
          <w:rFonts w:eastAsia="黑体"/>
          <w:b/>
          <w:color w:val="000000" w:themeColor="text1"/>
          <w:sz w:val="32"/>
          <w:szCs w:val="32"/>
          <w14:textFill>
            <w14:solidFill>
              <w14:schemeClr w14:val="tx1"/>
            </w14:solidFill>
          </w14:textFill>
        </w:rPr>
      </w:pPr>
      <w:r>
        <w:rPr>
          <w:rFonts w:eastAsia="黑体"/>
          <w:b/>
          <w:color w:val="000000" w:themeColor="text1"/>
          <w:sz w:val="32"/>
          <w:szCs w:val="32"/>
          <w14:textFill>
            <w14:solidFill>
              <w14:schemeClr w14:val="tx1"/>
            </w14:solidFill>
          </w14:textFill>
        </w:rPr>
        <w:t>2、项目特点</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14:textFill>
            <w14:solidFill>
              <w14:schemeClr w14:val="tx1"/>
            </w14:solidFill>
          </w14:textFill>
        </w:rPr>
        <w:t>本项目建设内容主要为</w:t>
      </w:r>
      <w:r>
        <w:rPr>
          <w:rFonts w:hint="eastAsia"/>
          <w:color w:val="000000" w:themeColor="text1"/>
          <w:sz w:val="24"/>
          <w14:textFill>
            <w14:solidFill>
              <w14:schemeClr w14:val="tx1"/>
            </w14:solidFill>
          </w14:textFill>
        </w:rPr>
        <w:t>对</w:t>
      </w:r>
      <w:r>
        <w:rPr>
          <w:rFonts w:hint="eastAsia"/>
          <w:color w:val="000000" w:themeColor="text1"/>
          <w:kern w:val="0"/>
          <w:sz w:val="24"/>
          <w:szCs w:val="24"/>
          <w14:textFill>
            <w14:solidFill>
              <w14:schemeClr w14:val="tx1"/>
            </w14:solidFill>
          </w14:textFill>
        </w:rPr>
        <w:t>南五支渠、南六支渠、北支一渠（上）、董家堰补水渠（上）、董家堰补水渠（下）5条渠道进行综合整治，</w:t>
      </w:r>
      <w:r>
        <w:rPr>
          <w:color w:val="000000" w:themeColor="text1"/>
          <w:sz w:val="24"/>
          <w:szCs w:val="24"/>
          <w14:textFill>
            <w14:solidFill>
              <w14:schemeClr w14:val="tx1"/>
            </w14:solidFill>
          </w14:textFill>
        </w:rPr>
        <w:t>项目建设主要涉及</w:t>
      </w:r>
      <w:r>
        <w:rPr>
          <w:rFonts w:hint="eastAsia"/>
          <w:color w:val="000000" w:themeColor="text1"/>
          <w:sz w:val="24"/>
          <w:szCs w:val="24"/>
          <w14:textFill>
            <w14:solidFill>
              <w14:schemeClr w14:val="tx1"/>
            </w14:solidFill>
          </w14:textFill>
        </w:rPr>
        <w:t>龙泉花果山风景名胜区三级保护区、</w:t>
      </w:r>
      <w:r>
        <w:rPr>
          <w:color w:val="000000" w:themeColor="text1"/>
          <w:sz w:val="24"/>
          <w:szCs w:val="24"/>
          <w14:textFill>
            <w14:solidFill>
              <w14:schemeClr w14:val="tx1"/>
            </w14:solidFill>
          </w14:textFill>
        </w:rPr>
        <w:t>成都市龙泉驿区东风渠、东干渠麻石桥集中式饮用水水源地</w:t>
      </w:r>
      <w:r>
        <w:rPr>
          <w:rFonts w:hint="eastAsia"/>
          <w:color w:val="000000" w:themeColor="text1"/>
          <w:sz w:val="24"/>
          <w:szCs w:val="24"/>
          <w14:textFill>
            <w14:solidFill>
              <w14:schemeClr w14:val="tx1"/>
            </w14:solidFill>
          </w14:textFill>
        </w:rPr>
        <w:t>准保护区陆域保护范围。</w:t>
      </w:r>
      <w:r>
        <w:rPr>
          <w:color w:val="000000" w:themeColor="text1"/>
          <w:sz w:val="24"/>
          <w:szCs w:val="24"/>
          <w14:textFill>
            <w14:solidFill>
              <w14:schemeClr w14:val="tx1"/>
            </w14:solidFill>
          </w14:textFill>
        </w:rPr>
        <w:t>根据《四川省人民政府关于印发四川省生态保护红线方案</w:t>
      </w:r>
      <w:r>
        <w:rPr>
          <w:rFonts w:hint="default" w:ascii="Times New Roman" w:hAnsi="Times New Roman" w:eastAsia="宋体" w:cs="Times New Roman"/>
          <w:color w:val="000000" w:themeColor="text1"/>
          <w:sz w:val="24"/>
          <w:szCs w:val="24"/>
          <w14:textFill>
            <w14:solidFill>
              <w14:schemeClr w14:val="tx1"/>
            </w14:solidFill>
          </w14:textFill>
        </w:rPr>
        <w:t>的通知》（川府发</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2018</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24号）</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以及《</w:t>
      </w:r>
      <w:r>
        <w:rPr>
          <w:rFonts w:hint="default" w:ascii="Times New Roman" w:hAnsi="Times New Roman" w:eastAsia="宋体" w:cs="Times New Roman"/>
          <w:bCs/>
          <w:color w:val="000000" w:themeColor="text1"/>
          <w:sz w:val="24"/>
          <w:szCs w:val="24"/>
          <w14:textFill>
            <w14:solidFill>
              <w14:schemeClr w14:val="tx1"/>
            </w14:solidFill>
          </w14:textFill>
        </w:rPr>
        <w:t>成都市“三线一单”生态环境分区管控方案（2023年版）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可</w:t>
      </w:r>
      <w:r>
        <w:rPr>
          <w:color w:val="000000" w:themeColor="text1"/>
          <w:sz w:val="24"/>
          <w:szCs w:val="24"/>
          <w14:textFill>
            <w14:solidFill>
              <w14:schemeClr w14:val="tx1"/>
            </w14:solidFill>
          </w14:textFill>
        </w:rPr>
        <w:t>知，本项目不在生态保护红线范围内，本项目占地</w:t>
      </w:r>
      <w:r>
        <w:rPr>
          <w:rFonts w:hint="eastAsia"/>
          <w:color w:val="000000" w:themeColor="text1"/>
          <w:sz w:val="24"/>
          <w:szCs w:val="24"/>
          <w14:textFill>
            <w14:solidFill>
              <w14:schemeClr w14:val="tx1"/>
            </w14:solidFill>
          </w14:textFill>
        </w:rPr>
        <w:t>分为永久占地和</w:t>
      </w:r>
      <w:r>
        <w:rPr>
          <w:color w:val="000000" w:themeColor="text1"/>
          <w:sz w:val="24"/>
          <w:szCs w:val="24"/>
          <w14:textFill>
            <w14:solidFill>
              <w14:schemeClr w14:val="tx1"/>
            </w14:solidFill>
          </w14:textFill>
        </w:rPr>
        <w:t>临时占地，占地类型主要为水域及水利设施用地、耕地、</w:t>
      </w:r>
      <w:r>
        <w:rPr>
          <w:rFonts w:hint="eastAsia"/>
          <w:color w:val="000000" w:themeColor="text1"/>
          <w:sz w:val="24"/>
          <w:szCs w:val="24"/>
          <w14:textFill>
            <w14:solidFill>
              <w14:schemeClr w14:val="tx1"/>
            </w14:solidFill>
          </w14:textFill>
        </w:rPr>
        <w:t>林地</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建设用地、其他用地</w:t>
      </w:r>
      <w:r>
        <w:rPr>
          <w:color w:val="000000" w:themeColor="text1"/>
          <w:sz w:val="24"/>
          <w:szCs w:val="24"/>
          <w14:textFill>
            <w14:solidFill>
              <w14:schemeClr w14:val="tx1"/>
            </w14:solidFill>
          </w14:textFill>
        </w:rPr>
        <w:t>。</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本项目属于</w:t>
      </w:r>
      <w:r>
        <w:rPr>
          <w:rFonts w:hint="eastAsia"/>
          <w:color w:val="000000" w:themeColor="text1"/>
          <w:sz w:val="24"/>
          <w14:textFill>
            <w14:solidFill>
              <w14:schemeClr w14:val="tx1"/>
            </w14:solidFill>
          </w14:textFill>
        </w:rPr>
        <w:t>渠道整治</w:t>
      </w:r>
      <w:r>
        <w:rPr>
          <w:color w:val="000000" w:themeColor="text1"/>
          <w:sz w:val="24"/>
          <w14:textFill>
            <w14:solidFill>
              <w14:schemeClr w14:val="tx1"/>
            </w14:solidFill>
          </w14:textFill>
        </w:rPr>
        <w:t>工程，</w:t>
      </w:r>
      <w:r>
        <w:rPr>
          <w:rFonts w:hint="eastAsia"/>
          <w:color w:val="000000" w:themeColor="text1"/>
          <w:sz w:val="24"/>
          <w14:textFill>
            <w14:solidFill>
              <w14:schemeClr w14:val="tx1"/>
            </w14:solidFill>
          </w14:textFill>
        </w:rPr>
        <w:t>仅对现有渠道进行整治，</w:t>
      </w:r>
      <w:r>
        <w:rPr>
          <w:color w:val="000000" w:themeColor="text1"/>
          <w:sz w:val="24"/>
          <w14:textFill>
            <w14:solidFill>
              <w14:schemeClr w14:val="tx1"/>
            </w14:solidFill>
          </w14:textFill>
        </w:rPr>
        <w:t>项目的实施改善了</w:t>
      </w:r>
      <w:r>
        <w:rPr>
          <w:rFonts w:hint="eastAsia"/>
          <w:color w:val="000000" w:themeColor="text1"/>
          <w:sz w:val="24"/>
          <w14:textFill>
            <w14:solidFill>
              <w14:schemeClr w14:val="tx1"/>
            </w14:solidFill>
          </w14:textFill>
        </w:rPr>
        <w:t>区域农业灌溉</w:t>
      </w:r>
      <w:r>
        <w:rPr>
          <w:color w:val="000000" w:themeColor="text1"/>
          <w:sz w:val="24"/>
          <w14:textFill>
            <w14:solidFill>
              <w14:schemeClr w14:val="tx1"/>
            </w14:solidFill>
          </w14:textFill>
        </w:rPr>
        <w:t>能力</w:t>
      </w:r>
      <w:r>
        <w:rPr>
          <w:rFonts w:hint="eastAsia"/>
          <w:color w:val="000000" w:themeColor="text1"/>
          <w:sz w:val="24"/>
          <w14:textFill>
            <w14:solidFill>
              <w14:schemeClr w14:val="tx1"/>
            </w14:solidFill>
          </w14:textFill>
        </w:rPr>
        <w:t>和排涝能力</w:t>
      </w:r>
      <w:r>
        <w:rPr>
          <w:color w:val="000000" w:themeColor="text1"/>
          <w:sz w:val="24"/>
          <w14:textFill>
            <w14:solidFill>
              <w14:schemeClr w14:val="tx1"/>
            </w14:solidFill>
          </w14:textFill>
        </w:rPr>
        <w:t>。除了施工期的</w:t>
      </w:r>
      <w:r>
        <w:rPr>
          <w:rFonts w:ascii="Times New Roman" w:hAnsi="Times New Roman" w:eastAsia="宋体" w:cs="Times New Roman"/>
          <w:color w:val="000000" w:themeColor="text1"/>
          <w:sz w:val="24"/>
          <w14:textFill>
            <w14:solidFill>
              <w14:schemeClr w14:val="tx1"/>
            </w14:solidFill>
          </w14:textFill>
        </w:rPr>
        <w:t>暂时性影响以外，项目运营期对水环境、大气环境的景观生态等均具有正效益。本次评价主要关注施工期环境影响及其污染防治措施的可行性</w:t>
      </w:r>
      <w:r>
        <w:rPr>
          <w:rFonts w:hint="eastAsia" w:ascii="Times New Roman" w:hAnsi="Times New Roman" w:eastAsia="宋体" w:cs="Times New Roman"/>
          <w:color w:val="000000" w:themeColor="text1"/>
          <w:sz w:val="24"/>
          <w:lang w:val="en-US" w:eastAsia="zh-CN"/>
          <w14:textFill>
            <w14:solidFill>
              <w14:schemeClr w14:val="tx1"/>
            </w14:solidFill>
          </w14:textFill>
        </w:rPr>
        <w:t>和灌溉退水受纳河流的水文情势与水质情况</w:t>
      </w:r>
      <w:r>
        <w:rPr>
          <w:rFonts w:ascii="Times New Roman" w:hAnsi="Times New Roman" w:eastAsia="宋体" w:cs="Times New Roman"/>
          <w:color w:val="000000" w:themeColor="text1"/>
          <w:sz w:val="24"/>
          <w14:textFill>
            <w14:solidFill>
              <w14:schemeClr w14:val="tx1"/>
            </w14:solidFill>
          </w14:textFill>
        </w:rPr>
        <w:t>。</w:t>
      </w:r>
    </w:p>
    <w:p>
      <w:pPr>
        <w:adjustRightInd w:val="0"/>
        <w:snapToGrid w:val="0"/>
        <w:spacing w:line="360" w:lineRule="auto"/>
        <w:ind w:firstLine="643"/>
        <w:jc w:val="both"/>
        <w:rPr>
          <w:rFonts w:eastAsia="黑体"/>
          <w:b/>
          <w:color w:val="000000" w:themeColor="text1"/>
          <w:sz w:val="32"/>
          <w:szCs w:val="32"/>
          <w14:textFill>
            <w14:solidFill>
              <w14:schemeClr w14:val="tx1"/>
            </w14:solidFill>
          </w14:textFill>
        </w:rPr>
      </w:pPr>
      <w:bookmarkStart w:id="30" w:name="_Toc14338"/>
      <w:bookmarkStart w:id="31" w:name="_Toc27552560"/>
      <w:bookmarkStart w:id="32" w:name="_Toc4596"/>
      <w:bookmarkStart w:id="33" w:name="_Toc12432"/>
      <w:r>
        <w:rPr>
          <w:rFonts w:eastAsia="黑体"/>
          <w:b/>
          <w:color w:val="000000" w:themeColor="text1"/>
          <w:sz w:val="32"/>
          <w:szCs w:val="32"/>
          <w14:textFill>
            <w14:solidFill>
              <w14:schemeClr w14:val="tx1"/>
            </w14:solidFill>
          </w14:textFill>
        </w:rPr>
        <w:t>3、环境影响评价的工作过程</w:t>
      </w:r>
      <w:bookmarkEnd w:id="30"/>
      <w:bookmarkEnd w:id="31"/>
      <w:bookmarkEnd w:id="32"/>
      <w:bookmarkEnd w:id="33"/>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环境影响评价一般分为三个阶段，即调查分析和工作方案制定阶段，分析论证和预测评价阶段，环境影响报告书编制阶段。本次环境影响评价的工作程序详见图1。</w:t>
      </w:r>
    </w:p>
    <w:p>
      <w:pPr>
        <w:adjustRightInd w:val="0"/>
        <w:snapToGrid w:val="0"/>
        <w:spacing w:line="360" w:lineRule="auto"/>
        <w:jc w:val="center"/>
        <w:rPr>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0" distR="0">
            <wp:extent cx="5505450" cy="4526915"/>
            <wp:effectExtent l="0" t="0" r="0" b="6985"/>
            <wp:docPr id="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505450" cy="4526915"/>
                    </a:xfrm>
                    <a:prstGeom prst="rect">
                      <a:avLst/>
                    </a:prstGeom>
                    <a:noFill/>
                    <a:ln>
                      <a:noFill/>
                    </a:ln>
                  </pic:spPr>
                </pic:pic>
              </a:graphicData>
            </a:graphic>
          </wp:inline>
        </w:drawing>
      </w:r>
    </w:p>
    <w:p>
      <w:pPr>
        <w:pStyle w:val="73"/>
        <w:tabs>
          <w:tab w:val="left" w:pos="1564"/>
        </w:tabs>
        <w:ind w:left="0" w:firstLine="482"/>
        <w:jc w:val="center"/>
        <w:rPr>
          <w:rFonts w:eastAsia="黑体"/>
          <w:bCs/>
          <w:color w:val="000000" w:themeColor="text1"/>
          <w:sz w:val="24"/>
          <w14:textFill>
            <w14:solidFill>
              <w14:schemeClr w14:val="tx1"/>
            </w14:solidFill>
          </w14:textFill>
        </w:rPr>
      </w:pPr>
      <w:bookmarkStart w:id="34" w:name="1.2建设项目特点"/>
      <w:bookmarkEnd w:id="34"/>
      <w:bookmarkStart w:id="35" w:name="_bookmark3"/>
      <w:bookmarkEnd w:id="35"/>
      <w:r>
        <w:rPr>
          <w:rFonts w:eastAsia="黑体"/>
          <w:bCs/>
          <w:color w:val="000000" w:themeColor="text1"/>
          <w:sz w:val="24"/>
          <w14:textFill>
            <w14:solidFill>
              <w14:schemeClr w14:val="tx1"/>
            </w14:solidFill>
          </w14:textFill>
        </w:rPr>
        <w:t>图</w:t>
      </w:r>
      <w:r>
        <w:rPr>
          <w:rFonts w:hint="eastAsia" w:eastAsia="黑体"/>
          <w:bCs/>
          <w:color w:val="000000" w:themeColor="text1"/>
          <w:sz w:val="24"/>
          <w:lang w:val="en-US" w:eastAsia="zh-CN"/>
          <w14:textFill>
            <w14:solidFill>
              <w14:schemeClr w14:val="tx1"/>
            </w14:solidFill>
          </w14:textFill>
        </w:rPr>
        <w:t>2</w:t>
      </w:r>
      <w:r>
        <w:rPr>
          <w:rFonts w:hint="eastAsia" w:eastAsia="黑体"/>
          <w:bCs/>
          <w:color w:val="000000" w:themeColor="text1"/>
          <w:sz w:val="24"/>
          <w14:textFill>
            <w14:solidFill>
              <w14:schemeClr w14:val="tx1"/>
            </w14:solidFill>
          </w14:textFill>
        </w:rPr>
        <w:t xml:space="preserve"> </w:t>
      </w:r>
      <w:r>
        <w:rPr>
          <w:rFonts w:eastAsia="黑体"/>
          <w:bCs/>
          <w:color w:val="000000" w:themeColor="text1"/>
          <w:sz w:val="24"/>
          <w14:textFill>
            <w14:solidFill>
              <w14:schemeClr w14:val="tx1"/>
            </w14:solidFill>
          </w14:textFill>
        </w:rPr>
        <w:t>环境影响评价工作程序图</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202</w:t>
      </w: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5日</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四川环川盛达环保科技有限责任公司</w:t>
      </w:r>
      <w:r>
        <w:rPr>
          <w:color w:val="000000" w:themeColor="text1"/>
          <w:sz w:val="24"/>
          <w:szCs w:val="24"/>
          <w14:textFill>
            <w14:solidFill>
              <w14:schemeClr w14:val="tx1"/>
            </w14:solidFill>
          </w14:textFill>
        </w:rPr>
        <w:t>受</w:t>
      </w:r>
      <w:r>
        <w:rPr>
          <w:rFonts w:hint="eastAsia"/>
          <w:color w:val="000000" w:themeColor="text1"/>
          <w:sz w:val="24"/>
          <w:szCs w:val="24"/>
          <w:lang w:bidi="ar"/>
          <w14:textFill>
            <w14:solidFill>
              <w14:schemeClr w14:val="tx1"/>
            </w14:solidFill>
          </w14:textFill>
        </w:rPr>
        <w:t>成都天府绿道建设投资集团有限公司</w:t>
      </w:r>
      <w:r>
        <w:rPr>
          <w:color w:val="000000" w:themeColor="text1"/>
          <w:sz w:val="24"/>
          <w:szCs w:val="24"/>
          <w14:textFill>
            <w14:solidFill>
              <w14:schemeClr w14:val="tx1"/>
            </w14:solidFill>
          </w14:textFill>
        </w:rPr>
        <w:t>委托，承担《</w:t>
      </w:r>
      <w:r>
        <w:rPr>
          <w:rFonts w:hint="eastAsia"/>
          <w:color w:val="000000" w:themeColor="text1"/>
          <w:sz w:val="24"/>
          <w:szCs w:val="24"/>
          <w14:textFill>
            <w14:solidFill>
              <w14:schemeClr w14:val="tx1"/>
            </w14:solidFill>
          </w14:textFill>
        </w:rPr>
        <w:t>成都市环城生态区农田综合整治及农业灌区设施建设项目灌区水利设施建设（二标段）一期</w:t>
      </w:r>
      <w:r>
        <w:rPr>
          <w:color w:val="000000" w:themeColor="text1"/>
          <w:sz w:val="24"/>
          <w:szCs w:val="24"/>
          <w14:textFill>
            <w14:solidFill>
              <w14:schemeClr w14:val="tx1"/>
            </w14:solidFill>
          </w14:textFill>
        </w:rPr>
        <w:t>》的编制工作</w:t>
      </w:r>
      <w:r>
        <w:rPr>
          <w:rFonts w:hint="eastAsia"/>
          <w:color w:val="000000" w:themeColor="text1"/>
          <w:sz w:val="24"/>
          <w:szCs w:val="24"/>
          <w14:textFill>
            <w14:solidFill>
              <w14:schemeClr w14:val="tx1"/>
            </w14:solidFill>
          </w14:textFill>
        </w:rPr>
        <w:t>，接受委托后即成立了项目组</w:t>
      </w:r>
      <w:r>
        <w:rPr>
          <w:color w:val="000000" w:themeColor="text1"/>
          <w:sz w:val="24"/>
          <w:szCs w:val="24"/>
          <w14:textFill>
            <w14:solidFill>
              <w14:schemeClr w14:val="tx1"/>
            </w14:solidFill>
          </w14:textFill>
        </w:rPr>
        <w:t>；</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202</w:t>
      </w: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月11日~3</w:t>
      </w:r>
      <w:r>
        <w:rPr>
          <w:rFonts w:hint="eastAsia"/>
          <w:color w:val="000000" w:themeColor="text1"/>
          <w:sz w:val="24"/>
          <w:szCs w:val="24"/>
          <w14:textFill>
            <w14:solidFill>
              <w14:schemeClr w14:val="tx1"/>
            </w14:solidFill>
          </w14:textFill>
        </w:rPr>
        <w:t>月12</w:t>
      </w:r>
      <w:r>
        <w:rPr>
          <w:color w:val="000000" w:themeColor="text1"/>
          <w:sz w:val="24"/>
          <w:szCs w:val="24"/>
          <w14:textFill>
            <w14:solidFill>
              <w14:schemeClr w14:val="tx1"/>
            </w14:solidFill>
          </w14:textFill>
        </w:rPr>
        <w:t>日，</w:t>
      </w:r>
      <w:r>
        <w:rPr>
          <w:rFonts w:hint="eastAsia"/>
          <w:color w:val="000000" w:themeColor="text1"/>
          <w:sz w:val="24"/>
          <w:szCs w:val="24"/>
          <w14:textFill>
            <w14:solidFill>
              <w14:schemeClr w14:val="tx1"/>
            </w14:solidFill>
          </w14:textFill>
        </w:rPr>
        <w:t>项目组环评技术人员收集了项目相关资料，认真研究后依据《建设项目环境影响评价分类管理名录》确定了项目环境影响评价文件类型，经初步工程分析，对项目主要环境影响进行了识别，确定了评价重点、评价工作等级及评价范围，制定了环评工作方案。</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202</w:t>
      </w: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5日~3月</w:t>
      </w:r>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7日，</w:t>
      </w:r>
      <w:r>
        <w:rPr>
          <w:rFonts w:hint="eastAsia"/>
          <w:color w:val="000000" w:themeColor="text1"/>
          <w:sz w:val="24"/>
          <w:szCs w:val="24"/>
          <w14:textFill>
            <w14:solidFill>
              <w14:schemeClr w14:val="tx1"/>
            </w14:solidFill>
          </w14:textFill>
        </w:rPr>
        <w:t>我公司组织项目组环评技术人员深入项目现场进行踏勘，根据路线的走向，在建设单位以及相关专业单位与部门的协作下，完成了对项目所在地区域地形地貌、周边环境概况及主要环境环保目标等有关情况的调查工作，补充收集了项目相关资料。</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202</w:t>
      </w: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29</w:t>
      </w:r>
      <w:r>
        <w:rPr>
          <w:color w:val="000000" w:themeColor="text1"/>
          <w:sz w:val="24"/>
          <w:szCs w:val="24"/>
          <w14:textFill>
            <w14:solidFill>
              <w14:schemeClr w14:val="tx1"/>
            </w14:solidFill>
          </w14:textFill>
        </w:rPr>
        <w:t>日，</w:t>
      </w:r>
      <w:r>
        <w:rPr>
          <w:rFonts w:hint="eastAsia"/>
          <w:color w:val="000000" w:themeColor="text1"/>
          <w:sz w:val="24"/>
          <w:szCs w:val="24"/>
          <w14:textFill>
            <w14:solidFill>
              <w14:schemeClr w14:val="tx1"/>
            </w14:solidFill>
          </w14:textFill>
        </w:rPr>
        <w:t>在充分研究项目设计资料及相关文件的基础上进行了工程分析，结合现场踏勘成果及环境质量现状监测结果进行了各环境要素环境影响预测及评价、各专题环境影响分析与评价，提出了相应的环境保护措施并对其进行了技术经济论证，给出了项目环境影响评价结论，整理、汇总后编制了项目环境影响报告书。</w:t>
      </w:r>
    </w:p>
    <w:p>
      <w:pPr>
        <w:adjustRightIn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202</w:t>
      </w: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年4月</w:t>
      </w:r>
      <w:r>
        <w:rPr>
          <w:rFonts w:hint="eastAsia"/>
          <w:color w:val="000000" w:themeColor="text1"/>
          <w:sz w:val="24"/>
          <w:szCs w:val="24"/>
          <w14:textFill>
            <w14:solidFill>
              <w14:schemeClr w14:val="tx1"/>
            </w14:solidFill>
          </w14:textFill>
        </w:rPr>
        <w:t>30</w:t>
      </w:r>
      <w:r>
        <w:rPr>
          <w:color w:val="000000" w:themeColor="text1"/>
          <w:sz w:val="24"/>
          <w:szCs w:val="24"/>
          <w14:textFill>
            <w14:solidFill>
              <w14:schemeClr w14:val="tx1"/>
            </w14:solidFill>
          </w14:textFill>
        </w:rPr>
        <w:t>日，该项目环境影响报告书初稿完成，进入</w:t>
      </w:r>
      <w:r>
        <w:rPr>
          <w:rFonts w:hint="eastAsia"/>
          <w:color w:val="000000" w:themeColor="text1"/>
          <w:sz w:val="24"/>
          <w:szCs w:val="24"/>
          <w14:textFill>
            <w14:solidFill>
              <w14:schemeClr w14:val="tx1"/>
            </w14:solidFill>
          </w14:textFill>
        </w:rPr>
        <w:t>四川环川盛达环保科技有限责任公司</w:t>
      </w:r>
      <w:r>
        <w:rPr>
          <w:color w:val="000000" w:themeColor="text1"/>
          <w:sz w:val="24"/>
          <w:szCs w:val="24"/>
          <w14:textFill>
            <w14:solidFill>
              <w14:schemeClr w14:val="tx1"/>
            </w14:solidFill>
          </w14:textFill>
        </w:rPr>
        <w:t>内审程序，经校核、审核、审定后，于</w:t>
      </w:r>
      <w:r>
        <w:rPr>
          <w:rFonts w:hint="eastAsia"/>
          <w:color w:val="000000" w:themeColor="text1"/>
          <w:sz w:val="24"/>
          <w:szCs w:val="24"/>
          <w14:textFill>
            <w14:solidFill>
              <w14:schemeClr w14:val="tx1"/>
            </w14:solidFill>
          </w14:textFill>
        </w:rPr>
        <w:t>5</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17</w:t>
      </w:r>
      <w:r>
        <w:rPr>
          <w:color w:val="000000" w:themeColor="text1"/>
          <w:sz w:val="24"/>
          <w:szCs w:val="24"/>
          <w14:textFill>
            <w14:solidFill>
              <w14:schemeClr w14:val="tx1"/>
            </w14:solidFill>
          </w14:textFill>
        </w:rPr>
        <w:t>日</w:t>
      </w:r>
      <w:r>
        <w:rPr>
          <w:rFonts w:hint="eastAsia"/>
          <w:color w:val="000000" w:themeColor="text1"/>
          <w:sz w:val="24"/>
          <w:szCs w:val="24"/>
          <w14:textFill>
            <w14:solidFill>
              <w14:schemeClr w14:val="tx1"/>
            </w14:solidFill>
          </w14:textFill>
        </w:rPr>
        <w:t>完成《成都市环城生态区农田综合整治及农业灌区设施建设项目灌区水利设施建设（二标段）一期（送审稿）》，</w:t>
      </w:r>
      <w:r>
        <w:rPr>
          <w:color w:val="000000" w:themeColor="text1"/>
          <w:sz w:val="24"/>
          <w:szCs w:val="24"/>
          <w14:textFill>
            <w14:solidFill>
              <w14:schemeClr w14:val="tx1"/>
            </w14:solidFill>
          </w14:textFill>
        </w:rPr>
        <w:t>待审批后作为项目环境管理的主要依据。</w:t>
      </w:r>
    </w:p>
    <w:p>
      <w:pPr>
        <w:adjustRightInd w:val="0"/>
        <w:snapToGrid w:val="0"/>
        <w:spacing w:line="360" w:lineRule="auto"/>
        <w:ind w:firstLine="643"/>
        <w:rPr>
          <w:rFonts w:eastAsia="黑体"/>
          <w:b/>
          <w:color w:val="000000" w:themeColor="text1"/>
          <w:sz w:val="32"/>
          <w:szCs w:val="32"/>
          <w14:textFill>
            <w14:solidFill>
              <w14:schemeClr w14:val="tx1"/>
            </w14:solidFill>
          </w14:textFill>
        </w:rPr>
      </w:pPr>
      <w:bookmarkStart w:id="36" w:name="1.3环境影响评价工作过程"/>
      <w:bookmarkEnd w:id="36"/>
      <w:bookmarkStart w:id="37" w:name="_bookmark4"/>
      <w:bookmarkEnd w:id="37"/>
      <w:bookmarkStart w:id="38" w:name="_Toc26744"/>
      <w:bookmarkStart w:id="39" w:name="_Toc12646"/>
      <w:bookmarkStart w:id="40" w:name="_Toc13727"/>
      <w:bookmarkStart w:id="41" w:name="_Toc27552561"/>
      <w:r>
        <w:rPr>
          <w:rFonts w:eastAsia="黑体"/>
          <w:b/>
          <w:color w:val="000000" w:themeColor="text1"/>
          <w:sz w:val="32"/>
          <w:szCs w:val="32"/>
          <w14:textFill>
            <w14:solidFill>
              <w14:schemeClr w14:val="tx1"/>
            </w14:solidFill>
          </w14:textFill>
        </w:rPr>
        <w:t>4、分析判定相关情况</w:t>
      </w:r>
      <w:bookmarkEnd w:id="38"/>
      <w:bookmarkEnd w:id="39"/>
      <w:bookmarkEnd w:id="40"/>
      <w:bookmarkEnd w:id="41"/>
    </w:p>
    <w:p>
      <w:pPr>
        <w:adjustRightInd w:val="0"/>
        <w:spacing w:line="360" w:lineRule="auto"/>
        <w:ind w:firstLine="480" w:firstLineChars="200"/>
        <w:jc w:val="both"/>
        <w:rPr>
          <w:color w:val="000000" w:themeColor="text1"/>
          <w:sz w:val="24"/>
          <w14:textFill>
            <w14:solidFill>
              <w14:schemeClr w14:val="tx1"/>
            </w14:solidFill>
          </w14:textFill>
        </w:rPr>
      </w:pPr>
      <w:bookmarkStart w:id="42" w:name="_Toc19871"/>
      <w:bookmarkStart w:id="43" w:name="_Toc15063"/>
      <w:bookmarkStart w:id="44" w:name="_Toc25215"/>
      <w:r>
        <w:rPr>
          <w:color w:val="000000" w:themeColor="text1"/>
          <w:sz w:val="24"/>
          <w14:textFill>
            <w14:solidFill>
              <w14:schemeClr w14:val="tx1"/>
            </w14:solidFill>
          </w14:textFill>
        </w:rPr>
        <w:t>（1）产业政策符合性分析</w:t>
      </w:r>
      <w:bookmarkEnd w:id="42"/>
      <w:bookmarkEnd w:id="43"/>
      <w:bookmarkEnd w:id="44"/>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本工程符合</w:t>
      </w:r>
      <w:r>
        <w:rPr>
          <w:rFonts w:hint="eastAsia" w:ascii="宋体" w:hAnsi="宋体" w:cs="宋体"/>
          <w:color w:val="000000" w:themeColor="text1"/>
          <w14:textFill>
            <w14:solidFill>
              <w14:schemeClr w14:val="tx1"/>
            </w14:solidFill>
          </w14:textFill>
        </w:rPr>
        <w:t>根据《产业结构调整指导目</w:t>
      </w:r>
      <w:r>
        <w:rPr>
          <w:color w:val="000000" w:themeColor="text1"/>
          <w14:textFill>
            <w14:solidFill>
              <w14:schemeClr w14:val="tx1"/>
            </w14:solidFill>
          </w14:textFill>
        </w:rPr>
        <w:t>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年本</w:t>
      </w:r>
      <w:r>
        <w:rPr>
          <w:rFonts w:hint="eastAsia" w:ascii="宋体" w:hAnsi="宋体" w:cs="宋体"/>
          <w:color w:val="000000" w:themeColor="text1"/>
          <w14:textFill>
            <w14:solidFill>
              <w14:schemeClr w14:val="tx1"/>
            </w14:solidFill>
          </w14:textFill>
        </w:rPr>
        <w:t>）》，本项目属于“鼓励类”中第二条水利“</w:t>
      </w:r>
      <w:r>
        <w:rPr>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节水供水工程：农村供水工程，灌区及配套设施建设、改造，高效输配水、节水灌溉技术推广应用，灌溉排水泵站更新改造工程，合同节水管理，节水改造工程，节水工艺、技术和装备推广应用，城镇用水单位智慧节水系统开发与应用，非常规水源开发利用。”</w:t>
      </w:r>
      <w:r>
        <w:rPr>
          <w:color w:val="000000" w:themeColor="text1"/>
          <w14:textFill>
            <w14:solidFill>
              <w14:schemeClr w14:val="tx1"/>
            </w14:solidFill>
          </w14:textFill>
        </w:rPr>
        <w:t>因此，本项目符合国家的产业政策。</w:t>
      </w:r>
    </w:p>
    <w:p>
      <w:pPr>
        <w:adjustRightInd w:val="0"/>
        <w:snapToGrid w:val="0"/>
        <w:spacing w:line="360" w:lineRule="auto"/>
        <w:ind w:firstLine="480" w:firstLineChars="200"/>
        <w:jc w:val="both"/>
        <w:rPr>
          <w:color w:val="000000" w:themeColor="text1"/>
          <w:sz w:val="24"/>
          <w14:textFill>
            <w14:solidFill>
              <w14:schemeClr w14:val="tx1"/>
            </w14:solidFill>
          </w14:textFill>
        </w:rPr>
      </w:pPr>
      <w:bookmarkStart w:id="45" w:name="_Toc4567"/>
      <w:bookmarkStart w:id="46" w:name="_Toc11109"/>
      <w:bookmarkStart w:id="47" w:name="_Toc25799"/>
      <w:r>
        <w:rPr>
          <w:color w:val="000000" w:themeColor="text1"/>
          <w:sz w:val="24"/>
          <w14:textFill>
            <w14:solidFill>
              <w14:schemeClr w14:val="tx1"/>
            </w14:solidFill>
          </w14:textFill>
        </w:rPr>
        <w:t>（2）规划符合性分析</w:t>
      </w:r>
      <w:bookmarkEnd w:id="45"/>
      <w:bookmarkEnd w:id="46"/>
      <w:bookmarkEnd w:id="47"/>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本工程位于四川省</w:t>
      </w:r>
      <w:r>
        <w:rPr>
          <w:rFonts w:hint="eastAsia"/>
          <w:color w:val="000000" w:themeColor="text1"/>
          <w:sz w:val="24"/>
          <w14:textFill>
            <w14:solidFill>
              <w14:schemeClr w14:val="tx1"/>
            </w14:solidFill>
          </w14:textFill>
        </w:rPr>
        <w:t>成都市新都区、龙泉驿区</w:t>
      </w:r>
      <w:r>
        <w:rPr>
          <w:color w:val="000000" w:themeColor="text1"/>
          <w:sz w:val="24"/>
          <w14:textFill>
            <w14:solidFill>
              <w14:schemeClr w14:val="tx1"/>
            </w14:solidFill>
          </w14:textFill>
        </w:rPr>
        <w:t>，与</w:t>
      </w:r>
      <w:r>
        <w:rPr>
          <w:rFonts w:hint="eastAsia"/>
          <w:color w:val="000000" w:themeColor="text1"/>
          <w:sz w:val="24"/>
          <w14:textFill>
            <w14:solidFill>
              <w14:schemeClr w14:val="tx1"/>
            </w14:solidFill>
          </w14:textFill>
        </w:rPr>
        <w:t>成都市</w:t>
      </w:r>
      <w:r>
        <w:rPr>
          <w:color w:val="000000" w:themeColor="text1"/>
          <w:sz w:val="24"/>
          <w14:textFill>
            <w14:solidFill>
              <w14:schemeClr w14:val="tx1"/>
            </w14:solidFill>
          </w14:textFill>
        </w:rPr>
        <w:t>城市总体规划</w:t>
      </w:r>
      <w:r>
        <w:rPr>
          <w:rFonts w:hint="eastAsia"/>
          <w:color w:val="000000" w:themeColor="text1"/>
          <w:sz w:val="24"/>
          <w14:textFill>
            <w14:solidFill>
              <w14:schemeClr w14:val="tx1"/>
            </w14:solidFill>
          </w14:textFill>
        </w:rPr>
        <w:t>相符</w:t>
      </w:r>
      <w:r>
        <w:rPr>
          <w:color w:val="000000" w:themeColor="text1"/>
          <w:sz w:val="24"/>
          <w14:textFill>
            <w14:solidFill>
              <w14:schemeClr w14:val="tx1"/>
            </w14:solidFill>
          </w14:textFill>
        </w:rPr>
        <w:t>，与</w:t>
      </w:r>
      <w:r>
        <w:rPr>
          <w:rFonts w:hint="eastAsia"/>
          <w:color w:val="000000" w:themeColor="text1"/>
          <w:sz w:val="24"/>
          <w14:textFill>
            <w14:solidFill>
              <w14:schemeClr w14:val="tx1"/>
            </w14:solidFill>
          </w14:textFill>
        </w:rPr>
        <w:t>《成都市国民经济和社会发展第十四个五年规划和二〇三五年远景目标纲要》</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《成都市环城生态区总体规划》</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《成都市“十四五”农业农村现代化规划》、《</w:t>
      </w:r>
      <w:r>
        <w:rPr>
          <w:color w:val="000000" w:themeColor="text1"/>
          <w:sz w:val="24"/>
          <w14:textFill>
            <w14:solidFill>
              <w14:schemeClr w14:val="tx1"/>
            </w14:solidFill>
          </w14:textFill>
        </w:rPr>
        <w:t>水利建设项目（灌区工程）环境影响评价文件审批原则</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相符。</w:t>
      </w:r>
    </w:p>
    <w:p>
      <w:pPr>
        <w:adjustRightInd w:val="0"/>
        <w:snapToGrid w:val="0"/>
        <w:spacing w:line="360" w:lineRule="auto"/>
        <w:ind w:firstLine="480" w:firstLineChars="200"/>
        <w:jc w:val="both"/>
        <w:rPr>
          <w:color w:val="000000" w:themeColor="text1"/>
          <w:sz w:val="24"/>
          <w14:textFill>
            <w14:solidFill>
              <w14:schemeClr w14:val="tx1"/>
            </w14:solidFill>
          </w14:textFill>
        </w:rPr>
      </w:pPr>
      <w:bookmarkStart w:id="48" w:name="_Toc9829"/>
      <w:bookmarkStart w:id="49" w:name="_Toc11411"/>
      <w:bookmarkStart w:id="50" w:name="_Toc17351"/>
      <w:r>
        <w:rPr>
          <w:color w:val="000000" w:themeColor="text1"/>
          <w:sz w:val="24"/>
          <w14:textFill>
            <w14:solidFill>
              <w14:schemeClr w14:val="tx1"/>
            </w14:solidFill>
          </w14:textFill>
        </w:rPr>
        <w:t>（3）与“三线一单”符合性分析</w:t>
      </w:r>
      <w:bookmarkEnd w:id="48"/>
      <w:bookmarkEnd w:id="49"/>
      <w:bookmarkEnd w:id="50"/>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经过与“三线一单”进行对照后，项目不在生态保护红线内、未超出环境质量底线及资源利用上线、未列入环境准入负面清单内。</w:t>
      </w:r>
    </w:p>
    <w:p>
      <w:pPr>
        <w:adjustRightInd w:val="0"/>
        <w:snapToGrid w:val="0"/>
        <w:spacing w:line="360" w:lineRule="auto"/>
        <w:ind w:firstLine="643"/>
        <w:rPr>
          <w:rFonts w:eastAsia="黑体"/>
          <w:b/>
          <w:color w:val="000000" w:themeColor="text1"/>
          <w:sz w:val="32"/>
          <w:szCs w:val="32"/>
          <w14:textFill>
            <w14:solidFill>
              <w14:schemeClr w14:val="tx1"/>
            </w14:solidFill>
          </w14:textFill>
        </w:rPr>
      </w:pPr>
      <w:bookmarkStart w:id="51" w:name="_Toc27552562"/>
      <w:bookmarkStart w:id="52" w:name="_Toc20486"/>
      <w:bookmarkStart w:id="53" w:name="_Toc1117"/>
      <w:bookmarkStart w:id="54" w:name="_Toc13197"/>
      <w:r>
        <w:rPr>
          <w:rFonts w:eastAsia="黑体"/>
          <w:b/>
          <w:color w:val="000000" w:themeColor="text1"/>
          <w:sz w:val="32"/>
          <w:szCs w:val="32"/>
          <w14:textFill>
            <w14:solidFill>
              <w14:schemeClr w14:val="tx1"/>
            </w14:solidFill>
          </w14:textFill>
        </w:rPr>
        <w:t>5、关注的主要环境问题及环境影响</w:t>
      </w:r>
      <w:bookmarkEnd w:id="51"/>
      <w:bookmarkEnd w:id="52"/>
      <w:bookmarkEnd w:id="53"/>
      <w:bookmarkEnd w:id="54"/>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本项目为</w:t>
      </w:r>
      <w:r>
        <w:rPr>
          <w:rFonts w:hint="eastAsia"/>
          <w:color w:val="000000" w:themeColor="text1"/>
          <w:sz w:val="24"/>
          <w14:textFill>
            <w14:solidFill>
              <w14:schemeClr w14:val="tx1"/>
            </w14:solidFill>
          </w14:textFill>
        </w:rPr>
        <w:t>灌区渠道整治项目</w:t>
      </w:r>
      <w:r>
        <w:rPr>
          <w:color w:val="000000" w:themeColor="text1"/>
          <w:sz w:val="24"/>
          <w14:textFill>
            <w14:solidFill>
              <w14:schemeClr w14:val="tx1"/>
            </w14:solidFill>
          </w14:textFill>
        </w:rPr>
        <w:t>，本工程重点关注的主要环境问题为：</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（1）项目建设对水生生态、水环境影响及污染控制措施、环境风险影响及防范、应急要求等。</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（2）项目生态环境影响重点分析工程建设对</w:t>
      </w:r>
      <w:r>
        <w:rPr>
          <w:rFonts w:hint="eastAsia"/>
          <w:color w:val="000000" w:themeColor="text1"/>
          <w:sz w:val="24"/>
          <w14:textFill>
            <w14:solidFill>
              <w14:schemeClr w14:val="tx1"/>
            </w14:solidFill>
          </w14:textFill>
        </w:rPr>
        <w:t>工程评价范围内陆生植被、花果山风景名胜区（十陵景区）陆生水生生态、工程渠段水文情势</w:t>
      </w:r>
      <w:r>
        <w:rPr>
          <w:color w:val="000000" w:themeColor="text1"/>
          <w:sz w:val="24"/>
          <w14:textFill>
            <w14:solidFill>
              <w14:schemeClr w14:val="tx1"/>
            </w14:solidFill>
          </w14:textFill>
        </w:rPr>
        <w:t>的影响；</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（3）项目水环境重点评价工程建设产生的水文情势变化，施工期对水环境的影响；</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（4）项目环境污染防治措施重点分析施工期水环境保护、生态保护措施以及</w:t>
      </w:r>
      <w:r>
        <w:rPr>
          <w:rFonts w:hint="eastAsia"/>
          <w:color w:val="000000" w:themeColor="text1"/>
          <w:sz w:val="24"/>
          <w14:textFill>
            <w14:solidFill>
              <w14:schemeClr w14:val="tx1"/>
            </w14:solidFill>
          </w14:textFill>
        </w:rPr>
        <w:t>设备</w:t>
      </w:r>
      <w:r>
        <w:rPr>
          <w:color w:val="000000" w:themeColor="text1"/>
          <w:sz w:val="24"/>
          <w14:textFill>
            <w14:solidFill>
              <w14:schemeClr w14:val="tx1"/>
            </w14:solidFill>
          </w14:textFill>
        </w:rPr>
        <w:t>污染事故防范措施及应急预案。</w:t>
      </w:r>
    </w:p>
    <w:p>
      <w:pPr>
        <w:adjustRightInd w:val="0"/>
        <w:snapToGrid w:val="0"/>
        <w:spacing w:line="360" w:lineRule="auto"/>
        <w:ind w:firstLine="643"/>
        <w:rPr>
          <w:rFonts w:eastAsia="黑体"/>
          <w:b/>
          <w:color w:val="000000" w:themeColor="text1"/>
          <w:sz w:val="32"/>
          <w:szCs w:val="32"/>
          <w14:textFill>
            <w14:solidFill>
              <w14:schemeClr w14:val="tx1"/>
            </w14:solidFill>
          </w14:textFill>
        </w:rPr>
      </w:pPr>
      <w:bookmarkStart w:id="55" w:name="_Toc3930"/>
      <w:bookmarkStart w:id="56" w:name="_Toc27552563"/>
      <w:bookmarkStart w:id="57" w:name="_Toc7872"/>
      <w:bookmarkStart w:id="58" w:name="_Toc230"/>
      <w:r>
        <w:rPr>
          <w:rFonts w:eastAsia="黑体"/>
          <w:b/>
          <w:color w:val="000000" w:themeColor="text1"/>
          <w:sz w:val="32"/>
          <w:szCs w:val="32"/>
          <w14:textFill>
            <w14:solidFill>
              <w14:schemeClr w14:val="tx1"/>
            </w14:solidFill>
          </w14:textFill>
        </w:rPr>
        <w:t>6、</w:t>
      </w:r>
      <w:bookmarkEnd w:id="55"/>
      <w:bookmarkEnd w:id="56"/>
      <w:bookmarkEnd w:id="57"/>
      <w:bookmarkEnd w:id="58"/>
      <w:r>
        <w:rPr>
          <w:rFonts w:eastAsia="黑体"/>
          <w:b/>
          <w:color w:val="000000" w:themeColor="text1"/>
          <w:sz w:val="32"/>
          <w:szCs w:val="32"/>
          <w14:textFill>
            <w14:solidFill>
              <w14:schemeClr w14:val="tx1"/>
            </w14:solidFill>
          </w14:textFill>
        </w:rPr>
        <w:t>评价结论</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（1）工程符合国家发展和改革委员会令第29号《产业结构调整指导目录（20</w:t>
      </w:r>
      <w:r>
        <w:rPr>
          <w:rFonts w:hint="eastAsia"/>
          <w:color w:val="000000" w:themeColor="text1"/>
          <w:sz w:val="24"/>
          <w14:textFill>
            <w14:solidFill>
              <w14:schemeClr w14:val="tx1"/>
            </w14:solidFill>
          </w14:textFill>
        </w:rPr>
        <w:t>24</w:t>
      </w:r>
      <w:r>
        <w:rPr>
          <w:color w:val="000000" w:themeColor="text1"/>
          <w:sz w:val="24"/>
          <w14:textFill>
            <w14:solidFill>
              <w14:schemeClr w14:val="tx1"/>
            </w14:solidFill>
          </w14:textFill>
        </w:rPr>
        <w:t>年本）》中的相关要求。</w:t>
      </w: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已取得</w:t>
      </w:r>
      <w:r>
        <w:rPr>
          <w:rFonts w:hint="eastAsia"/>
          <w:color w:val="000000" w:themeColor="text1"/>
          <w:sz w:val="24"/>
          <w14:textFill>
            <w14:solidFill>
              <w14:schemeClr w14:val="tx1"/>
            </w14:solidFill>
          </w14:textFill>
        </w:rPr>
        <w:t>成都市水务局出具的批复文件（成水务函〔2024〕68号）</w:t>
      </w:r>
      <w:r>
        <w:rPr>
          <w:color w:val="000000" w:themeColor="text1"/>
          <w:sz w:val="24"/>
          <w14:textFill>
            <w14:solidFill>
              <w14:schemeClr w14:val="tx1"/>
            </w14:solidFill>
          </w14:textFill>
        </w:rPr>
        <w:t>。</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（2）工程符合四川省、</w:t>
      </w:r>
      <w:r>
        <w:rPr>
          <w:rFonts w:hint="eastAsia"/>
          <w:color w:val="000000" w:themeColor="text1"/>
          <w:sz w:val="24"/>
          <w14:textFill>
            <w14:solidFill>
              <w14:schemeClr w14:val="tx1"/>
            </w14:solidFill>
          </w14:textFill>
        </w:rPr>
        <w:t>成都</w:t>
      </w:r>
      <w:r>
        <w:rPr>
          <w:color w:val="000000" w:themeColor="text1"/>
          <w:sz w:val="24"/>
          <w14:textFill>
            <w14:solidFill>
              <w14:schemeClr w14:val="tx1"/>
            </w14:solidFill>
          </w14:textFill>
        </w:rPr>
        <w:t>市城市总体规划、主体功能区域、环境保护规划、生态功能区划、城市发展总体规划等要求。</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sz w:val="24"/>
          <w14:textFill>
            <w14:solidFill>
              <w14:schemeClr w14:val="tx1"/>
            </w14:solidFill>
          </w14:textFill>
        </w:rPr>
        <w:t>（3）本工程</w:t>
      </w:r>
      <w:r>
        <w:rPr>
          <w:bCs/>
          <w:color w:val="000000" w:themeColor="text1"/>
          <w:sz w:val="24"/>
          <w14:textFill>
            <w14:solidFill>
              <w14:schemeClr w14:val="tx1"/>
            </w14:solidFill>
          </w14:textFill>
        </w:rPr>
        <w:t>利用</w:t>
      </w:r>
      <w:r>
        <w:rPr>
          <w:rFonts w:hint="eastAsia"/>
          <w:bCs/>
          <w:color w:val="000000" w:themeColor="text1"/>
          <w:sz w:val="24"/>
          <w14:textFill>
            <w14:solidFill>
              <w14:schemeClr w14:val="tx1"/>
            </w14:solidFill>
          </w14:textFill>
        </w:rPr>
        <w:t>非汛期和</w:t>
      </w:r>
      <w:r>
        <w:rPr>
          <w:bCs/>
          <w:color w:val="000000" w:themeColor="text1"/>
          <w:sz w:val="24"/>
          <w14:textFill>
            <w14:solidFill>
              <w14:schemeClr w14:val="tx1"/>
            </w14:solidFill>
          </w14:textFill>
        </w:rPr>
        <w:t>非灌溉期</w:t>
      </w:r>
      <w:r>
        <w:rPr>
          <w:rFonts w:hint="eastAsia"/>
          <w:bCs/>
          <w:color w:val="000000" w:themeColor="text1"/>
          <w:sz w:val="24"/>
          <w14:textFill>
            <w14:solidFill>
              <w14:schemeClr w14:val="tx1"/>
            </w14:solidFill>
          </w14:textFill>
        </w:rPr>
        <w:t>施工</w:t>
      </w:r>
      <w:r>
        <w:rPr>
          <w:bCs/>
          <w:color w:val="000000" w:themeColor="text1"/>
          <w:sz w:val="24"/>
          <w14:textFill>
            <w14:solidFill>
              <w14:schemeClr w14:val="tx1"/>
            </w14:solidFill>
          </w14:textFill>
        </w:rPr>
        <w:t>，期间不再从上游引水</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对所在渠道水位较高的渠系建筑物上下游填筑围堰，利用水泵定期抽排水的方式实现干地施工。</w:t>
      </w:r>
    </w:p>
    <w:p>
      <w:pPr>
        <w:widowControl/>
        <w:adjustRightIn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kern w:val="0"/>
          <w:sz w:val="24"/>
          <w:szCs w:val="24"/>
          <w14:textFill>
            <w14:solidFill>
              <w14:schemeClr w14:val="tx1"/>
            </w14:solidFill>
          </w14:textFill>
        </w:rPr>
        <w:t>（4）本项目已委</w:t>
      </w:r>
      <w:r>
        <w:rPr>
          <w:color w:val="000000" w:themeColor="text1"/>
          <w:sz w:val="24"/>
          <w14:textFill>
            <w14:solidFill>
              <w14:schemeClr w14:val="tx1"/>
            </w14:solidFill>
          </w14:textFill>
        </w:rPr>
        <w:t>托</w:t>
      </w:r>
      <w:r>
        <w:rPr>
          <w:color w:val="000000" w:themeColor="text1"/>
          <w:sz w:val="24"/>
          <w:lang w:bidi="ar"/>
          <w14:textFill>
            <w14:solidFill>
              <w14:schemeClr w14:val="tx1"/>
            </w14:solidFill>
          </w14:textFill>
        </w:rPr>
        <w:t>成都市农林科学院林业研究所</w:t>
      </w:r>
      <w:r>
        <w:rPr>
          <w:rFonts w:hint="eastAsia"/>
          <w:color w:val="000000" w:themeColor="text1"/>
          <w:sz w:val="24"/>
          <w:lang w:bidi="ar"/>
          <w14:textFill>
            <w14:solidFill>
              <w14:schemeClr w14:val="tx1"/>
            </w14:solidFill>
          </w14:textFill>
        </w:rPr>
        <w:t>、</w:t>
      </w:r>
      <w:r>
        <w:rPr>
          <w:color w:val="000000" w:themeColor="text1"/>
          <w:sz w:val="24"/>
          <w14:textFill>
            <w14:solidFill>
              <w14:schemeClr w14:val="tx1"/>
            </w14:solidFill>
          </w14:textFill>
        </w:rPr>
        <w:t>成都兴绿林业科技发展有限公司编</w:t>
      </w:r>
      <w:r>
        <w:rPr>
          <w:rFonts w:hint="eastAsia"/>
          <w:color w:val="000000" w:themeColor="text1"/>
          <w:sz w:val="24"/>
          <w14:textFill>
            <w14:solidFill>
              <w14:schemeClr w14:val="tx1"/>
            </w14:solidFill>
          </w14:textFill>
        </w:rPr>
        <w:t>制《成都市环城生态区农田综合整治及农业灌区设施建设项目灌区水利设施建设（二标段）一期对龙泉花果山风景名胜区（十陵景区）影响评价报告》</w:t>
      </w:r>
      <w:r>
        <w:rPr>
          <w:rFonts w:hint="eastAsia"/>
          <w:color w:val="000000" w:themeColor="text1"/>
          <w:sz w:val="24"/>
          <w:szCs w:val="24"/>
          <w14:textFill>
            <w14:solidFill>
              <w14:schemeClr w14:val="tx1"/>
            </w14:solidFill>
          </w14:textFill>
        </w:rPr>
        <w:t>，明确该方案对风景名胜区产生的影响等结论。</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）现状监测结果：地表水符合《地表水环境质量标准》（GB3838-2002）Ⅲ类水质标准；声环境质量符合《声环境质量标准》（GB3096-2008）2类标准</w:t>
      </w:r>
      <w:r>
        <w:rPr>
          <w:rFonts w:hint="eastAsia"/>
          <w:color w:val="000000" w:themeColor="text1"/>
          <w:sz w:val="24"/>
          <w14:textFill>
            <w14:solidFill>
              <w14:schemeClr w14:val="tx1"/>
            </w14:solidFill>
          </w14:textFill>
        </w:rPr>
        <w:t>；工程渠段底泥符合</w:t>
      </w:r>
      <w:r>
        <w:rPr>
          <w:color w:val="000000" w:themeColor="text1"/>
          <w:sz w:val="24"/>
          <w14:textFill>
            <w14:solidFill>
              <w14:schemeClr w14:val="tx1"/>
            </w14:solidFill>
          </w14:textFill>
        </w:rPr>
        <w:t>《土壤环境质量农用地土壤污染风险管控标准（试行）》（GB15618-2018）其他</w:t>
      </w:r>
      <w:r>
        <w:rPr>
          <w:rFonts w:hint="eastAsia"/>
          <w:color w:val="000000" w:themeColor="text1"/>
          <w:sz w:val="24"/>
          <w14:textFill>
            <w14:solidFill>
              <w14:schemeClr w14:val="tx1"/>
            </w14:solidFill>
          </w14:textFill>
        </w:rPr>
        <w:t>（pH&gt;7.5）</w:t>
      </w:r>
      <w:r>
        <w:rPr>
          <w:color w:val="000000" w:themeColor="text1"/>
          <w:sz w:val="24"/>
          <w14:textFill>
            <w14:solidFill>
              <w14:schemeClr w14:val="tx1"/>
            </w14:solidFill>
          </w14:textFill>
        </w:rPr>
        <w:t>地类标准。</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（4）工程施工期采取相应的污染防治措施后，废气、废水、噪声均能达标排放，固体废物合理处置，生态环境最大限度的得到保护和恢复。</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（5）在公示及公众参与调查期间，未收到环境投诉和反对意见。</w:t>
      </w:r>
    </w:p>
    <w:p>
      <w:pPr>
        <w:adjustRightIn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项目的建设符合国家产业政策，所采用的污染防治措施技术经济可行，能保证各种污染物稳定达标排放，污染物的排放符合总量控制的要求，预测表明该项目的实施对周围环境的影响在可接受范围内。项目建设得到公众的普遍支持；本项目属于非污染生态影响型项目，项目建设的不利影响主要体现在施工期对水环境、大气及声环境、水土流失和运行期水文情势的影响，在充分落实本报告书提出的各项工程环保措施、风险控制措施及环境监督管理措施，从环保角度分析，</w:t>
      </w:r>
      <w:r>
        <w:rPr>
          <w:rFonts w:hint="eastAsia"/>
          <w:color w:val="000000" w:themeColor="text1"/>
          <w:sz w:val="24"/>
          <w14:textFill>
            <w14:solidFill>
              <w14:schemeClr w14:val="tx1"/>
            </w14:solidFill>
          </w14:textFill>
        </w:rPr>
        <w:t>本项目</w:t>
      </w:r>
      <w:r>
        <w:rPr>
          <w:color w:val="000000" w:themeColor="text1"/>
          <w:sz w:val="24"/>
          <w14:textFill>
            <w14:solidFill>
              <w14:schemeClr w14:val="tx1"/>
            </w14:solidFill>
          </w14:textFill>
        </w:rPr>
        <w:t>建设具有环境可行性。</w:t>
      </w:r>
    </w:p>
    <w:p>
      <w:pPr>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br w:type="page"/>
      </w:r>
    </w:p>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59" w:name="_Toc9296"/>
      <w:r>
        <w:rPr>
          <w:rFonts w:ascii="Times New Roman" w:hAnsi="Times New Roman" w:cs="Times New Roman"/>
          <w:color w:val="000000" w:themeColor="text1"/>
          <w14:textFill>
            <w14:solidFill>
              <w14:schemeClr w14:val="tx1"/>
            </w14:solidFill>
          </w14:textFill>
        </w:rPr>
        <w:t>1总则</w:t>
      </w:r>
      <w:bookmarkEnd w:id="19"/>
      <w:bookmarkEnd w:id="20"/>
      <w:bookmarkEnd w:id="21"/>
      <w:bookmarkEnd w:id="22"/>
      <w:bookmarkEnd w:id="23"/>
      <w:bookmarkEnd w:id="59"/>
    </w:p>
    <w:p>
      <w:pPr>
        <w:pStyle w:val="3"/>
        <w:spacing w:line="360" w:lineRule="auto"/>
        <w:ind w:left="0" w:firstLine="640"/>
        <w:rPr>
          <w:rFonts w:eastAsia="黑体"/>
          <w:color w:val="000000" w:themeColor="text1"/>
          <w14:textFill>
            <w14:solidFill>
              <w14:schemeClr w14:val="tx1"/>
            </w14:solidFill>
          </w14:textFill>
        </w:rPr>
      </w:pPr>
      <w:bookmarkStart w:id="60" w:name="_Toc11760"/>
      <w:bookmarkStart w:id="61" w:name="_Toc70496211"/>
      <w:r>
        <w:rPr>
          <w:rFonts w:eastAsia="黑体"/>
          <w:color w:val="000000" w:themeColor="text1"/>
          <w14:textFill>
            <w14:solidFill>
              <w14:schemeClr w14:val="tx1"/>
            </w14:solidFill>
          </w14:textFill>
        </w:rPr>
        <w:t>1.</w:t>
      </w:r>
      <w:r>
        <w:rPr>
          <w:rFonts w:hint="eastAsia" w:eastAsia="黑体"/>
          <w:color w:val="000000" w:themeColor="text1"/>
          <w14:textFill>
            <w14:solidFill>
              <w14:schemeClr w14:val="tx1"/>
            </w14:solidFill>
          </w14:textFill>
        </w:rPr>
        <w:t>1评价目的</w:t>
      </w:r>
      <w:bookmarkEnd w:id="60"/>
    </w:p>
    <w:p>
      <w:pPr>
        <w:widowControl/>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根据国家有关法律法规要求，结合工程特性、工程所在区域和流域的环境特点，本次环境影响评价的主要目的在于：</w:t>
      </w:r>
    </w:p>
    <w:p>
      <w:pPr>
        <w:widowControl/>
        <w:spacing w:line="360" w:lineRule="auto"/>
        <w:ind w:firstLine="480" w:firstLineChars="20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在对工程区域环境现状调查的基础上，对工程方案及施工总布置的合理性进行环境可行性论证；全面分析预测工程建设过程中和实施后对区域自然环境、生态环境产生的影响；从环境保护角度对项目建设环境可行性进行评价，提出控制污染、保护和改善环境的对策措施；制定环境管理与监测计划，为相关行政主管部门决策、环境保护设计和施工期及运行期的环境管理提供科学依据，使成都市环城生态区农田综合整治及农业灌区设施建设项目灌区水利设施建设（二标段）一期工程在发挥社会效益、生态效益的同时对环境造成的不利影响得以最大程度的减免，促进工程建设与环境保护的协调发展。</w:t>
      </w:r>
    </w:p>
    <w:p>
      <w:pPr>
        <w:pStyle w:val="3"/>
        <w:spacing w:line="360" w:lineRule="auto"/>
        <w:ind w:left="0" w:firstLine="640"/>
        <w:rPr>
          <w:rFonts w:eastAsia="黑体"/>
          <w:color w:val="000000" w:themeColor="text1"/>
          <w14:textFill>
            <w14:solidFill>
              <w14:schemeClr w14:val="tx1"/>
            </w14:solidFill>
          </w14:textFill>
        </w:rPr>
      </w:pPr>
      <w:bookmarkStart w:id="62" w:name="_Toc18793"/>
      <w:r>
        <w:rPr>
          <w:rFonts w:eastAsia="黑体"/>
          <w:color w:val="000000" w:themeColor="text1"/>
          <w14:textFill>
            <w14:solidFill>
              <w14:schemeClr w14:val="tx1"/>
            </w14:solidFill>
          </w14:textFill>
        </w:rPr>
        <w:t>1.2编制依据</w:t>
      </w:r>
      <w:bookmarkEnd w:id="61"/>
      <w:bookmarkEnd w:id="62"/>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3" w:name="_Toc14864"/>
      <w:bookmarkStart w:id="64" w:name="_Toc1038"/>
      <w:bookmarkStart w:id="65" w:name="_Toc8852"/>
      <w:bookmarkStart w:id="66" w:name="_Toc21784"/>
      <w:bookmarkStart w:id="67" w:name="_Toc70496212"/>
      <w:bookmarkStart w:id="68" w:name="_Toc25826"/>
      <w:r>
        <w:rPr>
          <w:rFonts w:ascii="Times New Roman" w:hAnsi="Times New Roman" w:cs="Times New Roman"/>
          <w:color w:val="000000" w:themeColor="text1"/>
          <w14:textFill>
            <w14:solidFill>
              <w14:schemeClr w14:val="tx1"/>
            </w14:solidFill>
          </w14:textFill>
        </w:rPr>
        <w:t>1.2.1国家法律法规</w:t>
      </w:r>
      <w:bookmarkEnd w:id="63"/>
      <w:bookmarkEnd w:id="64"/>
      <w:bookmarkEnd w:id="65"/>
      <w:bookmarkEnd w:id="66"/>
      <w:r>
        <w:rPr>
          <w:rFonts w:ascii="Times New Roman" w:hAnsi="Times New Roman" w:cs="Times New Roman"/>
          <w:color w:val="000000" w:themeColor="text1"/>
          <w14:textFill>
            <w14:solidFill>
              <w14:schemeClr w14:val="tx1"/>
            </w14:solidFill>
          </w14:textFill>
        </w:rPr>
        <w:t>和政策</w:t>
      </w:r>
      <w:bookmarkEnd w:id="67"/>
      <w:bookmarkEnd w:id="68"/>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（1）《中华人民共和国环境保护法》，2015年1月1日起施行；</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（2）《中华人民共和国环境影响评价法》，2018年12月29日修订；</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（3）《中华人民共和国水法》，2016年7月2日修订；</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（4）《中华人民共和国水污染防治法》，2018年1月1日起施行；</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（5）《中华人民共和国大气污染防治法》，2018年10月26日修订；</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（6）《中华人民共和国固体废物污染环境防治法》，2020年修订；</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（7）《中华人民共和国土壤污染防治法》，2018年8月31日通过，2019年1月1日施行；</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（8）《中华人民共和国噪声污染防治法》，20</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年12月</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日修订；</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（9）《中华人民共和国土地管理法</w:t>
      </w:r>
      <w:r>
        <w:rPr>
          <w:rFonts w:hint="eastAsia"/>
          <w:color w:val="000000" w:themeColor="text1"/>
          <w14:textFill>
            <w14:solidFill>
              <w14:schemeClr w14:val="tx1"/>
            </w14:solidFill>
          </w14:textFill>
        </w:rPr>
        <w:t>实施条例</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日修订；</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（10）《中华人民共和国水土保持法》，2011年3月1日起施行；</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（11）《中华人民共和国城乡规划法》，</w:t>
      </w:r>
      <w:r>
        <w:rPr>
          <w:color w:val="000000" w:themeColor="text1"/>
          <w:lang w:bidi="ar"/>
          <w14:textFill>
            <w14:solidFill>
              <w14:schemeClr w14:val="tx1"/>
            </w14:solidFill>
          </w14:textFill>
        </w:rPr>
        <w:t>2019年4月23日修正并实施</w:t>
      </w:r>
      <w:r>
        <w:rPr>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（12）《建设项目环境保护管理条例》，国务院令第682号，2017年10月1日起施行；</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（13）《中华人民共和国防洪法》（2016年7月2日第三次修正）；</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（14）《中华人民共和国渔业法》（2013年12月28日修正）</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（15）《中华人民共和国长江保护法》（2020年12月26日第四次会议通过）</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）《建设项目环境影响评价分类管理名录》（2021年版）；</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）《环境影响评价公众参与办法》（生态环境部，2019年1月1日起施行）；</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）《建设项目环境影响评价政府信息公开指南（施行）》（环境保护部，2014年1月1日）；</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）《关于加强环境保护重点工作的意见》（国发[2011]35号，2011.10）；</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）《关于切实加强环境影响评价监督管理工作的通知》（环办[2013]104号，2013.11.15）；</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）《关于进一步加强环境影响评价管理防范环境风险的通知》（环发[2012]77号）；</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）《关于切实加强风险防范严格环境影响评价管理的通知》（环发[2012]98号）；</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）《国务院关于印发水污染防治行动计划的通知》（国发[2015]17号；</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）《国务院关于印发土壤污染防治行动计划的通知》（国发[2016]31号）；</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25</w:t>
      </w:r>
      <w:r>
        <w:rPr>
          <w:color w:val="000000" w:themeColor="text1"/>
          <w14:textFill>
            <w14:solidFill>
              <w14:schemeClr w14:val="tx1"/>
            </w14:solidFill>
          </w14:textFill>
        </w:rPr>
        <w:t>）《国务院关于印发全国主体功能区划的通知》（国发[2010]46号）</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（26）《国家重点保护野生植物名录》（农业农村部公告</w:t>
      </w:r>
      <w:r>
        <w:rPr>
          <w:color w:val="000000" w:themeColor="text1"/>
          <w14:textFill>
            <w14:solidFill>
              <w14:schemeClr w14:val="tx1"/>
            </w14:solidFill>
          </w14:textFill>
        </w:rPr>
        <w:t>2021</w:t>
      </w:r>
      <w:r>
        <w:rPr>
          <w:rFonts w:hint="eastAsia"/>
          <w:color w:val="000000" w:themeColor="text1"/>
          <w14:textFill>
            <w14:solidFill>
              <w14:schemeClr w14:val="tx1"/>
            </w14:solidFill>
          </w14:textFill>
        </w:rPr>
        <w:t>年第</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（27）《国家重点保护野生动物名录》（农业农村部公告</w:t>
      </w:r>
      <w:r>
        <w:rPr>
          <w:color w:val="000000" w:themeColor="text1"/>
          <w14:textFill>
            <w14:solidFill>
              <w14:schemeClr w14:val="tx1"/>
            </w14:solidFill>
          </w14:textFill>
        </w:rPr>
        <w:t>2021</w:t>
      </w:r>
      <w:r>
        <w:rPr>
          <w:rFonts w:hint="eastAsia"/>
          <w:color w:val="000000" w:themeColor="text1"/>
          <w14:textFill>
            <w14:solidFill>
              <w14:schemeClr w14:val="tx1"/>
            </w14:solidFill>
          </w14:textFill>
        </w:rPr>
        <w:t>年第</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（28）《长江水生生物保护管理规定（</w:t>
      </w:r>
      <w:r>
        <w:rPr>
          <w:color w:val="000000" w:themeColor="text1"/>
          <w14:textFill>
            <w14:solidFill>
              <w14:schemeClr w14:val="tx1"/>
            </w14:solidFill>
          </w14:textFill>
        </w:rPr>
        <w:t>2021-2025</w:t>
      </w:r>
      <w:r>
        <w:rPr>
          <w:rFonts w:hint="eastAsia"/>
          <w:color w:val="000000" w:themeColor="text1"/>
          <w14:textFill>
            <w14:solidFill>
              <w14:schemeClr w14:val="tx1"/>
            </w14:solidFill>
          </w14:textFill>
        </w:rPr>
        <w:t>年）》（农业农村部令</w:t>
      </w:r>
      <w:r>
        <w:rPr>
          <w:color w:val="000000" w:themeColor="text1"/>
          <w14:textFill>
            <w14:solidFill>
              <w14:schemeClr w14:val="tx1"/>
            </w14:solidFill>
          </w14:textFill>
        </w:rPr>
        <w:t>2021</w:t>
      </w:r>
      <w:r>
        <w:rPr>
          <w:rFonts w:hint="eastAsia"/>
          <w:color w:val="000000" w:themeColor="text1"/>
          <w14:textFill>
            <w14:solidFill>
              <w14:schemeClr w14:val="tx1"/>
            </w14:solidFill>
          </w14:textFill>
        </w:rPr>
        <w:t>年第</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（29）《关于印发全国主体功能区规划的通知》（国发〔</w:t>
      </w:r>
      <w:r>
        <w:rPr>
          <w:color w:val="000000" w:themeColor="text1"/>
          <w14:textFill>
            <w14:solidFill>
              <w14:schemeClr w14:val="tx1"/>
            </w14:solidFill>
          </w14:textFill>
        </w:rPr>
        <w:t>2010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46</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（30）《中共中央国务院关于全面加强生态环境保护坚决打好污染防治攻坚战的意见》（</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16</w:t>
      </w:r>
      <w:r>
        <w:rPr>
          <w:rFonts w:hint="eastAsia"/>
          <w:color w:val="000000" w:themeColor="text1"/>
          <w14:textFill>
            <w14:solidFill>
              <w14:schemeClr w14:val="tx1"/>
            </w14:solidFill>
          </w14:textFill>
        </w:rPr>
        <w:t>日）；</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（31）《关于加强长江水生生物保护工作的意见》（国办发〔</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（32）《关于进一步加强水生生物资源保护严格环境影响评价管理的通知》（环发〔</w:t>
      </w:r>
      <w:r>
        <w:rPr>
          <w:color w:val="000000" w:themeColor="text1"/>
          <w14:textFill>
            <w14:solidFill>
              <w14:schemeClr w14:val="tx1"/>
            </w14:solidFill>
          </w14:textFill>
        </w:rPr>
        <w:t>2013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86</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（33）《全国生态功能区划（修编版）》（环境保护部，</w:t>
      </w:r>
      <w:r>
        <w:rPr>
          <w:color w:val="000000" w:themeColor="text1"/>
          <w14:textFill>
            <w14:solidFill>
              <w14:schemeClr w14:val="tx1"/>
            </w14:solidFill>
          </w14:textFill>
        </w:rPr>
        <w:t>2015</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月）；</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（34）《关于以改善环境质量为核心加强环境影响评价管理的通知》（环环评〔</w:t>
      </w:r>
      <w:r>
        <w:rPr>
          <w:color w:val="000000" w:themeColor="text1"/>
          <w14:textFill>
            <w14:solidFill>
              <w14:schemeClr w14:val="tx1"/>
            </w14:solidFill>
          </w14:textFill>
        </w:rPr>
        <w:t>2016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150</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（35）关于印发《长江经济带生态环境保护规划》的通知（环规财〔</w:t>
      </w:r>
      <w:r>
        <w:rPr>
          <w:color w:val="000000" w:themeColor="text1"/>
          <w14:textFill>
            <w14:solidFill>
              <w14:schemeClr w14:val="tx1"/>
            </w14:solidFill>
          </w14:textFill>
        </w:rPr>
        <w:t>2017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88</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（36）关于印发《长江保护修复攻坚战行动计划》的通知（环水体〔</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181</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（37）《水利部环境保护部关于加强水利工程建设生态环境保护工作的通知》（水规计〔</w:t>
      </w:r>
      <w:r>
        <w:rPr>
          <w:color w:val="000000" w:themeColor="text1"/>
          <w14:textFill>
            <w14:solidFill>
              <w14:schemeClr w14:val="tx1"/>
            </w14:solidFill>
          </w14:textFill>
        </w:rPr>
        <w:t>2017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315</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（38）《自然资源部生态环境部国家林业和草原局关于加强生态保护红线管理的通知（试行）》（自然资发〔</w:t>
      </w:r>
      <w:r>
        <w:rPr>
          <w:color w:val="000000" w:themeColor="text1"/>
          <w14:textFill>
            <w14:solidFill>
              <w14:schemeClr w14:val="tx1"/>
            </w14:solidFill>
          </w14:textFill>
        </w:rPr>
        <w:t>2022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142</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（39）《产业结构调整指导目</w:t>
      </w:r>
      <w:r>
        <w:rPr>
          <w:color w:val="000000" w:themeColor="text1"/>
          <w14:textFill>
            <w14:solidFill>
              <w14:schemeClr w14:val="tx1"/>
            </w14:solidFill>
          </w14:textFill>
        </w:rPr>
        <w:t>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年本</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（40）《长江经济带发展负面清单指南（试行，</w:t>
      </w:r>
      <w:r>
        <w:rPr>
          <w:color w:val="000000" w:themeColor="text1"/>
          <w14:textFill>
            <w14:solidFill>
              <w14:schemeClr w14:val="tx1"/>
            </w14:solidFill>
          </w14:textFill>
        </w:rPr>
        <w:t>2022</w:t>
      </w:r>
      <w:r>
        <w:rPr>
          <w:rFonts w:hint="eastAsia"/>
          <w:color w:val="000000" w:themeColor="text1"/>
          <w14:textFill>
            <w14:solidFill>
              <w14:schemeClr w14:val="tx1"/>
            </w14:solidFill>
          </w14:textFill>
        </w:rPr>
        <w:t>年版）》（长江办〔</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22〕7号）。</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9" w:name="_Toc70496213"/>
      <w:bookmarkStart w:id="70" w:name="_Toc24742"/>
      <w:r>
        <w:rPr>
          <w:rFonts w:ascii="Times New Roman" w:hAnsi="Times New Roman" w:cs="Times New Roman"/>
          <w:color w:val="000000" w:themeColor="text1"/>
          <w14:textFill>
            <w14:solidFill>
              <w14:schemeClr w14:val="tx1"/>
            </w14:solidFill>
          </w14:textFill>
        </w:rPr>
        <w:t>1.2.2</w:t>
      </w:r>
      <w:r>
        <w:rPr>
          <w:rFonts w:hint="eastAsia" w:ascii="Times New Roman" w:hAnsi="Times New Roman" w:cs="Times New Roman"/>
          <w:color w:val="000000" w:themeColor="text1"/>
          <w14:textFill>
            <w14:solidFill>
              <w14:schemeClr w14:val="tx1"/>
            </w14:solidFill>
          </w14:textFill>
        </w:rPr>
        <w:t>地方</w:t>
      </w:r>
      <w:r>
        <w:rPr>
          <w:rFonts w:ascii="Times New Roman" w:hAnsi="Times New Roman" w:cs="Times New Roman"/>
          <w:color w:val="000000" w:themeColor="text1"/>
          <w14:textFill>
            <w14:solidFill>
              <w14:schemeClr w14:val="tx1"/>
            </w14:solidFill>
          </w14:textFill>
        </w:rPr>
        <w:t>法规和政策</w:t>
      </w:r>
      <w:bookmarkEnd w:id="69"/>
      <w:bookmarkEnd w:id="70"/>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（1）《四川省新增重点保护野生动物名录》，川府发〔2000〕37号；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（2）《四川省</w:t>
      </w:r>
      <w:r>
        <w:rPr>
          <w:color w:val="000000" w:themeColor="text1"/>
          <w14:textFill>
            <w14:solidFill>
              <w14:schemeClr w14:val="tx1"/>
            </w14:solidFill>
          </w14:textFill>
        </w:rPr>
        <w:t>&lt;</w:t>
      </w:r>
      <w:r>
        <w:rPr>
          <w:rFonts w:hint="eastAsia"/>
          <w:color w:val="000000" w:themeColor="text1"/>
          <w14:textFill>
            <w14:solidFill>
              <w14:schemeClr w14:val="tx1"/>
            </w14:solidFill>
          </w14:textFill>
        </w:rPr>
        <w:t>中华人民共和国渔业法</w:t>
      </w:r>
      <w:r>
        <w:rPr>
          <w:color w:val="000000" w:themeColor="text1"/>
          <w14:textFill>
            <w14:solidFill>
              <w14:schemeClr w14:val="tx1"/>
            </w14:solidFill>
          </w14:textFill>
        </w:rPr>
        <w:t>&gt;</w:t>
      </w:r>
      <w:r>
        <w:rPr>
          <w:rFonts w:hint="eastAsia"/>
          <w:color w:val="000000" w:themeColor="text1"/>
          <w14:textFill>
            <w14:solidFill>
              <w14:schemeClr w14:val="tx1"/>
            </w14:solidFill>
          </w14:textFill>
        </w:rPr>
        <w:t>实施办法》；</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）《四川省环境保护条例》，2018年1月1日修正；</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）《四川省人民政府关于印发&lt;四川省主体功能区规划&gt;的通知》，川府发[2013]16号；</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）《四川省人民政府关于&lt;四川省生态功能区划&gt;的批复》，川府函[2006]100号；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《风景名胜区条例》（2016.02）</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四川省风景名胜区建设管理办法</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（8）《成都市环城生态区保护条例》；</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（9）《四川省饮用水水源保护管理条例》（</w:t>
      </w:r>
      <w:r>
        <w:rPr>
          <w:color w:val="000000" w:themeColor="text1"/>
          <w14:textFill>
            <w14:solidFill>
              <w14:schemeClr w14:val="tx1"/>
            </w14:solidFill>
          </w14:textFill>
        </w:rPr>
        <w:t>2019</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月修正）；</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（10）《成都市饮用水水源保护条例》；</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（11）《四川省生态功能区划》（川府发〔</w:t>
      </w: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（12）《四川省主体功能区规划》（四川省人民政府，</w:t>
      </w:r>
      <w:r>
        <w:rPr>
          <w:color w:val="000000" w:themeColor="text1"/>
          <w14:textFill>
            <w14:solidFill>
              <w14:schemeClr w14:val="tx1"/>
            </w14:solidFill>
          </w14:textFill>
        </w:rPr>
        <w:t>2013</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月）；</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（13）《四川省人民政府关于印发水污染防治行动计划四川省工作方案的通知》（川府发〔</w:t>
      </w:r>
      <w:r>
        <w:rPr>
          <w:color w:val="000000" w:themeColor="text1"/>
          <w14:textFill>
            <w14:solidFill>
              <w14:schemeClr w14:val="tx1"/>
            </w14:solidFill>
          </w14:textFill>
        </w:rPr>
        <w:t>2015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59</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（14）《四川省、重庆市长江经济带发展负面清单实施细则（试行，2022年版）》；</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（15）《四川省人民政府关于落实生态保护红线、环境质量底线、资源利用上线制定生态环境准入清单实施生态环境分区管控的通知》（川府发〔</w:t>
      </w:r>
      <w:r>
        <w:rPr>
          <w:color w:val="000000" w:themeColor="text1"/>
          <w14:textFill>
            <w14:solidFill>
              <w14:schemeClr w14:val="tx1"/>
            </w14:solidFill>
          </w14:textFill>
        </w:rPr>
        <w:t>2020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（16）《成都市人民政府关于落实生态保护红线、环境质量底线、资源利用上线制定生态环境准入清单实施生态环境分区管控的通知》（成府发〔</w:t>
      </w:r>
      <w:r>
        <w:rPr>
          <w:color w:val="000000" w:themeColor="text1"/>
          <w14:textFill>
            <w14:solidFill>
              <w14:schemeClr w14:val="tx1"/>
            </w14:solidFill>
          </w14:textFill>
        </w:rPr>
        <w:t>2021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号）等。</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1" w:name="_Toc12674"/>
      <w:bookmarkStart w:id="72" w:name="_Toc25204"/>
      <w:bookmarkStart w:id="73" w:name="_Toc24789"/>
      <w:bookmarkStart w:id="74" w:name="_Toc70496214"/>
      <w:bookmarkStart w:id="75" w:name="_Toc4170"/>
      <w:bookmarkStart w:id="76" w:name="_Toc19933"/>
      <w:r>
        <w:rPr>
          <w:rFonts w:ascii="Times New Roman" w:hAnsi="Times New Roman" w:cs="Times New Roman"/>
          <w:color w:val="000000" w:themeColor="text1"/>
          <w14:textFill>
            <w14:solidFill>
              <w14:schemeClr w14:val="tx1"/>
            </w14:solidFill>
          </w14:textFill>
        </w:rPr>
        <w:t>1.2.3相关导则及技术规范</w:t>
      </w:r>
      <w:bookmarkEnd w:id="71"/>
      <w:bookmarkEnd w:id="72"/>
      <w:bookmarkEnd w:id="73"/>
      <w:bookmarkEnd w:id="74"/>
      <w:bookmarkEnd w:id="75"/>
      <w:bookmarkEnd w:id="76"/>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（1）《建设项目环境影响评价技术导则总纲》（HJ2.1-2016）；</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（2）《环境影响评价技术导则大气环境》（HJ2.2-2018）；</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（3）《环境影响评价技术导则地表水环境》（HJ2.3-2018）；</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（4）《环境影响评价技术导则声环境》（HJ2.4-20</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（5）《环境影响评价技术导则地下水环境》（HJ610-2016）；</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（6）《环境影响评价技术导则生态影响》（HJ19-20</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（7）《环境影响评价技术导则土壤环境（试行）》（HJ964-2018）；</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（8）《建设项目环境风险评价技术导则》（HJ169-2018）；</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（9）《建设项目环境影响技术评估导则》（HJ616-2011）；</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（10）《地表水和污水监测技术规范》（</w:t>
      </w:r>
      <w:r>
        <w:rPr>
          <w:color w:val="000000" w:themeColor="text1"/>
          <w14:textFill>
            <w14:solidFill>
              <w14:schemeClr w14:val="tx1"/>
            </w14:solidFill>
          </w14:textFill>
        </w:rPr>
        <w:t>HJ/T91-2002</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1）《地表水环境质量监测技术规范》（HJ91.2-2022）；</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）《生态环境状况评价技术规范》（HJ192-2015）；</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）《防洪标准》（GB50201-2014）；</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）《水利工程建设标准强制性条文》</w:t>
      </w:r>
      <w:r>
        <w:rPr>
          <w:rFonts w:hint="eastAsia"/>
          <w:color w:val="000000" w:themeColor="text1"/>
          <w14:textFill>
            <w14:solidFill>
              <w14:schemeClr w14:val="tx1"/>
            </w14:solidFill>
          </w14:textFill>
        </w:rPr>
        <w:t>。</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7" w:name="_Toc3112"/>
      <w:r>
        <w:rPr>
          <w:rFonts w:ascii="Times New Roman" w:hAnsi="Times New Roman" w:cs="Times New Roman"/>
          <w:color w:val="000000" w:themeColor="text1"/>
          <w14:textFill>
            <w14:solidFill>
              <w14:schemeClr w14:val="tx1"/>
            </w14:solidFill>
          </w14:textFill>
        </w:rPr>
        <w:t>1.2.4</w:t>
      </w:r>
      <w:r>
        <w:rPr>
          <w:rFonts w:hint="eastAsia" w:ascii="Times New Roman" w:hAnsi="Times New Roman" w:cs="Times New Roman"/>
          <w:color w:val="000000" w:themeColor="text1"/>
          <w14:textFill>
            <w14:solidFill>
              <w14:schemeClr w14:val="tx1"/>
            </w14:solidFill>
          </w14:textFill>
        </w:rPr>
        <w:t>技术标准</w:t>
      </w:r>
      <w:bookmarkEnd w:id="77"/>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）《地表水环境质量标准》（</w:t>
      </w:r>
      <w:r>
        <w:rPr>
          <w:color w:val="000000" w:themeColor="text1"/>
          <w14:textFill>
            <w14:solidFill>
              <w14:schemeClr w14:val="tx1"/>
            </w14:solidFill>
          </w14:textFill>
        </w:rPr>
        <w:t>GB3838-2002</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（2）《环境空气质量标准》（</w:t>
      </w:r>
      <w:r>
        <w:rPr>
          <w:color w:val="000000" w:themeColor="text1"/>
          <w14:textFill>
            <w14:solidFill>
              <w14:schemeClr w14:val="tx1"/>
            </w14:solidFill>
          </w14:textFill>
        </w:rPr>
        <w:t>GB3095-2012</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（3）《声环境质量标准》（</w:t>
      </w:r>
      <w:r>
        <w:rPr>
          <w:color w:val="000000" w:themeColor="text1"/>
          <w14:textFill>
            <w14:solidFill>
              <w14:schemeClr w14:val="tx1"/>
            </w14:solidFill>
          </w14:textFill>
        </w:rPr>
        <w:t>GB3096-2008</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（4）《污水综合排放标准》（</w:t>
      </w:r>
      <w:r>
        <w:rPr>
          <w:color w:val="000000" w:themeColor="text1"/>
          <w14:textFill>
            <w14:solidFill>
              <w14:schemeClr w14:val="tx1"/>
            </w14:solidFill>
          </w14:textFill>
        </w:rPr>
        <w:t>GB8978-1996</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（5）《四川省岷江、沱江流域水污染物排放标准》（</w:t>
      </w:r>
      <w:r>
        <w:rPr>
          <w:color w:val="000000" w:themeColor="text1"/>
          <w14:textFill>
            <w14:solidFill>
              <w14:schemeClr w14:val="tx1"/>
            </w14:solidFill>
          </w14:textFill>
        </w:rPr>
        <w:t>DB51/2311-2016</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（6）《四川省施工场地扬尘排放标准》（</w:t>
      </w:r>
      <w:r>
        <w:rPr>
          <w:color w:val="000000" w:themeColor="text1"/>
          <w14:textFill>
            <w14:solidFill>
              <w14:schemeClr w14:val="tx1"/>
            </w14:solidFill>
          </w14:textFill>
        </w:rPr>
        <w:t>DB51</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2682-2020</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（7）《建筑施工场界环境噪声排放标准》（</w:t>
      </w:r>
      <w:r>
        <w:rPr>
          <w:color w:val="000000" w:themeColor="text1"/>
          <w14:textFill>
            <w14:solidFill>
              <w14:schemeClr w14:val="tx1"/>
            </w14:solidFill>
          </w14:textFill>
        </w:rPr>
        <w:t>GB12523-2011</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（8）《工业企业厂界环境噪声排放标准》（</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（9）《一般工业固体废弃物贮存和填埋污染控制标准》（</w:t>
      </w:r>
      <w:r>
        <w:rPr>
          <w:color w:val="000000" w:themeColor="text1"/>
          <w14:textFill>
            <w14:solidFill>
              <w14:schemeClr w14:val="tx1"/>
            </w14:solidFill>
          </w14:textFill>
        </w:rPr>
        <w:t>GB18599-2020</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0）《土壤环境质量农用地土壤污染风险管控标准（试行）》（</w:t>
      </w:r>
      <w:r>
        <w:rPr>
          <w:color w:val="000000" w:themeColor="text1"/>
          <w14:textFill>
            <w14:solidFill>
              <w14:schemeClr w14:val="tx1"/>
            </w14:solidFill>
          </w14:textFill>
        </w:rPr>
        <w:t>GB15618-2018</w:t>
      </w:r>
      <w:r>
        <w:rPr>
          <w:rFonts w:hint="eastAsia"/>
          <w:color w:val="000000" w:themeColor="text1"/>
          <w14:textFill>
            <w14:solidFill>
              <w14:schemeClr w14:val="tx1"/>
            </w14:solidFill>
          </w14:textFill>
        </w:rPr>
        <w:t>）。</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8" w:name="_Toc70496215"/>
      <w:bookmarkStart w:id="79" w:name="_Toc17639"/>
      <w:bookmarkStart w:id="80" w:name="_Toc22219"/>
      <w:bookmarkStart w:id="81" w:name="_Toc3771"/>
      <w:bookmarkStart w:id="82" w:name="_Toc17076"/>
      <w:bookmarkStart w:id="83" w:name="_Toc22098"/>
      <w:r>
        <w:rPr>
          <w:rFonts w:ascii="Times New Roman" w:hAnsi="Times New Roman" w:cs="Times New Roman"/>
          <w:color w:val="000000" w:themeColor="text1"/>
          <w14:textFill>
            <w14:solidFill>
              <w14:schemeClr w14:val="tx1"/>
            </w14:solidFill>
          </w14:textFill>
        </w:rPr>
        <w:t>1.2.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项目文件及相关资料</w:t>
      </w:r>
      <w:bookmarkEnd w:id="78"/>
      <w:bookmarkEnd w:id="79"/>
      <w:bookmarkEnd w:id="80"/>
      <w:bookmarkEnd w:id="81"/>
      <w:bookmarkEnd w:id="82"/>
      <w:bookmarkEnd w:id="83"/>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（1）环评委托书；</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（2）《成都市水务局关于环城生态区农田综合整治及农业灌区设施建设项目灌区水利设施建设（二标段）实施方案（一期）的批复》（成水务函[2024]68号）；</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黄河勘测规划设计研究院有限公司《成都市水务局关于环城生态区农田综合整治及农业灌区设施建设项目灌区水利设施建设（二标段）实施方案（一期）》；</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《成都天府绿道建设投资集团有限公司关于环城生态区水利灌溉设施建设实施方案涉及耕地“进出平衡”相关事宜的承诺函》（成绿道函[2024]11号）；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环境质量现状《检测报告》</w:t>
      </w:r>
      <w:r>
        <w:rPr>
          <w:rFonts w:hint="eastAsia"/>
          <w:color w:val="000000" w:themeColor="text1"/>
          <w14:textFill>
            <w14:solidFill>
              <w14:schemeClr w14:val="tx1"/>
            </w14:solidFill>
          </w14:textFill>
        </w:rPr>
        <w:t>；</w:t>
      </w:r>
    </w:p>
    <w:p>
      <w:pPr>
        <w:pStyle w:val="14"/>
        <w:spacing w:line="360" w:lineRule="auto"/>
        <w:ind w:firstLine="480" w:firstLineChars="200"/>
        <w:jc w:val="both"/>
        <w:rPr>
          <w:rFonts w:hint="eastAsia" w:ascii="Times New Roman" w:hAnsi="Times New Roman" w:cs="Times New Roman"/>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（6）成都兴绿林业科技发展有限公司</w:t>
      </w:r>
      <w:r>
        <w:rPr>
          <w:rFonts w:hint="eastAsia"/>
          <w:color w:val="000000" w:themeColor="text1"/>
          <w:lang w:eastAsia="zh-CN"/>
          <w14:textFill>
            <w14:solidFill>
              <w14:schemeClr w14:val="tx1"/>
            </w14:solidFill>
          </w14:textFill>
        </w:rPr>
        <w:t>《成都市环城生态区农田综合整治及农业灌区</w:t>
      </w:r>
      <w:r>
        <w:rPr>
          <w:rFonts w:hint="eastAsia" w:ascii="Times New Roman" w:hAnsi="Times New Roman" w:cs="Times New Roman"/>
          <w:color w:val="000000" w:themeColor="text1"/>
          <w:lang w:eastAsia="zh-CN"/>
          <w14:textFill>
            <w14:solidFill>
              <w14:schemeClr w14:val="tx1"/>
            </w14:solidFill>
          </w14:textFill>
        </w:rPr>
        <w:t>设施建设项目灌区水利设施建设（二标段）对龙泉花果山风景名胜区</w:t>
      </w:r>
      <w:r>
        <w:rPr>
          <w:rFonts w:hint="eastAsia" w:ascii="Times New Roman" w:hAnsi="Times New Roman" w:cs="Times New Roman"/>
          <w:color w:val="000000" w:themeColor="text1"/>
          <w:lang w:val="en-US" w:eastAsia="zh-CN"/>
          <w14:textFill>
            <w14:solidFill>
              <w14:schemeClr w14:val="tx1"/>
            </w14:solidFill>
          </w14:textFill>
        </w:rPr>
        <w:t>影响评价报告</w:t>
      </w:r>
      <w:r>
        <w:rPr>
          <w:rFonts w:hint="eastAsia" w:ascii="Times New Roman" w:hAnsi="Times New Roman" w:cs="Times New Roman"/>
          <w:color w:val="000000" w:themeColor="text1"/>
          <w:lang w:eastAsia="zh-CN"/>
          <w14:textFill>
            <w14:solidFill>
              <w14:schemeClr w14:val="tx1"/>
            </w14:solidFill>
          </w14:textFill>
        </w:rPr>
        <w:t>》；</w:t>
      </w:r>
    </w:p>
    <w:p>
      <w:pPr>
        <w:pStyle w:val="14"/>
        <w:spacing w:line="360" w:lineRule="auto"/>
        <w:ind w:firstLine="480" w:firstLineChars="200"/>
        <w:jc w:val="both"/>
        <w:rPr>
          <w:rFonts w:hint="eastAsia"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（7）成都市公园城市建设管理局《关于同意成都市环城生态区农田综合整治及农业灌区设施建设项目灌区水利设施建设（二标段）选址方案的批复》（成公园城市函〔2024〕91号）；</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8</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其他相关资料。</w:t>
      </w:r>
    </w:p>
    <w:p>
      <w:pPr>
        <w:pStyle w:val="3"/>
        <w:spacing w:line="360" w:lineRule="auto"/>
        <w:ind w:left="0" w:firstLine="640"/>
        <w:rPr>
          <w:rFonts w:eastAsia="黑体"/>
          <w:color w:val="000000" w:themeColor="text1"/>
          <w14:textFill>
            <w14:solidFill>
              <w14:schemeClr w14:val="tx1"/>
            </w14:solidFill>
          </w14:textFill>
        </w:rPr>
      </w:pPr>
      <w:bookmarkStart w:id="84" w:name="_Toc11630"/>
      <w:bookmarkStart w:id="85" w:name="_Toc811"/>
      <w:bookmarkStart w:id="86" w:name="_Toc23747"/>
      <w:bookmarkStart w:id="87" w:name="_Toc15944"/>
      <w:bookmarkStart w:id="88" w:name="_Toc70496216"/>
      <w:bookmarkStart w:id="89" w:name="_Toc8418"/>
      <w:r>
        <w:rPr>
          <w:rFonts w:eastAsia="黑体"/>
          <w:color w:val="000000" w:themeColor="text1"/>
          <w14:textFill>
            <w14:solidFill>
              <w14:schemeClr w14:val="tx1"/>
            </w14:solidFill>
          </w14:textFill>
        </w:rPr>
        <w:t>1.3评价</w:t>
      </w:r>
      <w:bookmarkEnd w:id="84"/>
      <w:bookmarkEnd w:id="85"/>
      <w:bookmarkEnd w:id="86"/>
      <w:bookmarkEnd w:id="87"/>
      <w:bookmarkEnd w:id="88"/>
      <w:r>
        <w:rPr>
          <w:rFonts w:hint="eastAsia" w:eastAsia="黑体"/>
          <w:color w:val="000000" w:themeColor="text1"/>
          <w14:textFill>
            <w14:solidFill>
              <w14:schemeClr w14:val="tx1"/>
            </w14:solidFill>
          </w14:textFill>
        </w:rPr>
        <w:t>原则</w:t>
      </w:r>
      <w:bookmarkEnd w:id="89"/>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突出环境影响评价的源头预防作用，坚持保护和改善环境质量。</w:t>
      </w:r>
    </w:p>
    <w:p>
      <w:pPr>
        <w:pStyle w:val="14"/>
        <w:spacing w:line="360" w:lineRule="auto"/>
        <w:ind w:firstLine="480" w:firstLineChars="200"/>
        <w:jc w:val="both"/>
        <w:rPr>
          <w:color w:val="000000" w:themeColor="text1"/>
          <w14:textFill>
            <w14:solidFill>
              <w14:schemeClr w14:val="tx1"/>
            </w14:solidFill>
          </w14:textFill>
        </w:rPr>
      </w:pPr>
      <w:bookmarkStart w:id="90" w:name="_Toc8851"/>
      <w:bookmarkStart w:id="91" w:name="_Toc31808"/>
      <w:bookmarkStart w:id="92" w:name="_Toc2958"/>
      <w:r>
        <w:rPr>
          <w:color w:val="000000" w:themeColor="text1"/>
          <w14:textFill>
            <w14:solidFill>
              <w14:schemeClr w14:val="tx1"/>
            </w14:solidFill>
          </w14:textFill>
        </w:rPr>
        <w:t>（1）依法评价</w:t>
      </w:r>
      <w:bookmarkEnd w:id="90"/>
      <w:bookmarkEnd w:id="91"/>
      <w:bookmarkEnd w:id="92"/>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贯彻执行我国环境保护相关法律法规、标准、政策和规划等，优化项目建设，服务环境管理。</w:t>
      </w:r>
    </w:p>
    <w:p>
      <w:pPr>
        <w:pStyle w:val="14"/>
        <w:spacing w:line="360" w:lineRule="auto"/>
        <w:ind w:firstLine="480" w:firstLineChars="200"/>
        <w:jc w:val="both"/>
        <w:rPr>
          <w:color w:val="000000" w:themeColor="text1"/>
          <w14:textFill>
            <w14:solidFill>
              <w14:schemeClr w14:val="tx1"/>
            </w14:solidFill>
          </w14:textFill>
        </w:rPr>
      </w:pPr>
      <w:bookmarkStart w:id="93" w:name="_Toc4041"/>
      <w:bookmarkStart w:id="94" w:name="_Toc22799"/>
      <w:bookmarkStart w:id="95" w:name="_Toc18255"/>
      <w:r>
        <w:rPr>
          <w:color w:val="000000" w:themeColor="text1"/>
          <w14:textFill>
            <w14:solidFill>
              <w14:schemeClr w14:val="tx1"/>
            </w14:solidFill>
          </w14:textFill>
        </w:rPr>
        <w:t>（2）科学评价</w:t>
      </w:r>
      <w:bookmarkEnd w:id="93"/>
      <w:bookmarkEnd w:id="94"/>
      <w:bookmarkEnd w:id="95"/>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规范环境影响评价方法，科学分析项目建设对环境质量的影响。</w:t>
      </w:r>
    </w:p>
    <w:p>
      <w:pPr>
        <w:pStyle w:val="14"/>
        <w:spacing w:line="360" w:lineRule="auto"/>
        <w:ind w:firstLine="480" w:firstLineChars="200"/>
        <w:jc w:val="both"/>
        <w:rPr>
          <w:color w:val="000000" w:themeColor="text1"/>
          <w14:textFill>
            <w14:solidFill>
              <w14:schemeClr w14:val="tx1"/>
            </w14:solidFill>
          </w14:textFill>
        </w:rPr>
      </w:pPr>
      <w:bookmarkStart w:id="96" w:name="_Toc4651"/>
      <w:bookmarkStart w:id="97" w:name="_Toc5727"/>
      <w:bookmarkStart w:id="98" w:name="_Toc28387"/>
      <w:r>
        <w:rPr>
          <w:color w:val="000000" w:themeColor="text1"/>
          <w14:textFill>
            <w14:solidFill>
              <w14:schemeClr w14:val="tx1"/>
            </w14:solidFill>
          </w14:textFill>
        </w:rPr>
        <w:t>（3）突出重点</w:t>
      </w:r>
      <w:bookmarkEnd w:id="96"/>
      <w:bookmarkEnd w:id="97"/>
      <w:bookmarkEnd w:id="98"/>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根据建设项目的工程内容及其特点，明确与环境要素间的作用效应关系，根据规划环境影响评价结论和审查意见，充分利用符合时效的数据资料及成果，对建设项目主要环境影响予以重点分析和评价。</w:t>
      </w:r>
    </w:p>
    <w:p>
      <w:pPr>
        <w:pStyle w:val="3"/>
        <w:spacing w:line="360" w:lineRule="auto"/>
        <w:ind w:left="0" w:firstLine="640"/>
        <w:rPr>
          <w:rFonts w:eastAsia="黑体"/>
          <w:color w:val="000000" w:themeColor="text1"/>
          <w14:textFill>
            <w14:solidFill>
              <w14:schemeClr w14:val="tx1"/>
            </w14:solidFill>
          </w14:textFill>
        </w:rPr>
      </w:pPr>
      <w:bookmarkStart w:id="99" w:name="_Toc26751"/>
      <w:bookmarkStart w:id="100" w:name="_Toc25752"/>
      <w:bookmarkStart w:id="101" w:name="_Toc70496219"/>
      <w:bookmarkStart w:id="102" w:name="_Toc1389"/>
      <w:bookmarkStart w:id="103" w:name="_Toc548"/>
      <w:bookmarkStart w:id="104" w:name="_Toc12435"/>
      <w:r>
        <w:rPr>
          <w:rFonts w:eastAsia="黑体"/>
          <w:color w:val="000000" w:themeColor="text1"/>
          <w14:textFill>
            <w14:solidFill>
              <w14:schemeClr w14:val="tx1"/>
            </w14:solidFill>
          </w14:textFill>
        </w:rPr>
        <w:t>1.4环境影响因素识别、评价因子筛选、评价标准</w:t>
      </w:r>
      <w:bookmarkEnd w:id="99"/>
      <w:bookmarkEnd w:id="100"/>
      <w:bookmarkEnd w:id="101"/>
      <w:bookmarkEnd w:id="102"/>
      <w:bookmarkEnd w:id="103"/>
      <w:bookmarkEnd w:id="104"/>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05" w:name="_Toc24579"/>
      <w:bookmarkStart w:id="106" w:name="_Toc70496220"/>
      <w:bookmarkStart w:id="107" w:name="_Toc29791"/>
      <w:bookmarkStart w:id="108" w:name="_Toc5369"/>
      <w:bookmarkStart w:id="109" w:name="_Toc2276"/>
      <w:bookmarkStart w:id="110" w:name="_Toc1429"/>
      <w:r>
        <w:rPr>
          <w:rFonts w:ascii="Times New Roman" w:hAnsi="Times New Roman" w:cs="Times New Roman"/>
          <w:color w:val="000000" w:themeColor="text1"/>
          <w14:textFill>
            <w14:solidFill>
              <w14:schemeClr w14:val="tx1"/>
            </w14:solidFill>
          </w14:textFill>
        </w:rPr>
        <w:t>1.4.1环境影响因素识别</w:t>
      </w:r>
      <w:bookmarkEnd w:id="105"/>
      <w:bookmarkEnd w:id="106"/>
      <w:bookmarkEnd w:id="107"/>
      <w:bookmarkEnd w:id="108"/>
      <w:bookmarkEnd w:id="109"/>
      <w:bookmarkEnd w:id="110"/>
    </w:p>
    <w:p>
      <w:pPr>
        <w:pStyle w:val="14"/>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根据本工程特点及所在地环境特征，项目的环境影响要素识别见表1.4-1。</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表1.4-1环境影响因素识别表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2344"/>
        <w:gridCol w:w="5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阶段</w:t>
            </w:r>
          </w:p>
        </w:tc>
        <w:tc>
          <w:tcPr>
            <w:tcW w:w="1376"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工程内容</w:t>
            </w:r>
          </w:p>
        </w:tc>
        <w:tc>
          <w:tcPr>
            <w:tcW w:w="3106"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环境影响因素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restar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施工期</w:t>
            </w:r>
          </w:p>
        </w:tc>
        <w:tc>
          <w:tcPr>
            <w:tcW w:w="137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挖、清淤</w:t>
            </w:r>
            <w:r>
              <w:rPr>
                <w:rFonts w:hint="eastAsia"/>
                <w:color w:val="000000" w:themeColor="text1"/>
                <w:sz w:val="21"/>
                <w:szCs w:val="21"/>
                <w14:textFill>
                  <w14:solidFill>
                    <w14:schemeClr w14:val="tx1"/>
                  </w14:solidFill>
                </w14:textFill>
              </w:rPr>
              <w:t>，破损渠道、设施拆除、修复</w:t>
            </w:r>
          </w:p>
        </w:tc>
        <w:tc>
          <w:tcPr>
            <w:tcW w:w="3106" w:type="pct"/>
            <w:vAlign w:val="center"/>
          </w:tcPr>
          <w:p>
            <w:pPr>
              <w:pStyle w:val="14"/>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剥离表土破坏自然植被、农田植被，产生的土石方、扬尘，引起水土流失，施工活动对野生动物的影响</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破坏风景名胜区内植被，对景区内景观产生影响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137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施工机械</w:t>
            </w:r>
          </w:p>
        </w:tc>
        <w:tc>
          <w:tcPr>
            <w:tcW w:w="310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噪声污染，石油类对水体的污染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137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施工车辆运输</w:t>
            </w:r>
          </w:p>
        </w:tc>
        <w:tc>
          <w:tcPr>
            <w:tcW w:w="3106" w:type="pct"/>
            <w:vAlign w:val="center"/>
          </w:tcPr>
          <w:p>
            <w:pPr>
              <w:pStyle w:val="14"/>
              <w:keepNext w:val="0"/>
              <w:keepLines w:val="0"/>
              <w:suppressLineNumbers w:val="0"/>
              <w:spacing w:before="0" w:beforeAutospacing="0" w:after="0" w:afterAutospacing="0"/>
              <w:ind w:left="0" w:right="0"/>
              <w:jc w:val="center"/>
              <w:rPr>
                <w:rFonts w:hint="eastAsia" w:eastAsia="宋体"/>
                <w:color w:val="000000" w:themeColor="text1"/>
                <w:sz w:val="21"/>
                <w:szCs w:val="21"/>
                <w:lang w:eastAsia="zh-CN"/>
                <w14:textFill>
                  <w14:solidFill>
                    <w14:schemeClr w14:val="tx1"/>
                  </w14:solidFill>
                </w14:textFill>
              </w:rPr>
            </w:pPr>
            <w:r>
              <w:rPr>
                <w:rFonts w:hint="default"/>
                <w:color w:val="000000" w:themeColor="text1"/>
                <w:sz w:val="21"/>
                <w:szCs w:val="21"/>
                <w14:textFill>
                  <w14:solidFill>
                    <w14:schemeClr w14:val="tx1"/>
                  </w14:solidFill>
                </w14:textFill>
              </w:rPr>
              <w:t>增加道路交通流量、交通噪声及扬尘、废气等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137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施工人员日常生活</w:t>
            </w:r>
          </w:p>
        </w:tc>
        <w:tc>
          <w:tcPr>
            <w:tcW w:w="310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生活污水及生活垃圾对环境的影响</w:t>
            </w:r>
          </w:p>
        </w:tc>
      </w:tr>
    </w:tbl>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11" w:name="_Toc20932"/>
      <w:bookmarkStart w:id="112" w:name="_Toc14088"/>
      <w:bookmarkStart w:id="113" w:name="_Toc22556"/>
      <w:bookmarkStart w:id="114" w:name="_Toc70496221"/>
      <w:bookmarkStart w:id="115" w:name="_Toc20730"/>
      <w:bookmarkStart w:id="116" w:name="_Toc30368"/>
      <w:r>
        <w:rPr>
          <w:rFonts w:ascii="Times New Roman" w:hAnsi="Times New Roman" w:cs="Times New Roman"/>
          <w:color w:val="000000" w:themeColor="text1"/>
          <w14:textFill>
            <w14:solidFill>
              <w14:schemeClr w14:val="tx1"/>
            </w14:solidFill>
          </w14:textFill>
        </w:rPr>
        <w:t>1.4.2工程环境影响的矩阵筛选</w:t>
      </w:r>
      <w:bookmarkEnd w:id="111"/>
      <w:bookmarkEnd w:id="112"/>
      <w:bookmarkEnd w:id="113"/>
      <w:bookmarkEnd w:id="114"/>
      <w:bookmarkEnd w:id="115"/>
      <w:bookmarkEnd w:id="116"/>
    </w:p>
    <w:p>
      <w:pPr>
        <w:pStyle w:val="14"/>
        <w:adjustRightInd w:val="0"/>
        <w:snapToGrid w:val="0"/>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本工程不同时期对于各种环境资源影响的定性关系见表1.4-2。</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1.4-2项目环境影响的要素识别矩阵</w:t>
      </w:r>
    </w:p>
    <w:tbl>
      <w:tblPr>
        <w:tblStyle w:val="3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695"/>
        <w:gridCol w:w="695"/>
        <w:gridCol w:w="697"/>
        <w:gridCol w:w="697"/>
        <w:gridCol w:w="697"/>
        <w:gridCol w:w="697"/>
        <w:gridCol w:w="697"/>
        <w:gridCol w:w="697"/>
        <w:gridCol w:w="697"/>
        <w:gridCol w:w="699"/>
        <w:gridCol w:w="8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08" w:type="pct"/>
            <w:vMerge w:val="restart"/>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作用因子</w:t>
            </w:r>
          </w:p>
        </w:tc>
        <w:tc>
          <w:tcPr>
            <w:tcW w:w="4089" w:type="pct"/>
            <w:gridSpan w:val="10"/>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环境影响因子</w:t>
            </w:r>
          </w:p>
        </w:tc>
        <w:tc>
          <w:tcPr>
            <w:tcW w:w="502" w:type="pct"/>
            <w:vMerge w:val="restart"/>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408" w:type="pct"/>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水质</w:t>
            </w:r>
          </w:p>
        </w:tc>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水温</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水文情势</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土地利用</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陆生生物</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水生生物</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环境空气</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土壤环境</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声环境</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水土保持</w:t>
            </w:r>
          </w:p>
        </w:tc>
        <w:tc>
          <w:tcPr>
            <w:tcW w:w="502" w:type="pct"/>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施工活动</w:t>
            </w:r>
          </w:p>
        </w:tc>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502" w:type="pct"/>
            <w:vMerge w:val="restar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：显著影响</w:t>
            </w:r>
          </w:p>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：较小影响</w:t>
            </w:r>
          </w:p>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—：无影响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工程运行</w:t>
            </w:r>
          </w:p>
        </w:tc>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502" w:type="pct"/>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08"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筛选识别结果</w:t>
            </w:r>
          </w:p>
        </w:tc>
        <w:tc>
          <w:tcPr>
            <w:tcW w:w="408"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8"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ascii="Segoe UI Symbol" w:hAnsi="Segoe UI Symbol" w:cs="Segoe UI Symbol"/>
                <w:color w:val="000000" w:themeColor="text1"/>
                <w:sz w:val="21"/>
                <w:szCs w:val="21"/>
                <w14:textFill>
                  <w14:solidFill>
                    <w14:schemeClr w14:val="tx1"/>
                  </w14:solidFill>
                </w14:textFill>
              </w:rPr>
              <w:t>☆</w:t>
            </w:r>
          </w:p>
        </w:tc>
        <w:tc>
          <w:tcPr>
            <w:tcW w:w="409"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w:t>
            </w:r>
          </w:p>
        </w:tc>
        <w:tc>
          <w:tcPr>
            <w:tcW w:w="502" w:type="pct"/>
            <w:vMerge w:val="continue"/>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r>
    </w:tbl>
    <w:p>
      <w:pPr>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通过上表可知，工程对环境影响的主要时段为施工期，主要影响行为是废气、废水、固体废物、噪声排放，敏感的环境要素为大气环境、水环境、声环境和土壤，具体为：</w:t>
      </w:r>
    </w:p>
    <w:p>
      <w:pPr>
        <w:spacing w:line="360" w:lineRule="auto"/>
        <w:ind w:firstLine="480" w:firstLineChars="200"/>
        <w:jc w:val="both"/>
        <w:rPr>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①</w:t>
      </w:r>
      <w:r>
        <w:rPr>
          <w:color w:val="000000" w:themeColor="text1"/>
          <w:sz w:val="24"/>
          <w14:textFill>
            <w14:solidFill>
              <w14:schemeClr w14:val="tx1"/>
            </w14:solidFill>
          </w14:textFill>
        </w:rPr>
        <w:t>施工期的环境影响要素：土石料运输可能产生扬尘造成环境空气污染，施工机械设备噪声将影响周围声环境；施工期间对周边生态景观带来一定的不利影响，此外其他施工期污染源还包括生活污水、弃渣（淤泥等）和生活垃圾等。</w:t>
      </w:r>
    </w:p>
    <w:p>
      <w:pPr>
        <w:pStyle w:val="14"/>
        <w:spacing w:line="360" w:lineRule="auto"/>
        <w:ind w:firstLine="480" w:firstLineChars="200"/>
        <w:jc w:val="both"/>
        <w:rPr>
          <w:rFonts w:eastAsia="黑体"/>
          <w:b/>
          <w:color w:val="000000" w:themeColor="text1"/>
          <w:sz w:val="21"/>
          <w:szCs w:val="2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营运期的环境影响：本工程建设后最主要的影响为水质、生态影响等方面，都主要为有利影响。</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17" w:name="_Toc14242"/>
      <w:bookmarkStart w:id="118" w:name="_Toc70496222"/>
      <w:bookmarkStart w:id="119" w:name="_Toc3548"/>
      <w:bookmarkStart w:id="120" w:name="_Toc20766"/>
      <w:bookmarkStart w:id="121" w:name="_Toc31474"/>
      <w:bookmarkStart w:id="122" w:name="_Toc20712"/>
      <w:r>
        <w:rPr>
          <w:rFonts w:ascii="Times New Roman" w:hAnsi="Times New Roman" w:cs="Times New Roman"/>
          <w:color w:val="000000" w:themeColor="text1"/>
          <w14:textFill>
            <w14:solidFill>
              <w14:schemeClr w14:val="tx1"/>
            </w14:solidFill>
          </w14:textFill>
        </w:rPr>
        <w:t>1.4.3环境影响评价因子识别、评价因子筛选</w:t>
      </w:r>
      <w:bookmarkEnd w:id="117"/>
      <w:bookmarkEnd w:id="118"/>
      <w:bookmarkEnd w:id="119"/>
      <w:bookmarkEnd w:id="120"/>
      <w:bookmarkEnd w:id="121"/>
      <w:bookmarkEnd w:id="122"/>
    </w:p>
    <w:p>
      <w:pPr>
        <w:pStyle w:val="14"/>
        <w:jc w:val="center"/>
        <w:rPr>
          <w:rFonts w:eastAsia="黑体"/>
          <w:color w:val="000000" w:themeColor="text1"/>
          <w14:textFill>
            <w14:solidFill>
              <w14:schemeClr w14:val="tx1"/>
            </w14:solidFill>
          </w14:textFill>
        </w:rPr>
      </w:pPr>
      <w:bookmarkStart w:id="123" w:name="2.4评价执行标准"/>
      <w:bookmarkEnd w:id="123"/>
      <w:bookmarkStart w:id="124" w:name="_bookmark20"/>
      <w:bookmarkEnd w:id="124"/>
      <w:bookmarkStart w:id="125" w:name="_Toc8582"/>
      <w:bookmarkStart w:id="126" w:name="_Toc28788"/>
      <w:bookmarkStart w:id="127" w:name="_Toc1286"/>
      <w:bookmarkStart w:id="128" w:name="_Toc70496224"/>
      <w:bookmarkStart w:id="129" w:name="_Toc6985"/>
      <w:r>
        <w:rPr>
          <w:rFonts w:eastAsia="黑体"/>
          <w:color w:val="000000" w:themeColor="text1"/>
          <w14:textFill>
            <w14:solidFill>
              <w14:schemeClr w14:val="tx1"/>
            </w14:solidFill>
          </w14:textFill>
        </w:rPr>
        <w:t>表1.4-3项目评价因子筛选</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563"/>
        <w:gridCol w:w="56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环境要素</w:t>
            </w:r>
          </w:p>
        </w:tc>
        <w:tc>
          <w:tcPr>
            <w:tcW w:w="917"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评价专题</w:t>
            </w:r>
          </w:p>
        </w:tc>
        <w:tc>
          <w:tcPr>
            <w:tcW w:w="3335"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评价因子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Merge w:val="restar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环境空气</w:t>
            </w:r>
          </w:p>
        </w:tc>
        <w:tc>
          <w:tcPr>
            <w:tcW w:w="91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现状评价</w:t>
            </w:r>
          </w:p>
        </w:tc>
        <w:tc>
          <w:tcPr>
            <w:tcW w:w="333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SO</w:t>
            </w:r>
            <w:r>
              <w:rPr>
                <w:rFonts w:hint="default"/>
                <w:color w:val="000000" w:themeColor="text1"/>
                <w:sz w:val="21"/>
                <w:szCs w:val="21"/>
                <w:vertAlign w:val="subscript"/>
                <w14:textFill>
                  <w14:solidFill>
                    <w14:schemeClr w14:val="tx1"/>
                  </w14:solidFill>
                </w14:textFill>
              </w:rPr>
              <w:t>2</w:t>
            </w:r>
            <w:r>
              <w:rPr>
                <w:rFonts w:hint="default"/>
                <w:color w:val="000000" w:themeColor="text1"/>
                <w:sz w:val="21"/>
                <w:szCs w:val="21"/>
                <w14:textFill>
                  <w14:solidFill>
                    <w14:schemeClr w14:val="tx1"/>
                  </w14:solidFill>
                </w14:textFill>
              </w:rPr>
              <w:t>、NO</w:t>
            </w:r>
            <w:r>
              <w:rPr>
                <w:rFonts w:hint="default"/>
                <w:color w:val="000000" w:themeColor="text1"/>
                <w:sz w:val="21"/>
                <w:szCs w:val="21"/>
                <w:vertAlign w:val="subscript"/>
                <w14:textFill>
                  <w14:solidFill>
                    <w14:schemeClr w14:val="tx1"/>
                  </w14:solidFill>
                </w14:textFill>
              </w:rPr>
              <w:t>2</w:t>
            </w: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10</w:t>
            </w: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2.5</w:t>
            </w:r>
            <w:r>
              <w:rPr>
                <w:rFonts w:hint="default"/>
                <w:color w:val="000000" w:themeColor="text1"/>
                <w:sz w:val="21"/>
                <w:szCs w:val="21"/>
                <w14:textFill>
                  <w14:solidFill>
                    <w14:schemeClr w14:val="tx1"/>
                  </w14:solidFill>
                </w14:textFill>
              </w:rPr>
              <w:t>、CO、O</w:t>
            </w:r>
            <w:r>
              <w:rPr>
                <w:rFonts w:hint="default"/>
                <w:color w:val="000000" w:themeColor="text1"/>
                <w:sz w:val="21"/>
                <w:szCs w:val="21"/>
                <w:vertAlign w:val="subscript"/>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91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影响分析</w:t>
            </w:r>
          </w:p>
        </w:tc>
        <w:tc>
          <w:tcPr>
            <w:tcW w:w="333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Merge w:val="restar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地表水环境</w:t>
            </w:r>
          </w:p>
        </w:tc>
        <w:tc>
          <w:tcPr>
            <w:tcW w:w="91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现状评价</w:t>
            </w:r>
          </w:p>
        </w:tc>
        <w:tc>
          <w:tcPr>
            <w:tcW w:w="333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r>
              <w:rPr>
                <w:rFonts w:hint="default"/>
                <w:color w:val="000000" w:themeColor="text1"/>
                <w:sz w:val="21"/>
                <w:szCs w:val="21"/>
                <w14:textFill>
                  <w14:solidFill>
                    <w14:schemeClr w14:val="tx1"/>
                  </w14:solidFill>
                </w14:textFill>
              </w:rPr>
              <w:t>pH</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高锰酸盐指数</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氨氮</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91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影响分析</w:t>
            </w:r>
          </w:p>
        </w:tc>
        <w:tc>
          <w:tcPr>
            <w:tcW w:w="3335" w:type="pct"/>
            <w:vAlign w:val="center"/>
          </w:tcPr>
          <w:p>
            <w:pPr>
              <w:pStyle w:val="14"/>
              <w:keepNext w:val="0"/>
              <w:keepLines w:val="0"/>
              <w:suppressLineNumbers w:val="0"/>
              <w:spacing w:before="0" w:beforeAutospacing="0" w:after="0" w:afterAutospacing="0"/>
              <w:ind w:left="0" w:right="0"/>
              <w:jc w:val="center"/>
              <w:rPr>
                <w:rFonts w:hint="eastAsia" w:eastAsia="宋体"/>
                <w:color w:val="000000" w:themeColor="text1"/>
                <w:sz w:val="21"/>
                <w:szCs w:val="21"/>
                <w:lang w:eastAsia="zh-CN"/>
                <w14:textFill>
                  <w14:solidFill>
                    <w14:schemeClr w14:val="tx1"/>
                  </w14:solidFill>
                </w14:textFill>
              </w:rPr>
            </w:pPr>
            <w:r>
              <w:rPr>
                <w:rFonts w:hint="default"/>
                <w:color w:val="000000" w:themeColor="text1"/>
                <w:sz w:val="21"/>
                <w:szCs w:val="21"/>
                <w14:textFill>
                  <w14:solidFill>
                    <w14:schemeClr w14:val="tx1"/>
                  </w14:solidFill>
                </w14:textFill>
              </w:rPr>
              <w:t>COD、NH</w:t>
            </w:r>
            <w:r>
              <w:rPr>
                <w:rFonts w:hint="default"/>
                <w:color w:val="000000" w:themeColor="text1"/>
                <w:sz w:val="21"/>
                <w:szCs w:val="21"/>
                <w:vertAlign w:val="subscript"/>
                <w14:textFill>
                  <w14:solidFill>
                    <w14:schemeClr w14:val="tx1"/>
                  </w14:solidFill>
                </w14:textFill>
              </w:rPr>
              <w:t>3</w:t>
            </w:r>
            <w:r>
              <w:rPr>
                <w:rFonts w:hint="default"/>
                <w:color w:val="000000" w:themeColor="text1"/>
                <w:sz w:val="21"/>
                <w:szCs w:val="21"/>
                <w14:textFill>
                  <w14:solidFill>
                    <w14:schemeClr w14:val="tx1"/>
                  </w14:solidFill>
                </w14:textFill>
              </w:rPr>
              <w:t>-N、SS</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石油类</w:t>
            </w:r>
            <w:r>
              <w:rPr>
                <w:rFonts w:hint="eastAsia"/>
                <w:color w:val="000000" w:themeColor="text1"/>
                <w:sz w:val="21"/>
                <w:szCs w:val="21"/>
                <w:lang w:eastAsia="zh-CN"/>
                <w14:textFill>
                  <w14:solidFill>
                    <w14:schemeClr w14:val="tx1"/>
                  </w14:solidFill>
                </w14:textFill>
              </w:rPr>
              <w:t>、</w:t>
            </w:r>
            <w:r>
              <w:rPr>
                <w:rFonts w:hint="default"/>
                <w:color w:val="000000" w:themeColor="text1"/>
                <w:sz w:val="21"/>
                <w:szCs w:val="21"/>
                <w14:textFill>
                  <w14:solidFill>
                    <w14:schemeClr w14:val="tx1"/>
                  </w14:solidFill>
                </w14:textFill>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Merge w:val="restar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声环境</w:t>
            </w:r>
          </w:p>
        </w:tc>
        <w:tc>
          <w:tcPr>
            <w:tcW w:w="91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现状评价</w:t>
            </w:r>
          </w:p>
        </w:tc>
        <w:tc>
          <w:tcPr>
            <w:tcW w:w="333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昼间连续声级L</w:t>
            </w:r>
            <w:r>
              <w:rPr>
                <w:rFonts w:hint="default"/>
                <w:color w:val="000000" w:themeColor="text1"/>
                <w:sz w:val="21"/>
                <w:szCs w:val="21"/>
                <w:vertAlign w:val="subscript"/>
                <w14:textFill>
                  <w14:solidFill>
                    <w14:schemeClr w14:val="tx1"/>
                  </w14:solidFill>
                </w14:textFill>
              </w:rPr>
              <w:t>d</w:t>
            </w:r>
            <w:r>
              <w:rPr>
                <w:rFonts w:hint="default"/>
                <w:color w:val="000000" w:themeColor="text1"/>
                <w:sz w:val="21"/>
                <w:szCs w:val="21"/>
                <w14:textFill>
                  <w14:solidFill>
                    <w14:schemeClr w14:val="tx1"/>
                  </w14:solidFill>
                </w14:textFill>
              </w:rPr>
              <w:t>、夜间连续声级L</w:t>
            </w:r>
            <w:r>
              <w:rPr>
                <w:rFonts w:hint="default"/>
                <w:color w:val="000000" w:themeColor="text1"/>
                <w:sz w:val="21"/>
                <w:szCs w:val="21"/>
                <w:vertAlign w:val="subscript"/>
                <w14:textFill>
                  <w14:solidFill>
                    <w14:schemeClr w14:val="tx1"/>
                  </w14:solidFill>
                </w14:textFill>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91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影响分析</w:t>
            </w:r>
          </w:p>
        </w:tc>
        <w:tc>
          <w:tcPr>
            <w:tcW w:w="333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昼间连续声级L</w:t>
            </w:r>
            <w:r>
              <w:rPr>
                <w:rFonts w:hint="default"/>
                <w:color w:val="000000" w:themeColor="text1"/>
                <w:sz w:val="21"/>
                <w:szCs w:val="21"/>
                <w:vertAlign w:val="subscript"/>
                <w14:textFill>
                  <w14:solidFill>
                    <w14:schemeClr w14:val="tx1"/>
                  </w14:solidFill>
                </w14:textFill>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底泥</w:t>
            </w:r>
          </w:p>
        </w:tc>
        <w:tc>
          <w:tcPr>
            <w:tcW w:w="91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现状分析</w:t>
            </w:r>
          </w:p>
        </w:tc>
        <w:tc>
          <w:tcPr>
            <w:tcW w:w="333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pH、汞、砷、镉、铜、铅、镍、铬、锌</w:t>
            </w:r>
          </w:p>
        </w:tc>
      </w:tr>
    </w:tbl>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表1.4-</w:t>
      </w:r>
      <w:r>
        <w:rPr>
          <w:rFonts w:hint="eastAsia" w:eastAsia="黑体"/>
          <w:color w:val="000000" w:themeColor="text1"/>
          <w14:textFill>
            <w14:solidFill>
              <w14:schemeClr w14:val="tx1"/>
            </w14:solidFill>
          </w14:textFill>
        </w:rPr>
        <w:t>4生态影响</w:t>
      </w:r>
      <w:r>
        <w:rPr>
          <w:rFonts w:eastAsia="黑体"/>
          <w:color w:val="000000" w:themeColor="text1"/>
          <w14:textFill>
            <w14:solidFill>
              <w14:schemeClr w14:val="tx1"/>
            </w14:solidFill>
          </w14:textFill>
        </w:rPr>
        <w:t>评价因子筛选</w:t>
      </w:r>
    </w:p>
    <w:tbl>
      <w:tblPr>
        <w:tblStyle w:val="1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766"/>
        <w:gridCol w:w="4065"/>
        <w:gridCol w:w="1144"/>
        <w:gridCol w:w="6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受影响对象</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评价因子</w:t>
            </w:r>
          </w:p>
        </w:tc>
        <w:tc>
          <w:tcPr>
            <w:tcW w:w="23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工程内容及影响方式</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影响性质</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影响程度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物种</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分布范围、种群数量、种群结构、行为等</w:t>
            </w:r>
          </w:p>
        </w:tc>
        <w:tc>
          <w:tcPr>
            <w:tcW w:w="23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渠道整治、拆除重建渠道、新建闸口等；水土流失直接影响、施工噪声直接影响、生境面积和质量下降间接影响</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短期、可逆</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生境</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生境面积、质量、连通性等</w:t>
            </w:r>
          </w:p>
        </w:tc>
        <w:tc>
          <w:tcPr>
            <w:tcW w:w="2385" w:type="pct"/>
            <w:shd w:val="clear" w:color="auto" w:fill="auto"/>
            <w:vAlign w:val="top"/>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渠道整治、拆除重建渠道、新建闸口等；水土流失直接影响、施工噪声直接影响、生境面积和质量下降间接影响</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短期、可逆</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生物群落</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群落结构、物种组成</w:t>
            </w:r>
          </w:p>
        </w:tc>
        <w:tc>
          <w:tcPr>
            <w:tcW w:w="2385" w:type="pct"/>
            <w:shd w:val="clear" w:color="auto" w:fill="auto"/>
            <w:vAlign w:val="top"/>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渠道整治、拆除重建渠道、新建闸口等；水土流失直接影响、施工噪声直接影响、生境面积和质量下降间接影响</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短期、可逆</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生态系统</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植被覆盖度、生产力、生物量、生态系统功能</w:t>
            </w:r>
          </w:p>
        </w:tc>
        <w:tc>
          <w:tcPr>
            <w:tcW w:w="2385" w:type="pct"/>
            <w:shd w:val="clear" w:color="auto" w:fill="auto"/>
            <w:vAlign w:val="top"/>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渠道整治、拆除重建渠道、新建闸口等；水土流失直接影响、施工噪声直接影响、生境面积和质量下降间接影响</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短期、不可逆</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生物多样性</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物种丰富度、均匀度、优势度</w:t>
            </w:r>
          </w:p>
        </w:tc>
        <w:tc>
          <w:tcPr>
            <w:tcW w:w="2385" w:type="pct"/>
            <w:shd w:val="clear" w:color="auto" w:fill="auto"/>
            <w:vAlign w:val="top"/>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渠道整治、拆除重建渠道、新建闸口等；水土流失直接影响、施工噪声直接影响、生境面积和质量下降间接影响</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短期、可逆</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生态敏感区</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主要保护对象、生态功能、风景名胜区</w:t>
            </w:r>
          </w:p>
        </w:tc>
        <w:tc>
          <w:tcPr>
            <w:tcW w:w="2385" w:type="pct"/>
            <w:shd w:val="clear" w:color="auto" w:fill="auto"/>
            <w:vAlign w:val="top"/>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渠道整治、拆除重建渠道、新建闸口等；水土流失直接影响、施工噪声直接影响、生境面积和质量下降间接影响</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短期、可逆</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自然景观</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景观多样性、完整性</w:t>
            </w:r>
          </w:p>
        </w:tc>
        <w:tc>
          <w:tcPr>
            <w:tcW w:w="2385" w:type="pct"/>
            <w:shd w:val="clear" w:color="auto" w:fill="auto"/>
            <w:vAlign w:val="top"/>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渠道整治、拆除重建渠道、新建闸口等；水土流失直接影响、施工噪声直接影响、生境面积和质量下降间接影响</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短期、可逆</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自然遗迹</w:t>
            </w:r>
          </w:p>
        </w:tc>
        <w:tc>
          <w:tcPr>
            <w:tcW w:w="1036"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遗迹多样性、完整性等</w:t>
            </w:r>
          </w:p>
        </w:tc>
        <w:tc>
          <w:tcPr>
            <w:tcW w:w="23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w:t>
            </w:r>
          </w:p>
        </w:tc>
        <w:tc>
          <w:tcPr>
            <w:tcW w:w="671"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w:t>
            </w:r>
          </w:p>
        </w:tc>
        <w:tc>
          <w:tcPr>
            <w:tcW w:w="378"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ascii="Times New Roman" w:hAnsi="Times New Roman" w:eastAsia="宋体" w:cs="Times New Roman"/>
                <w:b w:val="0"/>
                <w:color w:val="000000" w:themeColor="text1"/>
                <w:kern w:val="44"/>
                <w:sz w:val="21"/>
                <w:szCs w:val="44"/>
                <w:lang w:val="en-US" w:eastAsia="zh-CN" w:bidi="ar-SA"/>
                <w14:textFill>
                  <w14:solidFill>
                    <w14:schemeClr w14:val="tx1"/>
                  </w14:solidFill>
                </w14:textFill>
              </w:rPr>
            </w:pPr>
            <w:r>
              <w:rPr>
                <w:rFonts w:hint="default"/>
                <w:color w:val="000000" w:themeColor="text1"/>
                <w14:textFill>
                  <w14:solidFill>
                    <w14:schemeClr w14:val="tx1"/>
                  </w14:solidFill>
                </w14:textFill>
              </w:rPr>
              <w:t>无</w:t>
            </w:r>
          </w:p>
        </w:tc>
      </w:tr>
    </w:tbl>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30" w:name="_Toc11778"/>
      <w:r>
        <w:rPr>
          <w:rFonts w:ascii="Times New Roman" w:hAnsi="Times New Roman" w:cs="Times New Roman"/>
          <w:color w:val="000000" w:themeColor="text1"/>
          <w14:textFill>
            <w14:solidFill>
              <w14:schemeClr w14:val="tx1"/>
            </w14:solidFill>
          </w14:textFill>
        </w:rPr>
        <w:t>1.4.4评价标准</w:t>
      </w:r>
      <w:bookmarkEnd w:id="125"/>
      <w:bookmarkEnd w:id="126"/>
      <w:bookmarkEnd w:id="127"/>
      <w:bookmarkEnd w:id="128"/>
      <w:bookmarkEnd w:id="129"/>
      <w:bookmarkEnd w:id="130"/>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本项目环境执行的标准如下：</w:t>
      </w:r>
    </w:p>
    <w:p>
      <w:pPr>
        <w:pStyle w:val="14"/>
        <w:spacing w:line="360" w:lineRule="auto"/>
        <w:rPr>
          <w:b/>
          <w:color w:val="000000" w:themeColor="text1"/>
          <w14:textFill>
            <w14:solidFill>
              <w14:schemeClr w14:val="tx1"/>
            </w14:solidFill>
          </w14:textFill>
        </w:rPr>
      </w:pPr>
      <w:bookmarkStart w:id="131" w:name="2.4.1.1环境空气质量标准"/>
      <w:bookmarkEnd w:id="131"/>
      <w:r>
        <w:rPr>
          <w:b/>
          <w:color w:val="000000" w:themeColor="text1"/>
          <w14:textFill>
            <w14:solidFill>
              <w14:schemeClr w14:val="tx1"/>
            </w14:solidFill>
          </w14:textFill>
        </w:rPr>
        <w:t>1.4.4.1环境质量标准</w:t>
      </w:r>
    </w:p>
    <w:p>
      <w:pPr>
        <w:pStyle w:val="14"/>
        <w:spacing w:line="360" w:lineRule="auto"/>
        <w:ind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1、环境空气质量标准</w:t>
      </w:r>
    </w:p>
    <w:p>
      <w:pPr>
        <w:widowControl/>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根据《环境空气质量标准》（</w:t>
      </w:r>
      <w:r>
        <w:rPr>
          <w:color w:val="000000" w:themeColor="text1"/>
          <w:sz w:val="24"/>
          <w:szCs w:val="24"/>
          <w14:textFill>
            <w14:solidFill>
              <w14:schemeClr w14:val="tx1"/>
            </w14:solidFill>
          </w14:textFill>
        </w:rPr>
        <w:t>GB3095-2012</w:t>
      </w:r>
      <w:r>
        <w:rPr>
          <w:rFonts w:hint="eastAsia"/>
          <w:color w:val="000000" w:themeColor="text1"/>
          <w:sz w:val="24"/>
          <w:szCs w:val="24"/>
          <w14:textFill>
            <w14:solidFill>
              <w14:schemeClr w14:val="tx1"/>
            </w14:solidFill>
          </w14:textFill>
        </w:rPr>
        <w:t>），本工程所在区域主要为居民区、商业交通居民混合区、文化区、农村地区，属于二类环境空气功能区</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执行《环境空气质量标准》</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GB3095-2012</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二级标准</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其中，位于花果山风景名胜区内部分属于一类区，执行</w:t>
      </w:r>
      <w:r>
        <w:rPr>
          <w:color w:val="000000" w:themeColor="text1"/>
          <w:sz w:val="24"/>
          <w:szCs w:val="24"/>
          <w14:textFill>
            <w14:solidFill>
              <w14:schemeClr w14:val="tx1"/>
            </w14:solidFill>
          </w14:textFill>
        </w:rPr>
        <w:t>《环境空气质量标准》</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GB3095-2012</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一</w:t>
      </w:r>
      <w:r>
        <w:rPr>
          <w:color w:val="000000" w:themeColor="text1"/>
          <w:sz w:val="24"/>
          <w:szCs w:val="24"/>
          <w14:textFill>
            <w14:solidFill>
              <w14:schemeClr w14:val="tx1"/>
            </w14:solidFill>
          </w14:textFill>
        </w:rPr>
        <w:t>级标准。具体标准值见下表。</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表1.4-</w:t>
      </w:r>
      <w:r>
        <w:rPr>
          <w:rFonts w:hint="eastAsia" w:eastAsia="黑体"/>
          <w:color w:val="000000" w:themeColor="text1"/>
          <w14:textFill>
            <w14:solidFill>
              <w14:schemeClr w14:val="tx1"/>
            </w14:solidFill>
          </w14:textFill>
        </w:rPr>
        <w:t>5</w:t>
      </w:r>
      <w:r>
        <w:rPr>
          <w:rFonts w:eastAsia="黑体"/>
          <w:color w:val="000000" w:themeColor="text1"/>
          <w14:textFill>
            <w14:solidFill>
              <w14:schemeClr w14:val="tx1"/>
            </w14:solidFill>
          </w14:textFill>
        </w:rPr>
        <w:t>环境空气质量标准单位：μg/m</w:t>
      </w:r>
      <w:r>
        <w:rPr>
          <w:rFonts w:eastAsia="黑体"/>
          <w:color w:val="000000" w:themeColor="text1"/>
          <w:vertAlign w:val="superscript"/>
          <w14:textFill>
            <w14:solidFill>
              <w14:schemeClr w14:val="tx1"/>
            </w14:solidFill>
          </w14:textFill>
        </w:rPr>
        <w:t>3</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9"/>
        <w:gridCol w:w="932"/>
        <w:gridCol w:w="932"/>
        <w:gridCol w:w="2380"/>
        <w:gridCol w:w="1356"/>
        <w:gridCol w:w="16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0" w:type="pct"/>
            <w:gridSpan w:val="2"/>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污染物项目</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年平均</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24小时平均</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1小时平均</w:t>
            </w:r>
          </w:p>
        </w:tc>
        <w:tc>
          <w:tcPr>
            <w:tcW w:w="949"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b/>
                <w:color w:val="000000" w:themeColor="text1"/>
                <w:sz w:val="21"/>
                <w:szCs w:val="21"/>
                <w:lang w:val="en-US" w:eastAsia="zh-CN"/>
                <w14:textFill>
                  <w14:solidFill>
                    <w14:schemeClr w14:val="tx1"/>
                  </w14:solidFill>
                </w14:textFill>
              </w:rPr>
            </w:pPr>
            <w:r>
              <w:rPr>
                <w:rFonts w:hint="eastAsia"/>
                <w:b w:val="0"/>
                <w:color w:val="000000" w:themeColor="text1"/>
                <w:sz w:val="21"/>
                <w:szCs w:val="21"/>
                <w:lang w:val="en-US" w:eastAsia="zh-CN"/>
                <w14:textFill>
                  <w14:solidFill>
                    <w14:schemeClr w14:val="tx1"/>
                  </w14:solidFill>
                </w14:textFill>
              </w:rPr>
              <w:t>花果山风景名胜区外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restar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基本污染物</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SO</w:t>
            </w:r>
            <w:r>
              <w:rPr>
                <w:rFonts w:hint="default"/>
                <w:color w:val="000000" w:themeColor="text1"/>
                <w:sz w:val="21"/>
                <w:szCs w:val="21"/>
                <w:vertAlign w:val="subscript"/>
                <w14:textFill>
                  <w14:solidFill>
                    <w14:schemeClr w14:val="tx1"/>
                  </w14:solidFill>
                </w14:textFill>
              </w:rPr>
              <w:t>2</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60</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150</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500</w:t>
            </w:r>
          </w:p>
        </w:tc>
        <w:tc>
          <w:tcPr>
            <w:tcW w:w="949" w:type="pct"/>
            <w:vMerge w:val="restar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《环境空气质量标准》</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GB3095-2012</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NO</w:t>
            </w:r>
            <w:r>
              <w:rPr>
                <w:rFonts w:hint="default"/>
                <w:color w:val="000000" w:themeColor="text1"/>
                <w:sz w:val="21"/>
                <w:szCs w:val="21"/>
                <w:vertAlign w:val="subscript"/>
                <w14:textFill>
                  <w14:solidFill>
                    <w14:schemeClr w14:val="tx1"/>
                  </w14:solidFill>
                </w14:textFill>
              </w:rPr>
              <w:t>2</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40</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80</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200</w:t>
            </w:r>
          </w:p>
        </w:tc>
        <w:tc>
          <w:tcPr>
            <w:tcW w:w="949"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10</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70</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150</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949"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2.5</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35</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75</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949"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CO</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4000</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10000</w:t>
            </w:r>
          </w:p>
        </w:tc>
        <w:tc>
          <w:tcPr>
            <w:tcW w:w="949"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O</w:t>
            </w:r>
            <w:r>
              <w:rPr>
                <w:rFonts w:hint="default"/>
                <w:color w:val="000000" w:themeColor="text1"/>
                <w:sz w:val="21"/>
                <w:szCs w:val="21"/>
                <w:vertAlign w:val="subscript"/>
                <w14:textFill>
                  <w14:solidFill>
                    <w14:schemeClr w14:val="tx1"/>
                  </w14:solidFill>
                </w14:textFill>
              </w:rPr>
              <w:t>3</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160（日最大8小时平均）</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200</w:t>
            </w:r>
          </w:p>
        </w:tc>
        <w:tc>
          <w:tcPr>
            <w:tcW w:w="949"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花果山风景名胜区内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restar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基本污染物</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SO</w:t>
            </w:r>
            <w:r>
              <w:rPr>
                <w:rFonts w:hint="default"/>
                <w:color w:val="000000" w:themeColor="text1"/>
                <w:sz w:val="21"/>
                <w:szCs w:val="21"/>
                <w:vertAlign w:val="subscript"/>
                <w14:textFill>
                  <w14:solidFill>
                    <w14:schemeClr w14:val="tx1"/>
                  </w14:solidFill>
                </w14:textFill>
              </w:rPr>
              <w:t>2</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150</w:t>
            </w:r>
          </w:p>
        </w:tc>
        <w:tc>
          <w:tcPr>
            <w:tcW w:w="949" w:type="pct"/>
            <w:vMerge w:val="restar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《环境空气质量标准》</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GB3095-2012</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一</w:t>
            </w:r>
            <w:r>
              <w:rPr>
                <w:rFonts w:hint="default"/>
                <w:color w:val="000000" w:themeColor="text1"/>
                <w:sz w:val="21"/>
                <w:szCs w:val="21"/>
                <w14:textFill>
                  <w14:solidFill>
                    <w14:schemeClr w14:val="tx1"/>
                  </w14:solidFill>
                </w14:textFill>
              </w:rPr>
              <w:t>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NO</w:t>
            </w:r>
            <w:r>
              <w:rPr>
                <w:rFonts w:hint="default"/>
                <w:color w:val="000000" w:themeColor="text1"/>
                <w:sz w:val="21"/>
                <w:szCs w:val="21"/>
                <w:vertAlign w:val="subscript"/>
                <w14:textFill>
                  <w14:solidFill>
                    <w14:schemeClr w14:val="tx1"/>
                  </w14:solidFill>
                </w14:textFill>
              </w:rPr>
              <w:t>2</w:t>
            </w: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40</w:t>
            </w:r>
          </w:p>
        </w:tc>
        <w:tc>
          <w:tcPr>
            <w:tcW w:w="139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w:t>
            </w:r>
          </w:p>
        </w:tc>
        <w:tc>
          <w:tcPr>
            <w:tcW w:w="796"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200</w:t>
            </w:r>
          </w:p>
        </w:tc>
        <w:tc>
          <w:tcPr>
            <w:tcW w:w="949" w:type="pct"/>
            <w:vMerge w:val="continue"/>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10</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40</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949"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2.5</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35</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949"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CO</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w:t>
            </w:r>
          </w:p>
        </w:tc>
        <w:tc>
          <w:tcPr>
            <w:tcW w:w="949"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c>
          <w:tcPr>
            <w:tcW w:w="547" w:type="pct"/>
            <w:vAlign w:val="center"/>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O</w:t>
            </w:r>
            <w:r>
              <w:rPr>
                <w:rFonts w:hint="default"/>
                <w:color w:val="000000" w:themeColor="text1"/>
                <w:sz w:val="21"/>
                <w:szCs w:val="21"/>
                <w:vertAlign w:val="subscript"/>
                <w14:textFill>
                  <w14:solidFill>
                    <w14:schemeClr w14:val="tx1"/>
                  </w14:solidFill>
                </w14:textFill>
              </w:rPr>
              <w:t>3</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r>
              <w:rPr>
                <w:rFonts w:hint="default"/>
                <w:color w:val="000000" w:themeColor="text1"/>
                <w:sz w:val="21"/>
                <w:szCs w:val="21"/>
                <w14:textFill>
                  <w14:solidFill>
                    <w14:schemeClr w14:val="tx1"/>
                  </w14:solidFill>
                </w14:textFill>
              </w:rPr>
              <w:t>（日最大8小时平均）</w:t>
            </w:r>
          </w:p>
        </w:tc>
        <w:tc>
          <w:tcPr>
            <w:tcW w:w="0" w:type="auto"/>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160</w:t>
            </w:r>
          </w:p>
        </w:tc>
        <w:tc>
          <w:tcPr>
            <w:tcW w:w="949" w:type="pct"/>
            <w:vMerge w:val="continue"/>
          </w:tcPr>
          <w:p>
            <w:pPr>
              <w:pStyle w:val="1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0"/>
              <w:jc w:val="center"/>
              <w:textAlignment w:val="auto"/>
              <w:rPr>
                <w:rFonts w:hint="default"/>
                <w:color w:val="000000" w:themeColor="text1"/>
                <w:sz w:val="21"/>
                <w:szCs w:val="21"/>
                <w14:textFill>
                  <w14:solidFill>
                    <w14:schemeClr w14:val="tx1"/>
                  </w14:solidFill>
                </w14:textFill>
              </w:rPr>
            </w:pPr>
          </w:p>
        </w:tc>
      </w:tr>
    </w:tbl>
    <w:p>
      <w:pPr>
        <w:pStyle w:val="14"/>
        <w:spacing w:line="360" w:lineRule="auto"/>
        <w:ind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2、地表水环境质量标准</w:t>
      </w:r>
    </w:p>
    <w:p>
      <w:pPr>
        <w:widowControl/>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根据调查，项目南五、南六支渠渠道来水为东风渠；北支一渠、董家堰补水渠（上、下）来水位东风渠北干渠。根据调查，项目涉及渠道均为人工渠道，尚未划定水环境功能区。</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项目所在地表水体属地表水Ⅲ类水域，执行《地表水环境质量标准》（GB3838-2002）中Ⅲ类水域标准，标准限值见下表：</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表1.4-</w:t>
      </w:r>
      <w:r>
        <w:rPr>
          <w:rFonts w:hint="eastAsia" w:eastAsia="黑体"/>
          <w:color w:val="000000" w:themeColor="text1"/>
          <w14:textFill>
            <w14:solidFill>
              <w14:schemeClr w14:val="tx1"/>
            </w14:solidFill>
          </w14:textFill>
        </w:rPr>
        <w:t>6</w:t>
      </w:r>
      <w:r>
        <w:rPr>
          <w:rFonts w:eastAsia="黑体"/>
          <w:color w:val="000000" w:themeColor="text1"/>
          <w14:textFill>
            <w14:solidFill>
              <w14:schemeClr w14:val="tx1"/>
            </w14:solidFill>
          </w14:textFill>
        </w:rPr>
        <w:t>地表水环境质量标准单位：mg/L</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2"/>
        <w:gridCol w:w="4146"/>
        <w:gridCol w:w="26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999"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序号</w:t>
            </w:r>
          </w:p>
        </w:tc>
        <w:tc>
          <w:tcPr>
            <w:tcW w:w="2433"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项目</w:t>
            </w:r>
          </w:p>
        </w:tc>
        <w:tc>
          <w:tcPr>
            <w:tcW w:w="156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999"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w:t>
            </w:r>
          </w:p>
        </w:tc>
        <w:tc>
          <w:tcPr>
            <w:tcW w:w="2433"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pH值（无量纲）</w:t>
            </w:r>
          </w:p>
        </w:tc>
        <w:tc>
          <w:tcPr>
            <w:tcW w:w="156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2433"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COD</w:t>
            </w:r>
            <w:r>
              <w:rPr>
                <w:rFonts w:hint="eastAsia"/>
                <w:color w:val="000000" w:themeColor="text1"/>
                <w:sz w:val="21"/>
                <w:szCs w:val="21"/>
                <w:lang w:val="en-US" w:eastAsia="zh-CN"/>
                <w14:textFill>
                  <w14:solidFill>
                    <w14:schemeClr w14:val="tx1"/>
                  </w14:solidFill>
                </w14:textFill>
              </w:rPr>
              <w:t>cr</w:t>
            </w:r>
          </w:p>
        </w:tc>
        <w:tc>
          <w:tcPr>
            <w:tcW w:w="156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99"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3</w:t>
            </w:r>
          </w:p>
        </w:tc>
        <w:tc>
          <w:tcPr>
            <w:tcW w:w="2433"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156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99"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4</w:t>
            </w:r>
          </w:p>
        </w:tc>
        <w:tc>
          <w:tcPr>
            <w:tcW w:w="2433"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156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99"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sz w:val="21"/>
                <w:szCs w:val="21"/>
                <w14:textFill>
                  <w14:solidFill>
                    <w14:schemeClr w14:val="tx1"/>
                  </w14:solidFill>
                </w14:textFill>
              </w:rPr>
              <w:t>5</w:t>
            </w:r>
          </w:p>
        </w:tc>
        <w:tc>
          <w:tcPr>
            <w:tcW w:w="2433"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156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w:t>
            </w:r>
          </w:p>
        </w:tc>
      </w:tr>
    </w:tbl>
    <w:p>
      <w:pPr>
        <w:pStyle w:val="14"/>
        <w:spacing w:line="360" w:lineRule="auto"/>
        <w:ind w:firstLine="482" w:firstLineChars="200"/>
        <w:rPr>
          <w:b/>
          <w:color w:val="000000" w:themeColor="text1"/>
          <w14:textFill>
            <w14:solidFill>
              <w14:schemeClr w14:val="tx1"/>
            </w14:solidFill>
          </w14:textFill>
        </w:rPr>
      </w:pPr>
      <w:r>
        <w:rPr>
          <w:b/>
          <w:color w:val="000000" w:themeColor="text1"/>
          <w14:textFill>
            <w14:solidFill>
              <w14:schemeClr w14:val="tx1"/>
            </w14:solidFill>
          </w14:textFill>
        </w:rPr>
        <w:t>3、声环境质量标准</w:t>
      </w:r>
    </w:p>
    <w:p>
      <w:pPr>
        <w:widowControl/>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根据《成都市新都区声环境功能区划分方案》、《成都市龙泉驿区声环境功能区划分方案》，</w:t>
      </w:r>
      <w:r>
        <w:rPr>
          <w:color w:val="000000" w:themeColor="text1"/>
          <w:sz w:val="24"/>
          <w:szCs w:val="24"/>
          <w14:textFill>
            <w14:solidFill>
              <w14:schemeClr w14:val="tx1"/>
            </w14:solidFill>
          </w14:textFill>
        </w:rPr>
        <w:t>本工程评价区内声环境质量评价执行《声环境质量标准》</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GB3096-2008</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其中成金青快速路新都段</w:t>
      </w:r>
      <w:r>
        <w:rPr>
          <w:rFonts w:hint="eastAsia"/>
          <w:color w:val="000000" w:themeColor="text1"/>
          <w:sz w:val="24"/>
          <w:szCs w:val="24"/>
          <w14:textFill>
            <w14:solidFill>
              <w14:schemeClr w14:val="tx1"/>
            </w14:solidFill>
          </w14:textFill>
        </w:rPr>
        <w:t>、成都绕城高速（G4202）</w:t>
      </w:r>
      <w:r>
        <w:rPr>
          <w:color w:val="000000" w:themeColor="text1"/>
          <w:sz w:val="24"/>
          <w:szCs w:val="24"/>
          <w14:textFill>
            <w14:solidFill>
              <w14:schemeClr w14:val="tx1"/>
            </w14:solidFill>
          </w14:textFill>
        </w:rPr>
        <w:t>边界两侧</w:t>
      </w:r>
      <w:r>
        <w:rPr>
          <w:rFonts w:hint="eastAsia"/>
          <w:color w:val="000000" w:themeColor="text1"/>
          <w:sz w:val="24"/>
          <w:szCs w:val="24"/>
          <w14:textFill>
            <w14:solidFill>
              <w14:schemeClr w14:val="tx1"/>
            </w14:solidFill>
          </w14:textFill>
        </w:rPr>
        <w:t>40m范围内</w:t>
      </w:r>
      <w:r>
        <w:rPr>
          <w:color w:val="000000" w:themeColor="text1"/>
          <w:sz w:val="24"/>
          <w:szCs w:val="24"/>
          <w14:textFill>
            <w14:solidFill>
              <w14:schemeClr w14:val="tx1"/>
            </w14:solidFill>
          </w14:textFill>
        </w:rPr>
        <w:t>执行4a类标准</w:t>
      </w:r>
      <w:r>
        <w:rPr>
          <w:rFonts w:hint="eastAsia"/>
          <w:color w:val="000000" w:themeColor="text1"/>
          <w:sz w:val="24"/>
          <w:szCs w:val="24"/>
          <w14:textFill>
            <w14:solidFill>
              <w14:schemeClr w14:val="tx1"/>
            </w14:solidFill>
          </w14:textFill>
        </w:rPr>
        <w:t>，此外</w:t>
      </w:r>
      <w:r>
        <w:rPr>
          <w:color w:val="000000" w:themeColor="text1"/>
          <w:sz w:val="24"/>
          <w:szCs w:val="24"/>
          <w14:textFill>
            <w14:solidFill>
              <w14:schemeClr w14:val="tx1"/>
            </w14:solidFill>
          </w14:textFill>
        </w:rPr>
        <w:t>执行2类标准。</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项目所在区域环境噪声执行《声环境质量标准》（GB3096-2008）中2类区域标准，标准限值见下表：</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表1.4-</w:t>
      </w:r>
      <w:r>
        <w:rPr>
          <w:rFonts w:hint="eastAsia" w:eastAsia="黑体"/>
          <w:color w:val="000000" w:themeColor="text1"/>
          <w14:textFill>
            <w14:solidFill>
              <w14:schemeClr w14:val="tx1"/>
            </w14:solidFill>
          </w14:textFill>
        </w:rPr>
        <w:t>7</w:t>
      </w:r>
      <w:r>
        <w:rPr>
          <w:rFonts w:eastAsia="黑体"/>
          <w:color w:val="000000" w:themeColor="text1"/>
          <w14:textFill>
            <w14:solidFill>
              <w14:schemeClr w14:val="tx1"/>
            </w14:solidFill>
          </w14:textFill>
        </w:rPr>
        <w:t>声环境质量标准单位：dB（A）</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37"/>
        <w:gridCol w:w="28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标准类别</w:t>
            </w:r>
          </w:p>
        </w:tc>
        <w:tc>
          <w:tcPr>
            <w:tcW w:w="3333" w:type="pct"/>
            <w:gridSpan w:val="2"/>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c>
          <w:tcPr>
            <w:tcW w:w="1665"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昼间</w:t>
            </w:r>
          </w:p>
        </w:tc>
        <w:tc>
          <w:tcPr>
            <w:tcW w:w="1668"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2类</w:t>
            </w:r>
          </w:p>
        </w:tc>
        <w:tc>
          <w:tcPr>
            <w:tcW w:w="166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60</w:t>
            </w:r>
          </w:p>
        </w:tc>
        <w:tc>
          <w:tcPr>
            <w:tcW w:w="1668"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4a类</w:t>
            </w:r>
          </w:p>
        </w:tc>
        <w:tc>
          <w:tcPr>
            <w:tcW w:w="1665"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w:t>
            </w:r>
          </w:p>
        </w:tc>
        <w:tc>
          <w:tcPr>
            <w:tcW w:w="1668"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w:t>
            </w:r>
          </w:p>
        </w:tc>
      </w:tr>
    </w:tbl>
    <w:p>
      <w:pPr>
        <w:pStyle w:val="14"/>
        <w:spacing w:line="360" w:lineRule="auto"/>
        <w:ind w:firstLine="482" w:firstLineChars="200"/>
        <w:jc w:val="both"/>
        <w:rPr>
          <w:b/>
          <w:color w:val="000000" w:themeColor="text1"/>
          <w14:textFill>
            <w14:solidFill>
              <w14:schemeClr w14:val="tx1"/>
            </w14:solidFill>
          </w14:textFill>
        </w:rPr>
      </w:pPr>
      <w:bookmarkStart w:id="132" w:name="2.4.1.2地表水环境质量标准"/>
      <w:bookmarkEnd w:id="132"/>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、土壤环境质量标准</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底泥执行《土壤环境质量农用地土壤污染风险管控标准（试行）》（GB15618-2018）</w:t>
      </w:r>
      <w:r>
        <w:rPr>
          <w:rFonts w:hint="eastAsia"/>
          <w:color w:val="000000" w:themeColor="text1"/>
          <w14:textFill>
            <w14:solidFill>
              <w14:schemeClr w14:val="tx1"/>
            </w14:solidFill>
          </w14:textFill>
        </w:rPr>
        <w:t>（基本项目）</w:t>
      </w:r>
      <w:r>
        <w:rPr>
          <w:color w:val="000000" w:themeColor="text1"/>
          <w14:textFill>
            <w14:solidFill>
              <w14:schemeClr w14:val="tx1"/>
            </w14:solidFill>
          </w14:textFill>
        </w:rPr>
        <w:t>风险筛选值要求，具体标准值见下表。</w:t>
      </w:r>
    </w:p>
    <w:p>
      <w:pPr>
        <w:pStyle w:val="14"/>
        <w:jc w:val="center"/>
        <w:rPr>
          <w:rFonts w:eastAsia="黑体"/>
          <w:color w:val="000000" w:themeColor="text1"/>
          <w:sz w:val="32"/>
          <w14:textFill>
            <w14:solidFill>
              <w14:schemeClr w14:val="tx1"/>
            </w14:solidFill>
          </w14:textFill>
        </w:rPr>
      </w:pPr>
      <w:r>
        <w:rPr>
          <w:rFonts w:eastAsia="黑体"/>
          <w:color w:val="000000" w:themeColor="text1"/>
          <w:szCs w:val="21"/>
          <w14:textFill>
            <w14:solidFill>
              <w14:schemeClr w14:val="tx1"/>
            </w14:solidFill>
          </w14:textFill>
        </w:rPr>
        <w:t>表1.4-</w:t>
      </w:r>
      <w:r>
        <w:rPr>
          <w:rFonts w:hint="eastAsia" w:eastAsia="黑体"/>
          <w:color w:val="000000" w:themeColor="text1"/>
          <w:szCs w:val="21"/>
          <w14:textFill>
            <w14:solidFill>
              <w14:schemeClr w14:val="tx1"/>
            </w14:solidFill>
          </w14:textFill>
        </w:rPr>
        <w:t>8</w:t>
      </w:r>
      <w:r>
        <w:rPr>
          <w:rFonts w:eastAsia="黑体"/>
          <w:color w:val="000000" w:themeColor="text1"/>
          <w:szCs w:val="21"/>
          <w14:textFill>
            <w14:solidFill>
              <w14:schemeClr w14:val="tx1"/>
            </w14:solidFill>
          </w14:textFill>
        </w:rPr>
        <w:t>农用地土壤环境质量标准单位：mg/kg</w:t>
      </w:r>
    </w:p>
    <w:tbl>
      <w:tblPr>
        <w:tblStyle w:val="3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702"/>
        <w:gridCol w:w="954"/>
        <w:gridCol w:w="1511"/>
        <w:gridCol w:w="1577"/>
        <w:gridCol w:w="1577"/>
        <w:gridCol w:w="15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21" w:hRule="atLeast"/>
        </w:trPr>
        <w:tc>
          <w:tcPr>
            <w:tcW w:w="395" w:type="pct"/>
            <w:vMerge w:val="restart"/>
            <w:tcBorders>
              <w:top w:val="single" w:color="auto" w:sz="12" w:space="0"/>
            </w:tcBorders>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序号</w:t>
            </w:r>
          </w:p>
        </w:tc>
        <w:tc>
          <w:tcPr>
            <w:tcW w:w="972" w:type="pct"/>
            <w:gridSpan w:val="2"/>
            <w:vMerge w:val="restart"/>
            <w:tcBorders>
              <w:top w:val="single" w:color="auto" w:sz="12" w:space="0"/>
            </w:tcBorders>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b/>
                <w:bCs/>
                <w:color w:val="000000" w:themeColor="text1"/>
                <w:vertAlign w:val="superscript"/>
                <w14:textFill>
                  <w14:solidFill>
                    <w14:schemeClr w14:val="tx1"/>
                  </w14:solidFill>
                </w14:textFill>
              </w:rPr>
            </w:pPr>
            <w:r>
              <w:rPr>
                <w:rFonts w:hint="default"/>
                <w:b/>
                <w:bCs/>
                <w:color w:val="000000" w:themeColor="text1"/>
                <w14:textFill>
                  <w14:solidFill>
                    <w14:schemeClr w14:val="tx1"/>
                  </w14:solidFill>
                </w14:textFill>
              </w:rPr>
              <w:t>污染物项目</w:t>
            </w:r>
            <w:r>
              <w:rPr>
                <w:rFonts w:hint="default"/>
                <w:b/>
                <w:bCs/>
                <w:color w:val="000000" w:themeColor="text1"/>
                <w:vertAlign w:val="superscript"/>
                <w14:textFill>
                  <w14:solidFill>
                    <w14:schemeClr w14:val="tx1"/>
                  </w14:solidFill>
                </w14:textFill>
              </w:rPr>
              <w:fldChar w:fldCharType="begin"/>
            </w:r>
            <w:r>
              <w:rPr>
                <w:rFonts w:hint="default"/>
                <w:b/>
                <w:bCs/>
                <w:color w:val="000000" w:themeColor="text1"/>
                <w:vertAlign w:val="superscript"/>
                <w14:textFill>
                  <w14:solidFill>
                    <w14:schemeClr w14:val="tx1"/>
                  </w14:solidFill>
                </w14:textFill>
              </w:rPr>
              <w:instrText xml:space="preserve"> = 1 \* GB3 </w:instrText>
            </w:r>
            <w:r>
              <w:rPr>
                <w:rFonts w:hint="default"/>
                <w:b/>
                <w:bCs/>
                <w:color w:val="000000" w:themeColor="text1"/>
                <w:vertAlign w:val="superscript"/>
                <w14:textFill>
                  <w14:solidFill>
                    <w14:schemeClr w14:val="tx1"/>
                  </w14:solidFill>
                </w14:textFill>
              </w:rPr>
              <w:fldChar w:fldCharType="separate"/>
            </w:r>
            <w:r>
              <w:rPr>
                <w:rFonts w:hint="eastAsia" w:ascii="宋体" w:hAnsi="宋体" w:cs="宋体"/>
                <w:b/>
                <w:bCs/>
                <w:color w:val="000000" w:themeColor="text1"/>
                <w:vertAlign w:val="superscript"/>
                <w14:textFill>
                  <w14:solidFill>
                    <w14:schemeClr w14:val="tx1"/>
                  </w14:solidFill>
                </w14:textFill>
              </w:rPr>
              <w:t>①</w:t>
            </w:r>
            <w:r>
              <w:rPr>
                <w:rFonts w:hint="default"/>
                <w:b/>
                <w:bCs/>
                <w:color w:val="000000" w:themeColor="text1"/>
                <w:vertAlign w:val="superscript"/>
                <w14:textFill>
                  <w14:solidFill>
                    <w14:schemeClr w14:val="tx1"/>
                  </w14:solidFill>
                </w14:textFill>
              </w:rPr>
              <w:fldChar w:fldCharType="end"/>
            </w:r>
            <w:r>
              <w:rPr>
                <w:rFonts w:hint="default"/>
                <w:b/>
                <w:bCs/>
                <w:color w:val="000000" w:themeColor="text1"/>
                <w:vertAlign w:val="superscript"/>
                <w14:textFill>
                  <w14:solidFill>
                    <w14:schemeClr w14:val="tx1"/>
                  </w14:solidFill>
                </w14:textFill>
              </w:rPr>
              <w:fldChar w:fldCharType="begin"/>
            </w:r>
            <w:r>
              <w:rPr>
                <w:rFonts w:hint="default"/>
                <w:b/>
                <w:bCs/>
                <w:color w:val="000000" w:themeColor="text1"/>
                <w:vertAlign w:val="superscript"/>
                <w14:textFill>
                  <w14:solidFill>
                    <w14:schemeClr w14:val="tx1"/>
                  </w14:solidFill>
                </w14:textFill>
              </w:rPr>
              <w:instrText xml:space="preserve"> = 2 \* GB3 </w:instrText>
            </w:r>
            <w:r>
              <w:rPr>
                <w:rFonts w:hint="default"/>
                <w:b/>
                <w:bCs/>
                <w:color w:val="000000" w:themeColor="text1"/>
                <w:vertAlign w:val="superscript"/>
                <w14:textFill>
                  <w14:solidFill>
                    <w14:schemeClr w14:val="tx1"/>
                  </w14:solidFill>
                </w14:textFill>
              </w:rPr>
              <w:fldChar w:fldCharType="separate"/>
            </w:r>
            <w:r>
              <w:rPr>
                <w:rFonts w:hint="eastAsia" w:ascii="宋体" w:hAnsi="宋体" w:cs="宋体"/>
                <w:b/>
                <w:bCs/>
                <w:color w:val="000000" w:themeColor="text1"/>
                <w:vertAlign w:val="superscript"/>
                <w14:textFill>
                  <w14:solidFill>
                    <w14:schemeClr w14:val="tx1"/>
                  </w14:solidFill>
                </w14:textFill>
              </w:rPr>
              <w:t>②</w:t>
            </w:r>
            <w:r>
              <w:rPr>
                <w:rFonts w:hint="default"/>
                <w:b/>
                <w:bCs/>
                <w:color w:val="000000" w:themeColor="text1"/>
                <w:vertAlign w:val="superscript"/>
                <w14:textFill>
                  <w14:solidFill>
                    <w14:schemeClr w14:val="tx1"/>
                  </w14:solidFill>
                </w14:textFill>
              </w:rPr>
              <w:fldChar w:fldCharType="end"/>
            </w:r>
          </w:p>
        </w:tc>
        <w:tc>
          <w:tcPr>
            <w:tcW w:w="3632" w:type="pct"/>
            <w:gridSpan w:val="4"/>
            <w:tcBorders>
              <w:top w:val="single" w:color="auto" w:sz="12" w:space="0"/>
            </w:tcBorders>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风险筛选值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95"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972" w:type="pct"/>
            <w:gridSpan w:val="2"/>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pH≤5.5</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5.5&lt;pH≤6.5</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6.5&lt;pH≤7.5</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pH&gt;7.5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412"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镉</w:t>
            </w: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水田</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0.5</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0.6</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95"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412"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95"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412"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汞</w:t>
            </w: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水田</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0.5</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0.5</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0.6</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95"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412"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1.3</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1.8</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2.4</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412"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砷</w:t>
            </w: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水田</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25</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412"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412"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铅</w:t>
            </w: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水田</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140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95"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412"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120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95"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412"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铬</w:t>
            </w: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水田</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95"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412"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200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6</w:t>
            </w:r>
          </w:p>
        </w:tc>
        <w:tc>
          <w:tcPr>
            <w:tcW w:w="412" w:type="pct"/>
            <w:vMerge w:val="restar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铜</w:t>
            </w: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果园</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200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412" w:type="pct"/>
            <w:vMerge w:val="continue"/>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p>
        </w:tc>
        <w:tc>
          <w:tcPr>
            <w:tcW w:w="559"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w:t>
            </w:r>
          </w:p>
        </w:tc>
        <w:tc>
          <w:tcPr>
            <w:tcW w:w="972" w:type="pct"/>
            <w:gridSpan w:val="2"/>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镍</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60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w:t>
            </w:r>
          </w:p>
        </w:tc>
        <w:tc>
          <w:tcPr>
            <w:tcW w:w="972" w:type="pct"/>
            <w:gridSpan w:val="2"/>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锌</w:t>
            </w:r>
          </w:p>
        </w:tc>
        <w:tc>
          <w:tcPr>
            <w:tcW w:w="887"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200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200</w:t>
            </w:r>
          </w:p>
        </w:tc>
        <w:tc>
          <w:tcPr>
            <w:tcW w:w="926"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250</w:t>
            </w:r>
          </w:p>
        </w:tc>
        <w:tc>
          <w:tcPr>
            <w:tcW w:w="891"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95"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w:t>
            </w:r>
          </w:p>
        </w:tc>
        <w:tc>
          <w:tcPr>
            <w:tcW w:w="972" w:type="pct"/>
            <w:gridSpan w:val="2"/>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vertAlign w:val="superscript"/>
                <w14:textFill>
                  <w14:solidFill>
                    <w14:schemeClr w14:val="tx1"/>
                  </w14:solidFill>
                </w14:textFill>
              </w:rPr>
            </w:pPr>
            <w:r>
              <w:rPr>
                <w:rFonts w:hint="default"/>
                <w:color w:val="000000" w:themeColor="text1"/>
                <w14:textFill>
                  <w14:solidFill>
                    <w14:schemeClr w14:val="tx1"/>
                  </w14:solidFill>
                </w14:textFill>
              </w:rPr>
              <w:t>六六六总量</w:t>
            </w:r>
            <w:r>
              <w:rPr>
                <w:rFonts w:hint="default"/>
                <w:color w:val="000000" w:themeColor="text1"/>
                <w:vertAlign w:val="superscript"/>
                <w14:textFill>
                  <w14:solidFill>
                    <w14:schemeClr w14:val="tx1"/>
                  </w14:solidFill>
                </w14:textFill>
              </w:rPr>
              <w:fldChar w:fldCharType="begin"/>
            </w:r>
            <w:r>
              <w:rPr>
                <w:rFonts w:hint="default"/>
                <w:color w:val="000000" w:themeColor="text1"/>
                <w:vertAlign w:val="superscript"/>
                <w14:textFill>
                  <w14:solidFill>
                    <w14:schemeClr w14:val="tx1"/>
                  </w14:solidFill>
                </w14:textFill>
              </w:rPr>
              <w:instrText xml:space="preserve"> = 3 \* GB3 </w:instrText>
            </w:r>
            <w:r>
              <w:rPr>
                <w:rFonts w:hint="default"/>
                <w:color w:val="000000" w:themeColor="text1"/>
                <w:vertAlign w:val="superscript"/>
                <w14:textFill>
                  <w14:solidFill>
                    <w14:schemeClr w14:val="tx1"/>
                  </w14:solidFill>
                </w14:textFill>
              </w:rPr>
              <w:fldChar w:fldCharType="separate"/>
            </w:r>
            <w:r>
              <w:rPr>
                <w:rFonts w:hint="eastAsia" w:ascii="宋体" w:hAnsi="宋体" w:cs="宋体"/>
                <w:color w:val="000000" w:themeColor="text1"/>
                <w:vertAlign w:val="superscript"/>
                <w14:textFill>
                  <w14:solidFill>
                    <w14:schemeClr w14:val="tx1"/>
                  </w14:solidFill>
                </w14:textFill>
              </w:rPr>
              <w:t>③</w:t>
            </w:r>
            <w:r>
              <w:rPr>
                <w:rFonts w:hint="default"/>
                <w:color w:val="000000" w:themeColor="text1"/>
                <w:vertAlign w:val="superscript"/>
                <w14:textFill>
                  <w14:solidFill>
                    <w14:schemeClr w14:val="tx1"/>
                  </w14:solidFill>
                </w14:textFill>
              </w:rPr>
              <w:fldChar w:fldCharType="end"/>
            </w:r>
          </w:p>
        </w:tc>
        <w:tc>
          <w:tcPr>
            <w:tcW w:w="3632" w:type="pct"/>
            <w:gridSpan w:val="4"/>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w:t>
            </w:r>
          </w:p>
        </w:tc>
        <w:tc>
          <w:tcPr>
            <w:tcW w:w="972" w:type="pct"/>
            <w:gridSpan w:val="2"/>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vertAlign w:val="superscript"/>
                <w14:textFill>
                  <w14:solidFill>
                    <w14:schemeClr w14:val="tx1"/>
                  </w14:solidFill>
                </w14:textFill>
              </w:rPr>
            </w:pPr>
            <w:r>
              <w:rPr>
                <w:rFonts w:hint="default"/>
                <w:color w:val="000000" w:themeColor="text1"/>
                <w14:textFill>
                  <w14:solidFill>
                    <w14:schemeClr w14:val="tx1"/>
                  </w14:solidFill>
                </w14:textFill>
              </w:rPr>
              <w:t>滴滴涕总量</w:t>
            </w:r>
            <w:r>
              <w:rPr>
                <w:rFonts w:hint="default"/>
                <w:color w:val="000000" w:themeColor="text1"/>
                <w:vertAlign w:val="superscript"/>
                <w14:textFill>
                  <w14:solidFill>
                    <w14:schemeClr w14:val="tx1"/>
                  </w14:solidFill>
                </w14:textFill>
              </w:rPr>
              <w:fldChar w:fldCharType="begin"/>
            </w:r>
            <w:r>
              <w:rPr>
                <w:rFonts w:hint="default"/>
                <w:color w:val="000000" w:themeColor="text1"/>
                <w:vertAlign w:val="superscript"/>
                <w14:textFill>
                  <w14:solidFill>
                    <w14:schemeClr w14:val="tx1"/>
                  </w14:solidFill>
                </w14:textFill>
              </w:rPr>
              <w:instrText xml:space="preserve"> = 4 \* GB3 </w:instrText>
            </w:r>
            <w:r>
              <w:rPr>
                <w:rFonts w:hint="default"/>
                <w:color w:val="000000" w:themeColor="text1"/>
                <w:vertAlign w:val="superscript"/>
                <w14:textFill>
                  <w14:solidFill>
                    <w14:schemeClr w14:val="tx1"/>
                  </w14:solidFill>
                </w14:textFill>
              </w:rPr>
              <w:fldChar w:fldCharType="separate"/>
            </w:r>
            <w:r>
              <w:rPr>
                <w:rFonts w:hint="eastAsia" w:ascii="宋体" w:hAnsi="宋体" w:cs="宋体"/>
                <w:color w:val="000000" w:themeColor="text1"/>
                <w:vertAlign w:val="superscript"/>
                <w14:textFill>
                  <w14:solidFill>
                    <w14:schemeClr w14:val="tx1"/>
                  </w14:solidFill>
                </w14:textFill>
              </w:rPr>
              <w:t>④</w:t>
            </w:r>
            <w:r>
              <w:rPr>
                <w:rFonts w:hint="default"/>
                <w:color w:val="000000" w:themeColor="text1"/>
                <w:vertAlign w:val="superscript"/>
                <w14:textFill>
                  <w14:solidFill>
                    <w14:schemeClr w14:val="tx1"/>
                  </w14:solidFill>
                </w14:textFill>
              </w:rPr>
              <w:fldChar w:fldCharType="end"/>
            </w:r>
          </w:p>
        </w:tc>
        <w:tc>
          <w:tcPr>
            <w:tcW w:w="3632" w:type="pct"/>
            <w:gridSpan w:val="4"/>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95" w:type="pct"/>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w:t>
            </w:r>
          </w:p>
        </w:tc>
        <w:tc>
          <w:tcPr>
            <w:tcW w:w="972" w:type="pct"/>
            <w:gridSpan w:val="2"/>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苯并[a]芘</w:t>
            </w:r>
          </w:p>
        </w:tc>
        <w:tc>
          <w:tcPr>
            <w:tcW w:w="3632" w:type="pct"/>
            <w:gridSpan w:val="4"/>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5000" w:type="pct"/>
            <w:gridSpan w:val="7"/>
            <w:tcBorders>
              <w:bottom w:val="single" w:color="auto" w:sz="12" w:space="0"/>
            </w:tcBorders>
            <w:shd w:val="clear" w:color="auto" w:fill="auto"/>
            <w:vAlign w:val="center"/>
          </w:tcPr>
          <w:p>
            <w:pPr>
              <w:keepNext w:val="0"/>
              <w:keepLines w:val="0"/>
              <w:suppressLineNumbers w:val="0"/>
              <w:tabs>
                <w:tab w:val="left" w:pos="1260"/>
              </w:tabs>
              <w:spacing w:before="0" w:beforeAutospacing="0" w:after="0" w:afterAutospacing="0" w:line="360" w:lineRule="exact"/>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注：</w:t>
            </w: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1 \* GB3 </w:instrText>
            </w:r>
            <w:r>
              <w:rPr>
                <w:rFonts w:hint="default"/>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重金属和类金属砷均按元素总量计。</w:t>
            </w: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2 \* GB3 </w:instrText>
            </w:r>
            <w:r>
              <w:rPr>
                <w:rFonts w:hint="default"/>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②</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对于水旱轮作地，采用其中较严格的风险筛选值。</w:t>
            </w: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3 \* GB3 </w:instrText>
            </w:r>
            <w:r>
              <w:rPr>
                <w:rFonts w:hint="default"/>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③</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六六六总量为α-六六六、β-六六六、γ-六六六、δ-六六六四种异构体的含量总和。</w:t>
            </w: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4 \* GB3 </w:instrText>
            </w:r>
            <w:r>
              <w:rPr>
                <w:rFonts w:hint="default"/>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④</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滴滴涕总量为p,p</w:t>
            </w:r>
            <w:r>
              <w:rPr>
                <w:rFonts w:hint="default" w:eastAsia="Malgun Gothic"/>
                <w:color w:val="000000" w:themeColor="text1"/>
                <w14:textFill>
                  <w14:solidFill>
                    <w14:schemeClr w14:val="tx1"/>
                  </w14:solidFill>
                </w14:textFill>
              </w:rPr>
              <w:t>’</w:t>
            </w:r>
            <w:r>
              <w:rPr>
                <w:rFonts w:hint="default"/>
                <w:color w:val="000000" w:themeColor="text1"/>
                <w14:textFill>
                  <w14:solidFill>
                    <w14:schemeClr w14:val="tx1"/>
                  </w14:solidFill>
                </w14:textFill>
              </w:rPr>
              <w:t>-滴滴伊、p,p</w:t>
            </w:r>
            <w:r>
              <w:rPr>
                <w:rFonts w:hint="default" w:eastAsia="Malgun Gothic"/>
                <w:color w:val="000000" w:themeColor="text1"/>
                <w14:textFill>
                  <w14:solidFill>
                    <w14:schemeClr w14:val="tx1"/>
                  </w14:solidFill>
                </w14:textFill>
              </w:rPr>
              <w:t>’</w:t>
            </w:r>
            <w:r>
              <w:rPr>
                <w:rFonts w:hint="default"/>
                <w:color w:val="000000" w:themeColor="text1"/>
                <w14:textFill>
                  <w14:solidFill>
                    <w14:schemeClr w14:val="tx1"/>
                  </w14:solidFill>
                </w14:textFill>
              </w:rPr>
              <w:t>-滴滴滴、o,p</w:t>
            </w:r>
            <w:r>
              <w:rPr>
                <w:rFonts w:hint="default" w:eastAsia="Malgun Gothic"/>
                <w:color w:val="000000" w:themeColor="text1"/>
                <w14:textFill>
                  <w14:solidFill>
                    <w14:schemeClr w14:val="tx1"/>
                  </w14:solidFill>
                </w14:textFill>
              </w:rPr>
              <w:t>’</w:t>
            </w:r>
            <w:r>
              <w:rPr>
                <w:rFonts w:hint="default"/>
                <w:color w:val="000000" w:themeColor="text1"/>
                <w14:textFill>
                  <w14:solidFill>
                    <w14:schemeClr w14:val="tx1"/>
                  </w14:solidFill>
                </w14:textFill>
              </w:rPr>
              <w:t>-滴滴涕、p,p</w:t>
            </w:r>
            <w:r>
              <w:rPr>
                <w:rFonts w:hint="default" w:eastAsia="Malgun Gothic"/>
                <w:color w:val="000000" w:themeColor="text1"/>
                <w14:textFill>
                  <w14:solidFill>
                    <w14:schemeClr w14:val="tx1"/>
                  </w14:solidFill>
                </w14:textFill>
              </w:rPr>
              <w:t>’</w:t>
            </w:r>
            <w:r>
              <w:rPr>
                <w:rFonts w:hint="default"/>
                <w:color w:val="000000" w:themeColor="text1"/>
                <w14:textFill>
                  <w14:solidFill>
                    <w14:schemeClr w14:val="tx1"/>
                  </w14:solidFill>
                </w14:textFill>
              </w:rPr>
              <w:t>-滴滴涕四种衍生物的含量总和。</w:t>
            </w:r>
          </w:p>
        </w:tc>
      </w:tr>
    </w:tbl>
    <w:p>
      <w:pPr>
        <w:pStyle w:val="14"/>
        <w:spacing w:line="360" w:lineRule="auto"/>
        <w:rPr>
          <w:b/>
          <w:color w:val="000000" w:themeColor="text1"/>
          <w14:textFill>
            <w14:solidFill>
              <w14:schemeClr w14:val="tx1"/>
            </w14:solidFill>
          </w14:textFill>
        </w:rPr>
      </w:pPr>
      <w:r>
        <w:rPr>
          <w:b/>
          <w:color w:val="000000" w:themeColor="text1"/>
          <w14:textFill>
            <w14:solidFill>
              <w14:schemeClr w14:val="tx1"/>
            </w14:solidFill>
          </w14:textFill>
        </w:rPr>
        <w:t>1.4.</w:t>
      </w:r>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.2污染物排放标准</w:t>
      </w:r>
    </w:p>
    <w:p>
      <w:pPr>
        <w:pStyle w:val="14"/>
        <w:spacing w:line="360" w:lineRule="auto"/>
        <w:ind w:firstLine="482" w:firstLineChars="200"/>
        <w:rPr>
          <w:b/>
          <w:color w:val="000000" w:themeColor="text1"/>
          <w14:textFill>
            <w14:solidFill>
              <w14:schemeClr w14:val="tx1"/>
            </w14:solidFill>
          </w14:textFill>
        </w:rPr>
      </w:pPr>
      <w:r>
        <w:rPr>
          <w:b/>
          <w:color w:val="000000" w:themeColor="text1"/>
          <w14:textFill>
            <w14:solidFill>
              <w14:schemeClr w14:val="tx1"/>
            </w14:solidFill>
          </w14:textFill>
        </w:rPr>
        <w:t>1、废气</w:t>
      </w:r>
    </w:p>
    <w:p>
      <w:pPr>
        <w:pStyle w:val="14"/>
        <w:spacing w:line="360" w:lineRule="auto"/>
        <w:ind w:firstLine="480" w:firstLineChars="200"/>
        <w:jc w:val="both"/>
        <w:rPr>
          <w:color w:val="000000" w:themeColor="text1"/>
          <w14:textFill>
            <w14:solidFill>
              <w14:schemeClr w14:val="tx1"/>
            </w14:solidFill>
          </w14:textFill>
        </w:rPr>
      </w:pPr>
      <w:r>
        <w:rPr>
          <w:rFonts w:eastAsia="宋"/>
          <w:color w:val="000000" w:themeColor="text1"/>
          <w:sz w:val="24"/>
          <w14:textFill>
            <w14:solidFill>
              <w14:schemeClr w14:val="tx1"/>
            </w14:solidFill>
          </w14:textFill>
        </w:rPr>
        <w:t>施工期废气执行《大气污染物综合排放标准》（GB16297-1996）二级排放标准，扬尘参照执行《四川省施工场地扬尘排放标准》（DB51/2682-2020），</w:t>
      </w:r>
      <w:r>
        <w:rPr>
          <w:rFonts w:hint="eastAsia" w:eastAsia="宋"/>
          <w:color w:val="000000" w:themeColor="text1"/>
          <w:sz w:val="24"/>
          <w:lang w:val="en-US" w:eastAsia="zh-CN"/>
          <w14:textFill>
            <w14:solidFill>
              <w14:schemeClr w14:val="tx1"/>
            </w14:solidFill>
          </w14:textFill>
        </w:rPr>
        <w:t>恶臭参照执行《恶臭污染物排放标准》（GB14554-93）二级排放标准，</w:t>
      </w:r>
      <w:r>
        <w:rPr>
          <w:rFonts w:eastAsia="宋"/>
          <w:color w:val="000000" w:themeColor="text1"/>
          <w:sz w:val="24"/>
          <w14:textFill>
            <w14:solidFill>
              <w14:schemeClr w14:val="tx1"/>
            </w14:solidFill>
          </w14:textFill>
        </w:rPr>
        <w:t>其标准值见下表</w:t>
      </w:r>
      <w:r>
        <w:rPr>
          <w:color w:val="000000" w:themeColor="text1"/>
          <w14:textFill>
            <w14:solidFill>
              <w14:schemeClr w14:val="tx1"/>
            </w14:solidFill>
          </w14:textFill>
        </w:rPr>
        <w:t>。</w:t>
      </w:r>
    </w:p>
    <w:p>
      <w:pPr>
        <w:pStyle w:val="14"/>
        <w:ind w:firstLine="480" w:firstLineChars="20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表1.4-</w:t>
      </w:r>
      <w:r>
        <w:rPr>
          <w:rFonts w:hint="eastAsia" w:eastAsia="黑体"/>
          <w:color w:val="000000" w:themeColor="text1"/>
          <w14:textFill>
            <w14:solidFill>
              <w14:schemeClr w14:val="tx1"/>
            </w14:solidFill>
          </w14:textFill>
        </w:rPr>
        <w:t>9</w:t>
      </w:r>
      <w:r>
        <w:rPr>
          <w:rFonts w:eastAsia="黑体"/>
          <w:color w:val="000000" w:themeColor="text1"/>
          <w14:textFill>
            <w14:solidFill>
              <w14:schemeClr w14:val="tx1"/>
            </w14:solidFill>
          </w14:textFill>
        </w:rPr>
        <w:t>大气污染物排放标准限值</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956"/>
        <w:gridCol w:w="1271"/>
        <w:gridCol w:w="1747"/>
        <w:gridCol w:w="1872"/>
        <w:gridCol w:w="17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108" w:type="pct"/>
            <w:gridSpan w:val="2"/>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控制项目</w:t>
            </w:r>
          </w:p>
        </w:tc>
        <w:tc>
          <w:tcPr>
            <w:tcW w:w="74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区域</w:t>
            </w:r>
          </w:p>
        </w:tc>
        <w:tc>
          <w:tcPr>
            <w:tcW w:w="1025"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施工阶段</w:t>
            </w:r>
          </w:p>
        </w:tc>
        <w:tc>
          <w:tcPr>
            <w:tcW w:w="1098"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无组织排放浓度限值</w:t>
            </w:r>
          </w:p>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（mg/m</w:t>
            </w:r>
            <w:r>
              <w:rPr>
                <w:rFonts w:hint="default"/>
                <w:b/>
                <w:color w:val="000000" w:themeColor="text1"/>
                <w:sz w:val="21"/>
                <w:szCs w:val="21"/>
                <w:vertAlign w:val="superscript"/>
                <w14:textFill>
                  <w14:solidFill>
                    <w14:schemeClr w14:val="tx1"/>
                  </w14:solidFill>
                </w14:textFill>
              </w:rPr>
              <w:t>3</w:t>
            </w:r>
            <w:r>
              <w:rPr>
                <w:rFonts w:hint="default"/>
                <w:b/>
                <w:color w:val="000000" w:themeColor="text1"/>
                <w:sz w:val="21"/>
                <w:szCs w:val="21"/>
                <w14:textFill>
                  <w14:solidFill>
                    <w14:schemeClr w14:val="tx1"/>
                  </w14:solidFill>
                </w14:textFill>
              </w:rPr>
              <w:t>）</w:t>
            </w:r>
          </w:p>
        </w:tc>
        <w:tc>
          <w:tcPr>
            <w:tcW w:w="1020"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47" w:type="pct"/>
            <w:vMerge w:val="restar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恶臭气体</w:t>
            </w:r>
          </w:p>
        </w:tc>
        <w:tc>
          <w:tcPr>
            <w:tcW w:w="561"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硫化氢</w:t>
            </w:r>
          </w:p>
        </w:tc>
        <w:tc>
          <w:tcPr>
            <w:tcW w:w="74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025"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098"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0.06</w:t>
            </w:r>
          </w:p>
        </w:tc>
        <w:tc>
          <w:tcPr>
            <w:tcW w:w="1020" w:type="pct"/>
            <w:vMerge w:val="restar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47" w:type="pct"/>
            <w:vMerge w:val="continue"/>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561"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氨气</w:t>
            </w:r>
          </w:p>
        </w:tc>
        <w:tc>
          <w:tcPr>
            <w:tcW w:w="746"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025"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098" w:type="pct"/>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1.5</w:t>
            </w:r>
          </w:p>
        </w:tc>
        <w:tc>
          <w:tcPr>
            <w:tcW w:w="1020" w:type="pct"/>
            <w:vMerge w:val="continue"/>
            <w:tcBorders>
              <w:tl2br w:val="nil"/>
              <w:tr2bl w:val="nil"/>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bl>
    <w:p>
      <w:pPr>
        <w:pStyle w:val="14"/>
        <w:ind w:firstLine="480" w:firstLineChars="200"/>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黑体" w:cs="Times New Roman"/>
          <w:color w:val="000000" w:themeColor="text1"/>
          <w14:textFill>
            <w14:solidFill>
              <w14:schemeClr w14:val="tx1"/>
            </w14:solidFill>
          </w14:textFill>
        </w:rPr>
        <w:t>表</w:t>
      </w:r>
      <w:r>
        <w:rPr>
          <w:rFonts w:hint="eastAsia" w:ascii="Times New Roman" w:hAnsi="Times New Roman" w:eastAsia="黑体" w:cs="Times New Roman"/>
          <w:color w:val="000000" w:themeColor="text1"/>
          <w:lang w:val="en-US" w:eastAsia="zh-CN"/>
          <w14:textFill>
            <w14:solidFill>
              <w14:schemeClr w14:val="tx1"/>
            </w14:solidFill>
          </w14:textFill>
        </w:rPr>
        <w:t>1.4</w:t>
      </w:r>
      <w:r>
        <w:rPr>
          <w:rFonts w:ascii="Times New Roman" w:hAnsi="Times New Roman" w:eastAsia="黑体" w:cs="Times New Roman"/>
          <w:color w:val="000000" w:themeColor="text1"/>
          <w14:textFill>
            <w14:solidFill>
              <w14:schemeClr w14:val="tx1"/>
            </w14:solidFill>
          </w14:textFill>
        </w:rPr>
        <w:t>-</w:t>
      </w:r>
      <w:r>
        <w:rPr>
          <w:rFonts w:hint="eastAsia" w:ascii="Times New Roman" w:hAnsi="Times New Roman" w:eastAsia="黑体" w:cs="Times New Roman"/>
          <w:color w:val="000000" w:themeColor="text1"/>
          <w:lang w:val="en-US" w:eastAsia="zh-CN"/>
          <w14:textFill>
            <w14:solidFill>
              <w14:schemeClr w14:val="tx1"/>
            </w14:solidFill>
          </w14:textFill>
        </w:rPr>
        <w:t>10</w:t>
      </w:r>
      <w:r>
        <w:rPr>
          <w:rFonts w:ascii="Times New Roman" w:hAnsi="Times New Roman" w:eastAsia="黑体" w:cs="Times New Roman"/>
          <w:color w:val="000000" w:themeColor="text1"/>
          <w14:textFill>
            <w14:solidFill>
              <w14:schemeClr w14:val="tx1"/>
            </w14:solidFill>
          </w14:textFill>
        </w:rPr>
        <w:t>《大气污染物综合排放标准》二级排放标准单位：mg/m3</w:t>
      </w:r>
    </w:p>
    <w:tbl>
      <w:tblPr>
        <w:tblStyle w:val="38"/>
        <w:tblW w:w="496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99"/>
        <w:gridCol w:w="3086"/>
        <w:gridCol w:w="30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357"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kern w:val="0"/>
                <w:szCs w:val="21"/>
                <w14:textFill>
                  <w14:solidFill>
                    <w14:schemeClr w14:val="tx1"/>
                  </w14:solidFill>
                </w14:textFill>
              </w:rPr>
            </w:pPr>
            <w:r>
              <w:rPr>
                <w:rFonts w:hint="default"/>
                <w:b/>
                <w:color w:val="000000" w:themeColor="text1"/>
                <w:kern w:val="0"/>
                <w:szCs w:val="21"/>
                <w14:textFill>
                  <w14:solidFill>
                    <w14:schemeClr w14:val="tx1"/>
                  </w14:solidFill>
                </w14:textFill>
              </w:rPr>
              <w:t>污染物</w:t>
            </w:r>
          </w:p>
        </w:tc>
        <w:tc>
          <w:tcPr>
            <w:tcW w:w="1822"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kern w:val="0"/>
                <w:szCs w:val="21"/>
                <w14:textFill>
                  <w14:solidFill>
                    <w14:schemeClr w14:val="tx1"/>
                  </w14:solidFill>
                </w14:textFill>
              </w:rPr>
            </w:pPr>
            <w:r>
              <w:rPr>
                <w:rFonts w:hint="default"/>
                <w:b/>
                <w:color w:val="000000" w:themeColor="text1"/>
                <w:kern w:val="0"/>
                <w:szCs w:val="21"/>
                <w14:textFill>
                  <w14:solidFill>
                    <w14:schemeClr w14:val="tx1"/>
                  </w14:solidFill>
                </w14:textFill>
              </w:rPr>
              <w:t>标准类型</w:t>
            </w:r>
          </w:p>
        </w:tc>
        <w:tc>
          <w:tcPr>
            <w:tcW w:w="1820"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kern w:val="0"/>
                <w:szCs w:val="21"/>
                <w14:textFill>
                  <w14:solidFill>
                    <w14:schemeClr w14:val="tx1"/>
                  </w14:solidFill>
                </w14:textFill>
              </w:rPr>
            </w:pPr>
            <w:r>
              <w:rPr>
                <w:rFonts w:hint="default"/>
                <w:b/>
                <w:color w:val="000000" w:themeColor="text1"/>
                <w:szCs w:val="21"/>
                <w14:textFill>
                  <w14:solidFill>
                    <w14:schemeClr w14:val="tx1"/>
                  </w14:solidFill>
                </w14:textFill>
              </w:rPr>
              <w:t>浓度限值（mg/m</w:t>
            </w:r>
            <w:r>
              <w:rPr>
                <w:rFonts w:hint="default"/>
                <w:b/>
                <w:color w:val="000000" w:themeColor="text1"/>
                <w:szCs w:val="21"/>
                <w:vertAlign w:val="superscript"/>
                <w14:textFill>
                  <w14:solidFill>
                    <w14:schemeClr w14:val="tx1"/>
                  </w14:solidFill>
                </w14:textFill>
              </w:rPr>
              <w:t>3</w:t>
            </w:r>
            <w:r>
              <w:rPr>
                <w:rFonts w:hint="default"/>
                <w:b/>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357"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SO</w:t>
            </w:r>
            <w:r>
              <w:rPr>
                <w:rFonts w:hint="default"/>
                <w:color w:val="000000" w:themeColor="text1"/>
                <w:kern w:val="0"/>
                <w:szCs w:val="21"/>
                <w:vertAlign w:val="subscript"/>
                <w14:textFill>
                  <w14:solidFill>
                    <w14:schemeClr w14:val="tx1"/>
                  </w14:solidFill>
                </w14:textFill>
              </w:rPr>
              <w:t>2</w:t>
            </w:r>
          </w:p>
        </w:tc>
        <w:tc>
          <w:tcPr>
            <w:tcW w:w="1822" w:type="pct"/>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无组织排放监控浓度限值</w:t>
            </w:r>
          </w:p>
        </w:tc>
        <w:tc>
          <w:tcPr>
            <w:tcW w:w="1820"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357"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NO</w:t>
            </w:r>
            <w:r>
              <w:rPr>
                <w:rFonts w:hint="default"/>
                <w:color w:val="000000" w:themeColor="text1"/>
                <w:kern w:val="0"/>
                <w:szCs w:val="21"/>
                <w:vertAlign w:val="subscript"/>
                <w14:textFill>
                  <w14:solidFill>
                    <w14:schemeClr w14:val="tx1"/>
                  </w14:solidFill>
                </w14:textFill>
              </w:rPr>
              <w:t>x</w:t>
            </w:r>
          </w:p>
        </w:tc>
        <w:tc>
          <w:tcPr>
            <w:tcW w:w="1822" w:type="pct"/>
            <w:vMerge w:val="continue"/>
            <w:noWrap w:val="0"/>
            <w:vAlign w:val="center"/>
          </w:tcPr>
          <w:p>
            <w:pPr>
              <w:keepNext w:val="0"/>
              <w:keepLines w:val="0"/>
              <w:widowControl/>
              <w:suppressLineNumbers w:val="0"/>
              <w:adjustRightInd w:val="0"/>
              <w:snapToGrid w:val="0"/>
              <w:spacing w:before="0" w:beforeAutospacing="0" w:after="0" w:afterAutospacing="0"/>
              <w:ind w:left="0" w:right="0"/>
              <w:jc w:val="left"/>
              <w:rPr>
                <w:rFonts w:hint="default"/>
                <w:color w:val="000000" w:themeColor="text1"/>
                <w:szCs w:val="21"/>
                <w14:textFill>
                  <w14:solidFill>
                    <w14:schemeClr w14:val="tx1"/>
                  </w14:solidFill>
                </w14:textFill>
              </w:rPr>
            </w:pPr>
          </w:p>
        </w:tc>
        <w:tc>
          <w:tcPr>
            <w:tcW w:w="1820"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357"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颗粒物</w:t>
            </w:r>
          </w:p>
        </w:tc>
        <w:tc>
          <w:tcPr>
            <w:tcW w:w="1822" w:type="pct"/>
            <w:vMerge w:val="continue"/>
            <w:noWrap w:val="0"/>
            <w:vAlign w:val="center"/>
          </w:tcPr>
          <w:p>
            <w:pPr>
              <w:keepNext w:val="0"/>
              <w:keepLines w:val="0"/>
              <w:widowControl/>
              <w:suppressLineNumbers w:val="0"/>
              <w:adjustRightInd w:val="0"/>
              <w:snapToGrid w:val="0"/>
              <w:spacing w:before="0" w:beforeAutospacing="0" w:after="0" w:afterAutospacing="0"/>
              <w:ind w:left="0" w:right="0"/>
              <w:jc w:val="left"/>
              <w:rPr>
                <w:rFonts w:hint="default"/>
                <w:color w:val="000000" w:themeColor="text1"/>
                <w:szCs w:val="21"/>
                <w14:textFill>
                  <w14:solidFill>
                    <w14:schemeClr w14:val="tx1"/>
                  </w14:solidFill>
                </w14:textFill>
              </w:rPr>
            </w:pPr>
          </w:p>
        </w:tc>
        <w:tc>
          <w:tcPr>
            <w:tcW w:w="1820"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1.0</w:t>
            </w:r>
          </w:p>
        </w:tc>
      </w:tr>
    </w:tbl>
    <w:p>
      <w:pPr>
        <w:pStyle w:val="14"/>
        <w:ind w:firstLine="480" w:firstLineChars="200"/>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黑体" w:cs="Times New Roman"/>
          <w:color w:val="000000" w:themeColor="text1"/>
          <w14:textFill>
            <w14:solidFill>
              <w14:schemeClr w14:val="tx1"/>
            </w14:solidFill>
          </w14:textFill>
        </w:rPr>
        <w:t>表</w:t>
      </w:r>
      <w:r>
        <w:rPr>
          <w:rFonts w:hint="eastAsia" w:ascii="Times New Roman" w:hAnsi="Times New Roman" w:eastAsia="黑体" w:cs="Times New Roman"/>
          <w:color w:val="000000" w:themeColor="text1"/>
          <w:lang w:val="en-US" w:eastAsia="zh-CN"/>
          <w14:textFill>
            <w14:solidFill>
              <w14:schemeClr w14:val="tx1"/>
            </w14:solidFill>
          </w14:textFill>
        </w:rPr>
        <w:t>1.4</w:t>
      </w:r>
      <w:r>
        <w:rPr>
          <w:rFonts w:ascii="Times New Roman" w:hAnsi="Times New Roman" w:eastAsia="黑体" w:cs="Times New Roman"/>
          <w:color w:val="000000" w:themeColor="text1"/>
          <w14:textFill>
            <w14:solidFill>
              <w14:schemeClr w14:val="tx1"/>
            </w14:solidFill>
          </w14:textFill>
        </w:rPr>
        <w:t>-</w:t>
      </w:r>
      <w:r>
        <w:rPr>
          <w:rFonts w:hint="eastAsia" w:ascii="Times New Roman" w:hAnsi="Times New Roman" w:eastAsia="黑体" w:cs="Times New Roman"/>
          <w:color w:val="000000" w:themeColor="text1"/>
          <w14:textFill>
            <w14:solidFill>
              <w14:schemeClr w14:val="tx1"/>
            </w14:solidFill>
          </w14:textFill>
        </w:rPr>
        <w:t>1</w:t>
      </w:r>
      <w:r>
        <w:rPr>
          <w:rFonts w:hint="eastAsia" w:ascii="Times New Roman" w:hAnsi="Times New Roman" w:eastAsia="黑体" w:cs="Times New Roman"/>
          <w:color w:val="000000" w:themeColor="text1"/>
          <w:lang w:val="en-US" w:eastAsia="zh-CN"/>
          <w14:textFill>
            <w14:solidFill>
              <w14:schemeClr w14:val="tx1"/>
            </w14:solidFill>
          </w14:textFill>
        </w:rPr>
        <w:t>1</w:t>
      </w:r>
      <w:r>
        <w:rPr>
          <w:rFonts w:ascii="Times New Roman" w:hAnsi="Times New Roman" w:eastAsia="黑体" w:cs="Times New Roman"/>
          <w:color w:val="000000" w:themeColor="text1"/>
          <w14:textFill>
            <w14:solidFill>
              <w14:schemeClr w14:val="tx1"/>
            </w14:solidFill>
          </w14:textFill>
        </w:rPr>
        <w:t>四川省施工场地扬尘排放限值</w:t>
      </w:r>
    </w:p>
    <w:tbl>
      <w:tblPr>
        <w:tblStyle w:val="38"/>
        <w:tblW w:w="49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1217"/>
        <w:gridCol w:w="2669"/>
        <w:gridCol w:w="2162"/>
        <w:gridCol w:w="12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719" w:type="pct"/>
            <w:noWrap w:val="0"/>
            <w:vAlign w:val="center"/>
          </w:tcPr>
          <w:p>
            <w:pPr>
              <w:keepNext w:val="0"/>
              <w:keepLines w:val="0"/>
              <w:suppressLineNumbers w:val="0"/>
              <w:spacing w:before="0" w:beforeAutospacing="0" w:after="0" w:afterAutospacing="0"/>
              <w:ind w:left="0" w:right="0"/>
              <w:jc w:val="center"/>
              <w:rPr>
                <w:rFonts w:hint="default"/>
                <w:b/>
                <w:bCs/>
                <w:color w:val="000000" w:themeColor="text1"/>
                <w:szCs w:val="21"/>
                <w14:textFill>
                  <w14:solidFill>
                    <w14:schemeClr w14:val="tx1"/>
                  </w14:solidFill>
                </w14:textFill>
              </w:rPr>
            </w:pPr>
            <w:r>
              <w:rPr>
                <w:rFonts w:hint="default"/>
                <w:b/>
                <w:bCs/>
                <w:color w:val="000000" w:themeColor="text1"/>
                <w:szCs w:val="21"/>
                <w14:textFill>
                  <w14:solidFill>
                    <w14:schemeClr w14:val="tx1"/>
                  </w14:solidFill>
                </w14:textFill>
              </w:rPr>
              <w:t>监测项目</w:t>
            </w:r>
          </w:p>
        </w:tc>
        <w:tc>
          <w:tcPr>
            <w:tcW w:w="716" w:type="pct"/>
            <w:noWrap w:val="0"/>
            <w:vAlign w:val="center"/>
          </w:tcPr>
          <w:p>
            <w:pPr>
              <w:keepNext w:val="0"/>
              <w:keepLines w:val="0"/>
              <w:suppressLineNumbers w:val="0"/>
              <w:spacing w:before="0" w:beforeAutospacing="0" w:after="0" w:afterAutospacing="0"/>
              <w:ind w:left="0" w:right="0"/>
              <w:jc w:val="center"/>
              <w:rPr>
                <w:rFonts w:hint="default"/>
                <w:b/>
                <w:bCs/>
                <w:color w:val="000000" w:themeColor="text1"/>
                <w:szCs w:val="21"/>
                <w14:textFill>
                  <w14:solidFill>
                    <w14:schemeClr w14:val="tx1"/>
                  </w14:solidFill>
                </w14:textFill>
              </w:rPr>
            </w:pPr>
            <w:r>
              <w:rPr>
                <w:rFonts w:hint="default"/>
                <w:b/>
                <w:bCs/>
                <w:color w:val="000000" w:themeColor="text1"/>
                <w:szCs w:val="21"/>
                <w14:textFill>
                  <w14:solidFill>
                    <w14:schemeClr w14:val="tx1"/>
                  </w14:solidFill>
                </w14:textFill>
              </w:rPr>
              <w:t>区域</w:t>
            </w:r>
          </w:p>
        </w:tc>
        <w:tc>
          <w:tcPr>
            <w:tcW w:w="1572" w:type="pct"/>
            <w:noWrap w:val="0"/>
            <w:vAlign w:val="center"/>
          </w:tcPr>
          <w:p>
            <w:pPr>
              <w:keepNext w:val="0"/>
              <w:keepLines w:val="0"/>
              <w:suppressLineNumbers w:val="0"/>
              <w:spacing w:before="0" w:beforeAutospacing="0" w:after="0" w:afterAutospacing="0"/>
              <w:ind w:left="0" w:right="0"/>
              <w:jc w:val="center"/>
              <w:rPr>
                <w:rFonts w:hint="default"/>
                <w:b/>
                <w:bCs/>
                <w:color w:val="000000" w:themeColor="text1"/>
                <w:szCs w:val="21"/>
                <w14:textFill>
                  <w14:solidFill>
                    <w14:schemeClr w14:val="tx1"/>
                  </w14:solidFill>
                </w14:textFill>
              </w:rPr>
            </w:pPr>
            <w:r>
              <w:rPr>
                <w:rFonts w:hint="default"/>
                <w:b/>
                <w:bCs/>
                <w:color w:val="000000" w:themeColor="text1"/>
                <w:szCs w:val="21"/>
                <w14:textFill>
                  <w14:solidFill>
                    <w14:schemeClr w14:val="tx1"/>
                  </w14:solidFill>
                </w14:textFill>
              </w:rPr>
              <w:t>施工阶段</w:t>
            </w:r>
          </w:p>
        </w:tc>
        <w:tc>
          <w:tcPr>
            <w:tcW w:w="1273" w:type="pct"/>
            <w:noWrap w:val="0"/>
            <w:vAlign w:val="center"/>
          </w:tcPr>
          <w:p>
            <w:pPr>
              <w:keepNext w:val="0"/>
              <w:keepLines w:val="0"/>
              <w:suppressLineNumbers w:val="0"/>
              <w:spacing w:before="0" w:beforeAutospacing="0" w:after="0" w:afterAutospacing="0"/>
              <w:ind w:left="0" w:right="0"/>
              <w:jc w:val="center"/>
              <w:rPr>
                <w:rFonts w:hint="default"/>
                <w:b/>
                <w:bCs/>
                <w:color w:val="000000" w:themeColor="text1"/>
                <w:szCs w:val="21"/>
                <w14:textFill>
                  <w14:solidFill>
                    <w14:schemeClr w14:val="tx1"/>
                  </w14:solidFill>
                </w14:textFill>
              </w:rPr>
            </w:pPr>
            <w:r>
              <w:rPr>
                <w:rFonts w:hint="default"/>
                <w:b/>
                <w:bCs/>
                <w:color w:val="000000" w:themeColor="text1"/>
                <w:szCs w:val="21"/>
                <w14:textFill>
                  <w14:solidFill>
                    <w14:schemeClr w14:val="tx1"/>
                  </w14:solidFill>
                </w14:textFill>
              </w:rPr>
              <w:t>监测点排放限值（μg/m</w:t>
            </w:r>
            <w:r>
              <w:rPr>
                <w:rFonts w:hint="default"/>
                <w:b/>
                <w:bCs/>
                <w:color w:val="000000" w:themeColor="text1"/>
                <w:szCs w:val="21"/>
                <w:vertAlign w:val="superscript"/>
                <w14:textFill>
                  <w14:solidFill>
                    <w14:schemeClr w14:val="tx1"/>
                  </w14:solidFill>
                </w14:textFill>
              </w:rPr>
              <w:t>3</w:t>
            </w:r>
            <w:r>
              <w:rPr>
                <w:rFonts w:hint="default"/>
                <w:b/>
                <w:bCs/>
                <w:color w:val="000000" w:themeColor="text1"/>
                <w:szCs w:val="21"/>
                <w14:textFill>
                  <w14:solidFill>
                    <w14:schemeClr w14:val="tx1"/>
                  </w14:solidFill>
                </w14:textFill>
              </w:rPr>
              <w:t>）</w:t>
            </w:r>
          </w:p>
        </w:tc>
        <w:tc>
          <w:tcPr>
            <w:tcW w:w="716" w:type="pct"/>
            <w:noWrap w:val="0"/>
            <w:vAlign w:val="center"/>
          </w:tcPr>
          <w:p>
            <w:pPr>
              <w:keepNext w:val="0"/>
              <w:keepLines w:val="0"/>
              <w:suppressLineNumbers w:val="0"/>
              <w:spacing w:before="0" w:beforeAutospacing="0" w:after="0" w:afterAutospacing="0"/>
              <w:ind w:left="0" w:right="0"/>
              <w:jc w:val="center"/>
              <w:rPr>
                <w:rFonts w:hint="default"/>
                <w:b/>
                <w:bCs/>
                <w:color w:val="000000" w:themeColor="text1"/>
                <w:szCs w:val="21"/>
                <w14:textFill>
                  <w14:solidFill>
                    <w14:schemeClr w14:val="tx1"/>
                  </w14:solidFill>
                </w14:textFill>
              </w:rPr>
            </w:pPr>
            <w:r>
              <w:rPr>
                <w:rFonts w:hint="default"/>
                <w:b/>
                <w:bCs/>
                <w:color w:val="000000" w:themeColor="text1"/>
                <w:szCs w:val="21"/>
                <w14:textFill>
                  <w14:solidFill>
                    <w14:schemeClr w14:val="tx1"/>
                  </w14:solidFill>
                </w14:textFill>
              </w:rPr>
              <w:t>监测时间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719" w:type="pct"/>
            <w:vMerge w:val="restart"/>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总悬浮颗粒物（TSP）</w:t>
            </w:r>
          </w:p>
        </w:tc>
        <w:tc>
          <w:tcPr>
            <w:tcW w:w="716" w:type="pct"/>
            <w:vMerge w:val="restart"/>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成都</w:t>
            </w:r>
            <w:r>
              <w:rPr>
                <w:rFonts w:hint="default"/>
                <w:color w:val="000000" w:themeColor="text1"/>
                <w:szCs w:val="21"/>
                <w14:textFill>
                  <w14:solidFill>
                    <w14:schemeClr w14:val="tx1"/>
                  </w14:solidFill>
                </w14:textFill>
              </w:rPr>
              <w:t>市</w:t>
            </w:r>
          </w:p>
        </w:tc>
        <w:tc>
          <w:tcPr>
            <w:tcW w:w="1572" w:type="pct"/>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拆除工程/土方开挖/土方回填阶段</w:t>
            </w:r>
          </w:p>
        </w:tc>
        <w:tc>
          <w:tcPr>
            <w:tcW w:w="1273" w:type="pct"/>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600</w:t>
            </w:r>
          </w:p>
        </w:tc>
        <w:tc>
          <w:tcPr>
            <w:tcW w:w="716" w:type="pct"/>
            <w:vMerge w:val="restart"/>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自监测起持续15分钟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19" w:type="pct"/>
            <w:vMerge w:val="continue"/>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716" w:type="pct"/>
            <w:vMerge w:val="continue"/>
            <w:noWrap w:val="0"/>
            <w:vAlign w:val="top"/>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c>
          <w:tcPr>
            <w:tcW w:w="1572" w:type="pct"/>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其他工程阶段</w:t>
            </w:r>
          </w:p>
        </w:tc>
        <w:tc>
          <w:tcPr>
            <w:tcW w:w="1273" w:type="pct"/>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250</w:t>
            </w:r>
          </w:p>
        </w:tc>
        <w:tc>
          <w:tcPr>
            <w:tcW w:w="716" w:type="pct"/>
            <w:vMerge w:val="continue"/>
            <w:noWrap w:val="0"/>
            <w:vAlign w:val="center"/>
          </w:tcPr>
          <w:p>
            <w:pPr>
              <w:keepNext w:val="0"/>
              <w:keepLines w:val="0"/>
              <w:suppressLineNumbers w:val="0"/>
              <w:spacing w:before="0" w:beforeAutospacing="0" w:after="0" w:afterAutospacing="0"/>
              <w:ind w:left="0" w:right="0"/>
              <w:jc w:val="center"/>
              <w:rPr>
                <w:rFonts w:hint="default"/>
                <w:color w:val="000000" w:themeColor="text1"/>
                <w:szCs w:val="21"/>
                <w14:textFill>
                  <w14:solidFill>
                    <w14:schemeClr w14:val="tx1"/>
                  </w14:solidFill>
                </w14:textFill>
              </w:rPr>
            </w:pPr>
          </w:p>
        </w:tc>
      </w:tr>
    </w:tbl>
    <w:p>
      <w:pPr>
        <w:pStyle w:val="14"/>
        <w:spacing w:line="360" w:lineRule="auto"/>
        <w:ind w:firstLine="482" w:firstLineChars="200"/>
        <w:rPr>
          <w:b/>
          <w:color w:val="000000" w:themeColor="text1"/>
          <w14:textFill>
            <w14:solidFill>
              <w14:schemeClr w14:val="tx1"/>
            </w14:solidFill>
          </w14:textFill>
        </w:rPr>
      </w:pPr>
      <w:r>
        <w:rPr>
          <w:b/>
          <w:color w:val="000000" w:themeColor="text1"/>
          <w14:textFill>
            <w14:solidFill>
              <w14:schemeClr w14:val="tx1"/>
            </w14:solidFill>
          </w14:textFill>
        </w:rPr>
        <w:t>2、废水</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本项目施工期废水主要为</w:t>
      </w:r>
      <w:r>
        <w:rPr>
          <w:rFonts w:hint="eastAsia"/>
          <w:color w:val="000000" w:themeColor="text1"/>
          <w14:textFill>
            <w14:solidFill>
              <w14:schemeClr w14:val="tx1"/>
            </w14:solidFill>
          </w14:textFill>
        </w:rPr>
        <w:t>运输车辆、施工机械</w:t>
      </w:r>
      <w:r>
        <w:rPr>
          <w:color w:val="000000" w:themeColor="text1"/>
          <w14:textFill>
            <w14:solidFill>
              <w14:schemeClr w14:val="tx1"/>
            </w14:solidFill>
          </w14:textFill>
        </w:rPr>
        <w:t>冲洗废水</w:t>
      </w:r>
      <w:r>
        <w:rPr>
          <w:rFonts w:hint="eastAsia"/>
          <w:color w:val="000000" w:themeColor="text1"/>
          <w14:textFill>
            <w14:solidFill>
              <w14:schemeClr w14:val="tx1"/>
            </w14:solidFill>
          </w14:textFill>
        </w:rPr>
        <w:t>、围堰</w:t>
      </w:r>
      <w:r>
        <w:rPr>
          <w:color w:val="000000" w:themeColor="text1"/>
          <w14:textFill>
            <w14:solidFill>
              <w14:schemeClr w14:val="tx1"/>
            </w14:solidFill>
          </w14:textFill>
        </w:rPr>
        <w:t>基坑废水以及生活污水。生活污水执行《污水综合排放标准》（GB8978-1996）三级标准；</w:t>
      </w:r>
      <w:r>
        <w:rPr>
          <w:rFonts w:hint="eastAsia"/>
          <w:color w:val="000000" w:themeColor="text1"/>
          <w14:textFill>
            <w14:solidFill>
              <w14:schemeClr w14:val="tx1"/>
            </w14:solidFill>
          </w14:textFill>
        </w:rPr>
        <w:t>机械</w:t>
      </w:r>
      <w:r>
        <w:rPr>
          <w:color w:val="000000" w:themeColor="text1"/>
          <w14:textFill>
            <w14:solidFill>
              <w14:schemeClr w14:val="tx1"/>
            </w14:solidFill>
          </w14:textFill>
        </w:rPr>
        <w:t>冲洗废水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基坑废水等经沉淀处理后循环使用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用于洒水降尘</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不外排。</w:t>
      </w:r>
    </w:p>
    <w:p>
      <w:pPr>
        <w:pStyle w:val="14"/>
        <w:jc w:val="center"/>
        <w:rPr>
          <w:color w:val="000000" w:themeColor="text1"/>
          <w14:textFill>
            <w14:solidFill>
              <w14:schemeClr w14:val="tx1"/>
            </w14:solidFill>
          </w14:textFill>
        </w:rPr>
      </w:pPr>
      <w:r>
        <w:rPr>
          <w:rFonts w:eastAsia="黑体"/>
          <w:color w:val="000000" w:themeColor="text1"/>
          <w14:textFill>
            <w14:solidFill>
              <w14:schemeClr w14:val="tx1"/>
            </w14:solidFill>
          </w14:textFill>
        </w:rPr>
        <w:t>表1.4-</w:t>
      </w:r>
      <w:r>
        <w:rPr>
          <w:rFonts w:hint="eastAsia" w:eastAsia="黑体"/>
          <w:color w:val="000000" w:themeColor="text1"/>
          <w14:textFill>
            <w14:solidFill>
              <w14:schemeClr w14:val="tx1"/>
            </w14:solidFill>
          </w14:textFill>
        </w:rPr>
        <w:t>1</w:t>
      </w:r>
      <w:r>
        <w:rPr>
          <w:rFonts w:hint="eastAsia" w:eastAsia="黑体"/>
          <w:color w:val="000000" w:themeColor="text1"/>
          <w:lang w:val="en-US" w:eastAsia="zh-CN"/>
          <w14:textFill>
            <w14:solidFill>
              <w14:schemeClr w14:val="tx1"/>
            </w14:solidFill>
          </w14:textFill>
        </w:rPr>
        <w:t>2</w:t>
      </w:r>
      <w:r>
        <w:rPr>
          <w:rFonts w:eastAsia="黑体"/>
          <w:color w:val="000000" w:themeColor="text1"/>
          <w14:textFill>
            <w14:solidFill>
              <w14:schemeClr w14:val="tx1"/>
            </w14:solidFill>
          </w14:textFill>
        </w:rPr>
        <w:t>废水污染物排放标准限值单位</w:t>
      </w:r>
      <w:r>
        <w:rPr>
          <w:rFonts w:hint="eastAsia" w:eastAsia="黑体"/>
          <w:color w:val="000000" w:themeColor="text1"/>
          <w14:textFill>
            <w14:solidFill>
              <w14:schemeClr w14:val="tx1"/>
            </w14:solidFill>
          </w14:textFill>
        </w:rPr>
        <w:t>：</w:t>
      </w:r>
      <w:r>
        <w:rPr>
          <w:b/>
          <w:color w:val="000000" w:themeColor="text1"/>
          <w:sz w:val="21"/>
          <w:szCs w:val="21"/>
          <w14:textFill>
            <w14:solidFill>
              <w14:schemeClr w14:val="tx1"/>
            </w14:solidFill>
          </w14:textFill>
        </w:rPr>
        <w:t>mg/m</w:t>
      </w:r>
      <w:r>
        <w:rPr>
          <w:b/>
          <w:color w:val="000000" w:themeColor="text1"/>
          <w:sz w:val="21"/>
          <w:szCs w:val="21"/>
          <w:vertAlign w:val="superscript"/>
          <w14:textFill>
            <w14:solidFill>
              <w14:schemeClr w14:val="tx1"/>
            </w14:solidFill>
          </w14:textFill>
        </w:rPr>
        <w:t>3</w:t>
      </w:r>
    </w:p>
    <w:tbl>
      <w:tblPr>
        <w:tblStyle w:val="3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4"/>
        <w:gridCol w:w="790"/>
        <w:gridCol w:w="934"/>
        <w:gridCol w:w="944"/>
        <w:gridCol w:w="891"/>
        <w:gridCol w:w="813"/>
        <w:gridCol w:w="814"/>
        <w:gridCol w:w="84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07"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污染物</w:t>
            </w:r>
          </w:p>
        </w:tc>
        <w:tc>
          <w:tcPr>
            <w:tcW w:w="831"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pH</w:t>
            </w:r>
          </w:p>
        </w:tc>
        <w:tc>
          <w:tcPr>
            <w:tcW w:w="975"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COD</w:t>
            </w:r>
          </w:p>
        </w:tc>
        <w:tc>
          <w:tcPr>
            <w:tcW w:w="978"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BOD</w:t>
            </w:r>
            <w:r>
              <w:rPr>
                <w:rFonts w:hint="default"/>
                <w:b/>
                <w:color w:val="000000" w:themeColor="text1"/>
                <w:sz w:val="21"/>
                <w:szCs w:val="21"/>
                <w:vertAlign w:val="subscript"/>
                <w14:textFill>
                  <w14:solidFill>
                    <w14:schemeClr w14:val="tx1"/>
                  </w14:solidFill>
                </w14:textFill>
              </w:rPr>
              <w:t>5</w:t>
            </w:r>
          </w:p>
        </w:tc>
        <w:tc>
          <w:tcPr>
            <w:tcW w:w="968"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氨氮</w:t>
            </w:r>
          </w:p>
        </w:tc>
        <w:tc>
          <w:tcPr>
            <w:tcW w:w="841"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SS</w:t>
            </w:r>
          </w:p>
        </w:tc>
        <w:tc>
          <w:tcPr>
            <w:tcW w:w="842"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石油类</w:t>
            </w:r>
          </w:p>
        </w:tc>
        <w:tc>
          <w:tcPr>
            <w:tcW w:w="908"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磷酸盐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07"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（GB8978-1996）三级标准</w:t>
            </w:r>
          </w:p>
        </w:tc>
        <w:tc>
          <w:tcPr>
            <w:tcW w:w="831"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6~9</w:t>
            </w:r>
          </w:p>
        </w:tc>
        <w:tc>
          <w:tcPr>
            <w:tcW w:w="975"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≤500</w:t>
            </w:r>
          </w:p>
        </w:tc>
        <w:tc>
          <w:tcPr>
            <w:tcW w:w="978"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≤300</w:t>
            </w:r>
          </w:p>
        </w:tc>
        <w:tc>
          <w:tcPr>
            <w:tcW w:w="968"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841"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≤400</w:t>
            </w:r>
          </w:p>
        </w:tc>
        <w:tc>
          <w:tcPr>
            <w:tcW w:w="842"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≤100</w:t>
            </w:r>
          </w:p>
        </w:tc>
        <w:tc>
          <w:tcPr>
            <w:tcW w:w="908"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r>
    </w:tbl>
    <w:p>
      <w:pPr>
        <w:pStyle w:val="14"/>
        <w:spacing w:line="360" w:lineRule="auto"/>
        <w:ind w:firstLine="482" w:firstLineChars="200"/>
        <w:rPr>
          <w:b/>
          <w:color w:val="000000" w:themeColor="text1"/>
          <w14:textFill>
            <w14:solidFill>
              <w14:schemeClr w14:val="tx1"/>
            </w14:solidFill>
          </w14:textFill>
        </w:rPr>
      </w:pPr>
      <w:r>
        <w:rPr>
          <w:b/>
          <w:color w:val="000000" w:themeColor="text1"/>
          <w14:textFill>
            <w14:solidFill>
              <w14:schemeClr w14:val="tx1"/>
            </w14:solidFill>
          </w14:textFill>
        </w:rPr>
        <w:t>3、噪声</w:t>
      </w:r>
    </w:p>
    <w:p>
      <w:pPr>
        <w:pStyle w:val="14"/>
        <w:spacing w:line="360" w:lineRule="auto"/>
        <w:ind w:firstLine="480" w:firstLineChars="200"/>
        <w:jc w:val="both"/>
        <w:rPr>
          <w:rFonts w:eastAsia="黑体"/>
          <w:b/>
          <w:color w:val="000000" w:themeColor="text1"/>
          <w:sz w:val="21"/>
          <w:szCs w:val="21"/>
          <w14:textFill>
            <w14:solidFill>
              <w14:schemeClr w14:val="tx1"/>
            </w14:solidFill>
          </w14:textFill>
        </w:rPr>
      </w:pPr>
      <w:r>
        <w:rPr>
          <w:color w:val="000000" w:themeColor="text1"/>
          <w14:textFill>
            <w14:solidFill>
              <w14:schemeClr w14:val="tx1"/>
            </w14:solidFill>
          </w14:textFill>
        </w:rPr>
        <w:t>施工期间噪声执行《建筑施工场界环境噪声排放标准》（GB12523-2011），噪声限值见下表。</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表1.4-1</w:t>
      </w:r>
      <w:r>
        <w:rPr>
          <w:rFonts w:hint="eastAsia" w:eastAsia="黑体"/>
          <w:color w:val="000000" w:themeColor="text1"/>
          <w:lang w:val="en-US" w:eastAsia="zh-CN"/>
          <w14:textFill>
            <w14:solidFill>
              <w14:schemeClr w14:val="tx1"/>
            </w14:solidFill>
          </w14:textFill>
        </w:rPr>
        <w:t>3</w:t>
      </w:r>
      <w:r>
        <w:rPr>
          <w:rFonts w:eastAsia="黑体"/>
          <w:color w:val="000000" w:themeColor="text1"/>
          <w14:textFill>
            <w14:solidFill>
              <w14:schemeClr w14:val="tx1"/>
            </w14:solidFill>
          </w14:textFill>
        </w:rPr>
        <w:t>建筑施工场界环境噪声排放限值单位：dB（A）</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5"/>
        <w:gridCol w:w="4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7"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昼间</w:t>
            </w:r>
          </w:p>
        </w:tc>
        <w:tc>
          <w:tcPr>
            <w:tcW w:w="2502"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70</w:t>
            </w:r>
          </w:p>
        </w:tc>
        <w:tc>
          <w:tcPr>
            <w:tcW w:w="2502"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55</w:t>
            </w:r>
          </w:p>
        </w:tc>
      </w:tr>
    </w:tbl>
    <w:p>
      <w:pPr>
        <w:pStyle w:val="14"/>
        <w:spacing w:line="360" w:lineRule="auto"/>
        <w:ind w:firstLine="482" w:firstLineChars="200"/>
        <w:rPr>
          <w:b/>
          <w:color w:val="000000" w:themeColor="text1"/>
          <w14:textFill>
            <w14:solidFill>
              <w14:schemeClr w14:val="tx1"/>
            </w14:solidFill>
          </w14:textFill>
        </w:rPr>
      </w:pPr>
      <w:r>
        <w:rPr>
          <w:b/>
          <w:color w:val="000000" w:themeColor="text1"/>
          <w14:textFill>
            <w14:solidFill>
              <w14:schemeClr w14:val="tx1"/>
            </w14:solidFill>
          </w14:textFill>
        </w:rPr>
        <w:t>4、固体废物</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执行《一般工业固体废弃物贮存和填埋污染控制标准》（GB18599-20</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）的相应要求。</w:t>
      </w:r>
    </w:p>
    <w:p>
      <w:pPr>
        <w:pStyle w:val="3"/>
        <w:spacing w:line="360" w:lineRule="auto"/>
        <w:ind w:left="0" w:firstLine="640"/>
        <w:rPr>
          <w:rFonts w:eastAsia="黑体"/>
          <w:color w:val="000000" w:themeColor="text1"/>
          <w14:textFill>
            <w14:solidFill>
              <w14:schemeClr w14:val="tx1"/>
            </w14:solidFill>
          </w14:textFill>
        </w:rPr>
      </w:pPr>
      <w:bookmarkStart w:id="133" w:name="_Toc70496225"/>
      <w:bookmarkStart w:id="134" w:name="_Toc2371"/>
      <w:bookmarkStart w:id="135" w:name="_Toc8198"/>
      <w:bookmarkStart w:id="136" w:name="_Toc13572"/>
      <w:bookmarkStart w:id="137" w:name="_Toc9579"/>
      <w:bookmarkStart w:id="138" w:name="_Toc28920"/>
      <w:r>
        <w:rPr>
          <w:rFonts w:eastAsia="黑体"/>
          <w:color w:val="000000" w:themeColor="text1"/>
          <w14:textFill>
            <w14:solidFill>
              <w14:schemeClr w14:val="tx1"/>
            </w14:solidFill>
          </w14:textFill>
        </w:rPr>
        <w:t>1.5评价工作等级和评价</w:t>
      </w:r>
      <w:bookmarkEnd w:id="133"/>
      <w:bookmarkEnd w:id="134"/>
      <w:bookmarkEnd w:id="135"/>
      <w:bookmarkEnd w:id="136"/>
      <w:bookmarkEnd w:id="137"/>
      <w:r>
        <w:rPr>
          <w:rFonts w:hint="eastAsia" w:eastAsia="黑体"/>
          <w:color w:val="000000" w:themeColor="text1"/>
          <w14:textFill>
            <w14:solidFill>
              <w14:schemeClr w14:val="tx1"/>
            </w14:solidFill>
          </w14:textFill>
        </w:rPr>
        <w:t>范围</w:t>
      </w:r>
      <w:bookmarkEnd w:id="138"/>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39" w:name="_Toc22709"/>
      <w:bookmarkStart w:id="140" w:name="_Toc11362"/>
      <w:bookmarkStart w:id="141" w:name="_Toc28368"/>
      <w:bookmarkStart w:id="142" w:name="_Toc70496226"/>
      <w:bookmarkStart w:id="143" w:name="_Toc2892"/>
      <w:bookmarkStart w:id="144" w:name="_Toc7128"/>
      <w:r>
        <w:rPr>
          <w:rFonts w:ascii="Times New Roman" w:hAnsi="Times New Roman" w:cs="Times New Roman"/>
          <w:color w:val="000000" w:themeColor="text1"/>
          <w14:textFill>
            <w14:solidFill>
              <w14:schemeClr w14:val="tx1"/>
            </w14:solidFill>
          </w14:textFill>
        </w:rPr>
        <w:t>1.5.1</w:t>
      </w:r>
      <w:bookmarkEnd w:id="139"/>
      <w:bookmarkEnd w:id="140"/>
      <w:bookmarkEnd w:id="141"/>
      <w:bookmarkEnd w:id="142"/>
      <w:bookmarkEnd w:id="143"/>
      <w:r>
        <w:rPr>
          <w:rFonts w:hint="eastAsia" w:ascii="Times New Roman" w:hAnsi="Times New Roman" w:cs="Times New Roman"/>
          <w:color w:val="000000" w:themeColor="text1"/>
          <w14:textFill>
            <w14:solidFill>
              <w14:schemeClr w14:val="tx1"/>
            </w14:solidFill>
          </w14:textFill>
        </w:rPr>
        <w:t>大气环境</w:t>
      </w:r>
      <w:bookmarkEnd w:id="144"/>
    </w:p>
    <w:p>
      <w:pPr>
        <w:pStyle w:val="14"/>
        <w:spacing w:line="360" w:lineRule="auto"/>
        <w:jc w:val="both"/>
        <w:rPr>
          <w:b/>
          <w:bCs/>
          <w:color w:val="000000" w:themeColor="text1"/>
          <w14:textFill>
            <w14:solidFill>
              <w14:schemeClr w14:val="tx1"/>
            </w14:solidFill>
          </w14:textFill>
        </w:rPr>
      </w:pPr>
      <w:bookmarkStart w:id="145" w:name="_Toc12719"/>
      <w:bookmarkStart w:id="146" w:name="_Toc8603"/>
      <w:bookmarkStart w:id="147" w:name="_Toc22213"/>
      <w:r>
        <w:rPr>
          <w:b/>
          <w:bCs/>
          <w:color w:val="000000" w:themeColor="text1"/>
          <w14:textFill>
            <w14:solidFill>
              <w14:schemeClr w14:val="tx1"/>
            </w14:solidFill>
          </w14:textFill>
        </w:rPr>
        <w:t>1.5.1.1大气环境评价等级</w:t>
      </w:r>
      <w:bookmarkEnd w:id="145"/>
      <w:bookmarkEnd w:id="146"/>
      <w:bookmarkEnd w:id="147"/>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主要为渠道整治项目，项目的实施改善了灌区农业的灌溉能力和排涝能力，除了施工期的暂时性影响外，项目运营期对水环境、大气环境等均具有正效益，项目运营期无废气产生；仅存在施工期的短暂影响，施工期大气污染源主要为施工扬尘及运输车辆汽车尾气、清淤产生的恶臭等，无集中大气污染源，属无组织排放，排放量不大，且项目所在地周边地形简单，近河道两岸植被生态环境较好，区域开阔，大气流动性较好。</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根据《环境影响评价技术导则大气环境》（HJ2.2-2018）规定，依据项目的性质，以及当地大气污染程度，确定本项目环境空气评价等级为三级。</w:t>
      </w:r>
    </w:p>
    <w:p>
      <w:pPr>
        <w:pStyle w:val="14"/>
        <w:spacing w:line="360" w:lineRule="auto"/>
        <w:rPr>
          <w:b/>
          <w:bCs/>
          <w:color w:val="000000" w:themeColor="text1"/>
          <w14:textFill>
            <w14:solidFill>
              <w14:schemeClr w14:val="tx1"/>
            </w14:solidFill>
          </w14:textFill>
        </w:rPr>
      </w:pPr>
      <w:bookmarkStart w:id="148" w:name="_Toc28515"/>
      <w:bookmarkStart w:id="149" w:name="_Toc20997"/>
      <w:bookmarkStart w:id="150" w:name="_Toc22133"/>
      <w:r>
        <w:rPr>
          <w:b/>
          <w:bCs/>
          <w:color w:val="000000" w:themeColor="text1"/>
          <w14:textFill>
            <w14:solidFill>
              <w14:schemeClr w14:val="tx1"/>
            </w14:solidFill>
          </w14:textFill>
        </w:rPr>
        <w:t>1.5.1.2</w:t>
      </w:r>
      <w:bookmarkEnd w:id="148"/>
      <w:bookmarkEnd w:id="149"/>
      <w:bookmarkEnd w:id="150"/>
      <w:r>
        <w:rPr>
          <w:b/>
          <w:bCs/>
          <w:color w:val="000000" w:themeColor="text1"/>
          <w14:textFill>
            <w14:solidFill>
              <w14:schemeClr w14:val="tx1"/>
            </w14:solidFill>
          </w14:textFill>
        </w:rPr>
        <w:t>大气环境</w:t>
      </w:r>
      <w:r>
        <w:rPr>
          <w:rFonts w:hint="eastAsia"/>
          <w:b/>
          <w:bCs/>
          <w:color w:val="000000" w:themeColor="text1"/>
          <w14:textFill>
            <w14:solidFill>
              <w14:schemeClr w14:val="tx1"/>
            </w14:solidFill>
          </w14:textFill>
        </w:rPr>
        <w:t>评价范围</w:t>
      </w:r>
    </w:p>
    <w:p>
      <w:pPr>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w:t>
      </w:r>
      <w:r>
        <w:rPr>
          <w:rFonts w:hint="eastAsia"/>
          <w:color w:val="000000" w:themeColor="text1"/>
          <w:sz w:val="24"/>
          <w:szCs w:val="24"/>
          <w14:textFill>
            <w14:solidFill>
              <w14:schemeClr w14:val="tx1"/>
            </w14:solidFill>
          </w14:textFill>
        </w:rPr>
        <w:t>《环境影响评价技术导则大气环境》（HJ2.2-2018），三级评价，可不设置大气环境评价范围</w:t>
      </w:r>
      <w:r>
        <w:rPr>
          <w:color w:val="000000" w:themeColor="text1"/>
          <w:sz w:val="24"/>
          <w14:textFill>
            <w14:solidFill>
              <w14:schemeClr w14:val="tx1"/>
            </w14:solidFill>
          </w14:textFill>
        </w:rPr>
        <w:t>。</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51" w:name="_Toc26464"/>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2地表水环境</w:t>
      </w:r>
      <w:bookmarkEnd w:id="151"/>
    </w:p>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.1评价等级</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本工程对地表水环境的影响包括水污染影响和水文要素影响。本次评价按类别分别确定评价等级。</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1、水污染影响</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本项目为</w:t>
      </w:r>
      <w:r>
        <w:rPr>
          <w:rFonts w:hint="eastAsia"/>
          <w:color w:val="000000" w:themeColor="text1"/>
          <w14:textFill>
            <w14:solidFill>
              <w14:schemeClr w14:val="tx1"/>
            </w14:solidFill>
          </w14:textFill>
        </w:rPr>
        <w:t>渠道整治工程</w:t>
      </w:r>
      <w:r>
        <w:rPr>
          <w:color w:val="000000" w:themeColor="text1"/>
          <w14:textFill>
            <w14:solidFill>
              <w14:schemeClr w14:val="tx1"/>
            </w14:solidFill>
          </w14:textFill>
        </w:rPr>
        <w:t>，营运期不产生废水。施工期生活污水</w:t>
      </w:r>
      <w:r>
        <w:rPr>
          <w:rFonts w:hint="eastAsia"/>
          <w:color w:val="000000" w:themeColor="text1"/>
          <w14:textFill>
            <w14:solidFill>
              <w14:schemeClr w14:val="tx1"/>
            </w14:solidFill>
          </w14:textFill>
        </w:rPr>
        <w:t>依托</w:t>
      </w:r>
      <w:r>
        <w:rPr>
          <w:color w:val="000000" w:themeColor="text1"/>
          <w14:textFill>
            <w14:solidFill>
              <w14:schemeClr w14:val="tx1"/>
            </w14:solidFill>
          </w14:textFill>
        </w:rPr>
        <w:t>周围民房现有措施处理</w:t>
      </w:r>
      <w:r>
        <w:rPr>
          <w:rFonts w:hint="eastAsia"/>
          <w:color w:val="000000" w:themeColor="text1"/>
          <w14:textFill>
            <w14:solidFill>
              <w14:schemeClr w14:val="tx1"/>
            </w14:solidFill>
          </w14:textFill>
        </w:rPr>
        <w:t>后，</w:t>
      </w:r>
      <w:r>
        <w:rPr>
          <w:color w:val="000000" w:themeColor="text1"/>
          <w:kern w:val="0"/>
          <w14:textFill>
            <w14:solidFill>
              <w14:schemeClr w14:val="tx1"/>
            </w14:solidFill>
          </w14:textFill>
        </w:rPr>
        <w:t>通过市政污水管网排至污水处理厂进行处理</w:t>
      </w:r>
      <w:r>
        <w:rPr>
          <w:color w:val="000000" w:themeColor="text1"/>
          <w14:textFill>
            <w14:solidFill>
              <w14:schemeClr w14:val="tx1"/>
            </w14:solidFill>
          </w14:textFill>
        </w:rPr>
        <w:t>；施工废水污染物以SS为主，经</w:t>
      </w:r>
      <w:r>
        <w:rPr>
          <w:rFonts w:hint="eastAsia"/>
          <w:color w:val="000000" w:themeColor="text1"/>
          <w14:textFill>
            <w14:solidFill>
              <w14:schemeClr w14:val="tx1"/>
            </w14:solidFill>
          </w14:textFill>
        </w:rPr>
        <w:t>池</w:t>
      </w:r>
      <w:r>
        <w:rPr>
          <w:color w:val="000000" w:themeColor="text1"/>
          <w14:textFill>
            <w14:solidFill>
              <w14:schemeClr w14:val="tx1"/>
            </w14:solidFill>
          </w14:textFill>
        </w:rPr>
        <w:t>沉淀处理后回用于厂区洒水降尘，不直接外排，水质较简单。</w:t>
      </w:r>
    </w:p>
    <w:p>
      <w:pPr>
        <w:spacing w:line="360" w:lineRule="auto"/>
        <w:ind w:firstLine="480" w:firstLineChars="200"/>
        <w:jc w:val="both"/>
        <w:rPr>
          <w:color w:val="000000" w:themeColor="text1"/>
          <w:sz w:val="24"/>
          <w:szCs w:val="24"/>
          <w14:textFill>
            <w14:solidFill>
              <w14:schemeClr w14:val="tx1"/>
            </w14:solidFill>
          </w14:textFill>
        </w:rPr>
      </w:pPr>
      <w:bookmarkStart w:id="152" w:name="OLE_LINK53"/>
      <w:r>
        <w:rPr>
          <w:rFonts w:hint="eastAsia"/>
          <w:color w:val="000000" w:themeColor="text1"/>
          <w:sz w:val="24"/>
          <w:szCs w:val="24"/>
          <w14:textFill>
            <w14:solidFill>
              <w14:schemeClr w14:val="tx1"/>
            </w14:solidFill>
          </w14:textFill>
        </w:rPr>
        <w:t>根据</w:t>
      </w:r>
      <w:bookmarkStart w:id="153" w:name="OLE_LINK35"/>
      <w:r>
        <w:rPr>
          <w:rFonts w:hint="eastAsia"/>
          <w:color w:val="000000" w:themeColor="text1"/>
          <w:sz w:val="24"/>
          <w:szCs w:val="24"/>
          <w14:textFill>
            <w14:solidFill>
              <w14:schemeClr w14:val="tx1"/>
            </w14:solidFill>
          </w14:textFill>
        </w:rPr>
        <w:t>《环境影响评价技术导则地表水环境》（HJ/T2.3-2018）</w:t>
      </w:r>
      <w:bookmarkEnd w:id="153"/>
      <w:r>
        <w:rPr>
          <w:rFonts w:hint="eastAsia"/>
          <w:color w:val="000000" w:themeColor="text1"/>
          <w:sz w:val="24"/>
          <w:szCs w:val="24"/>
          <w14:textFill>
            <w14:solidFill>
              <w14:schemeClr w14:val="tx1"/>
            </w14:solidFill>
          </w14:textFill>
        </w:rPr>
        <w:t>要求</w:t>
      </w:r>
      <w:bookmarkEnd w:id="152"/>
      <w:r>
        <w:rPr>
          <w:rFonts w:hint="eastAsia"/>
          <w:color w:val="000000" w:themeColor="text1"/>
          <w:sz w:val="24"/>
          <w:szCs w:val="24"/>
          <w14:textFill>
            <w14:solidFill>
              <w14:schemeClr w14:val="tx1"/>
            </w14:solidFill>
          </w14:textFill>
        </w:rPr>
        <w:t>“建设项目生产工艺中有废水产生，但作为回水利用，不排放到外环境的，按三级B评价”，本项目从水污染影响型判定，水环境评价等级为</w:t>
      </w:r>
      <w:bookmarkStart w:id="154" w:name="OLE_LINK52"/>
      <w:r>
        <w:rPr>
          <w:rFonts w:hint="eastAsia"/>
          <w:color w:val="000000" w:themeColor="text1"/>
          <w:sz w:val="24"/>
          <w:szCs w:val="24"/>
          <w14:textFill>
            <w14:solidFill>
              <w14:schemeClr w14:val="tx1"/>
            </w14:solidFill>
          </w14:textFill>
        </w:rPr>
        <w:t>三级B</w:t>
      </w:r>
      <w:bookmarkEnd w:id="154"/>
      <w:r>
        <w:rPr>
          <w:rFonts w:hint="eastAsia"/>
          <w:color w:val="000000" w:themeColor="text1"/>
          <w:sz w:val="24"/>
          <w:szCs w:val="24"/>
          <w14:textFill>
            <w14:solidFill>
              <w14:schemeClr w14:val="tx1"/>
            </w14:solidFill>
          </w14:textFill>
        </w:rPr>
        <w:t>，三级B评价为仅对地表水环境进行影响分析即可，主要评价水污染控制及处理可行性和水环境影响减缓措施有效性。</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2、水文要素影响</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根据HJ</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2.3-2018，本项目水域工程区域属于水文要素影响型建设项目，地表水环境影响评价由建设项目水温、径</w:t>
      </w:r>
      <w:r>
        <w:rPr>
          <w:color w:val="000000" w:themeColor="text1"/>
          <w:sz w:val="24"/>
          <w14:textFill>
            <w14:solidFill>
              <w14:schemeClr w14:val="tx1"/>
            </w14:solidFill>
          </w14:textFill>
        </w:rPr>
        <w:t>流与受影响地表水域要求来确定工作等级。</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表1.5-1水文要素影响型建设项目评价工作等级</w:t>
      </w:r>
    </w:p>
    <w:tbl>
      <w:tblPr>
        <w:tblStyle w:val="3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3"/>
        <w:gridCol w:w="1066"/>
        <w:gridCol w:w="1385"/>
        <w:gridCol w:w="1115"/>
        <w:gridCol w:w="1462"/>
        <w:gridCol w:w="1354"/>
        <w:gridCol w:w="15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Merge w:val="restart"/>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评价等级</w:t>
            </w:r>
          </w:p>
        </w:tc>
        <w:tc>
          <w:tcPr>
            <w:tcW w:w="1134"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水温</w:t>
            </w:r>
          </w:p>
        </w:tc>
        <w:tc>
          <w:tcPr>
            <w:tcW w:w="2835" w:type="dxa"/>
            <w:gridSpan w:val="2"/>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径流</w:t>
            </w:r>
          </w:p>
        </w:tc>
        <w:tc>
          <w:tcPr>
            <w:tcW w:w="4622" w:type="dxa"/>
            <w:gridSpan w:val="3"/>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受影响地表水水域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c>
          <w:tcPr>
            <w:tcW w:w="1134" w:type="dxa"/>
            <w:vMerge w:val="restar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年径流与总库容百分比α/%</w:t>
            </w:r>
          </w:p>
        </w:tc>
        <w:tc>
          <w:tcPr>
            <w:tcW w:w="1560" w:type="dxa"/>
            <w:vMerge w:val="restar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兴利库容与年轻流量百分比β/%</w:t>
            </w:r>
          </w:p>
        </w:tc>
        <w:tc>
          <w:tcPr>
            <w:tcW w:w="1275" w:type="dxa"/>
            <w:vMerge w:val="restart"/>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取水量占多年平均径流量百分比γ/%</w:t>
            </w:r>
          </w:p>
        </w:tc>
        <w:tc>
          <w:tcPr>
            <w:tcW w:w="2977" w:type="dxa"/>
            <w:gridSpan w:val="2"/>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工程垂直投影面积及外扩范围A</w:t>
            </w:r>
            <w:r>
              <w:rPr>
                <w:rFonts w:hint="default"/>
                <w:b/>
                <w:color w:val="000000" w:themeColor="text1"/>
                <w:sz w:val="21"/>
                <w:szCs w:val="21"/>
                <w:vertAlign w:val="subscript"/>
                <w14:textFill>
                  <w14:solidFill>
                    <w14:schemeClr w14:val="tx1"/>
                  </w14:solidFill>
                </w14:textFill>
              </w:rPr>
              <w:t>1</w:t>
            </w:r>
            <w:r>
              <w:rPr>
                <w:rFonts w:hint="default"/>
                <w:b/>
                <w:color w:val="000000" w:themeColor="text1"/>
                <w:sz w:val="21"/>
                <w:szCs w:val="21"/>
                <w14:textFill>
                  <w14:solidFill>
                    <w14:schemeClr w14:val="tx1"/>
                  </w14:solidFill>
                </w14:textFill>
              </w:rPr>
              <w:t>/km</w:t>
            </w:r>
            <w:r>
              <w:rPr>
                <w:rFonts w:hint="default"/>
                <w:b/>
                <w:color w:val="000000" w:themeColor="text1"/>
                <w:sz w:val="21"/>
                <w:szCs w:val="21"/>
                <w:vertAlign w:val="superscript"/>
                <w14:textFill>
                  <w14:solidFill>
                    <w14:schemeClr w14:val="tx1"/>
                  </w14:solidFill>
                </w14:textFill>
              </w:rPr>
              <w:t>2</w:t>
            </w:r>
            <w:r>
              <w:rPr>
                <w:rFonts w:hint="default"/>
                <w:b/>
                <w:color w:val="000000" w:themeColor="text1"/>
                <w:sz w:val="21"/>
                <w:szCs w:val="21"/>
                <w14:textFill>
                  <w14:solidFill>
                    <w14:schemeClr w14:val="tx1"/>
                  </w14:solidFill>
                </w14:textFill>
              </w:rPr>
              <w:t>；</w:t>
            </w:r>
          </w:p>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工程扰动水底面积A</w:t>
            </w:r>
            <w:r>
              <w:rPr>
                <w:rFonts w:hint="default"/>
                <w:b/>
                <w:color w:val="000000" w:themeColor="text1"/>
                <w:sz w:val="21"/>
                <w:szCs w:val="21"/>
                <w:vertAlign w:val="subscript"/>
                <w14:textFill>
                  <w14:solidFill>
                    <w14:schemeClr w14:val="tx1"/>
                  </w14:solidFill>
                </w14:textFill>
              </w:rPr>
              <w:t>2</w:t>
            </w:r>
            <w:r>
              <w:rPr>
                <w:rFonts w:hint="default"/>
                <w:b/>
                <w:color w:val="000000" w:themeColor="text1"/>
                <w:sz w:val="21"/>
                <w:szCs w:val="21"/>
                <w14:textFill>
                  <w14:solidFill>
                    <w14:schemeClr w14:val="tx1"/>
                  </w14:solidFill>
                </w14:textFill>
              </w:rPr>
              <w:t>/km</w:t>
            </w:r>
            <w:r>
              <w:rPr>
                <w:rFonts w:hint="default"/>
                <w:b/>
                <w:color w:val="000000" w:themeColor="text1"/>
                <w:sz w:val="21"/>
                <w:szCs w:val="21"/>
                <w:vertAlign w:val="superscript"/>
                <w14:textFill>
                  <w14:solidFill>
                    <w14:schemeClr w14:val="tx1"/>
                  </w14:solidFill>
                </w14:textFill>
              </w:rPr>
              <w:t>2</w:t>
            </w:r>
            <w:r>
              <w:rPr>
                <w:rFonts w:hint="default"/>
                <w:b/>
                <w:color w:val="000000" w:themeColor="text1"/>
                <w:sz w:val="21"/>
                <w:szCs w:val="21"/>
                <w14:textFill>
                  <w14:solidFill>
                    <w14:schemeClr w14:val="tx1"/>
                  </w14:solidFill>
                </w14:textFill>
              </w:rPr>
              <w:t>；</w:t>
            </w:r>
          </w:p>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过水断面宽度占用比例或占用水域面积比例R/%</w:t>
            </w:r>
          </w:p>
        </w:tc>
        <w:tc>
          <w:tcPr>
            <w:tcW w:w="164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工程垂直投影面积及外扩范围A</w:t>
            </w:r>
            <w:r>
              <w:rPr>
                <w:rFonts w:hint="default"/>
                <w:b/>
                <w:color w:val="000000" w:themeColor="text1"/>
                <w:sz w:val="21"/>
                <w:szCs w:val="21"/>
                <w:vertAlign w:val="subscript"/>
                <w14:textFill>
                  <w14:solidFill>
                    <w14:schemeClr w14:val="tx1"/>
                  </w14:solidFill>
                </w14:textFill>
              </w:rPr>
              <w:t>1</w:t>
            </w:r>
            <w:r>
              <w:rPr>
                <w:rFonts w:hint="default"/>
                <w:b/>
                <w:color w:val="000000" w:themeColor="text1"/>
                <w:sz w:val="21"/>
                <w:szCs w:val="21"/>
                <w14:textFill>
                  <w14:solidFill>
                    <w14:schemeClr w14:val="tx1"/>
                  </w14:solidFill>
                </w14:textFill>
              </w:rPr>
              <w:t>/km</w:t>
            </w:r>
            <w:r>
              <w:rPr>
                <w:rFonts w:hint="default"/>
                <w:b/>
                <w:color w:val="000000" w:themeColor="text1"/>
                <w:sz w:val="21"/>
                <w:szCs w:val="21"/>
                <w:vertAlign w:val="superscript"/>
                <w14:textFill>
                  <w14:solidFill>
                    <w14:schemeClr w14:val="tx1"/>
                  </w14:solidFill>
                </w14:textFill>
              </w:rPr>
              <w:t>2</w:t>
            </w:r>
            <w:r>
              <w:rPr>
                <w:rFonts w:hint="default"/>
                <w:b/>
                <w:color w:val="000000" w:themeColor="text1"/>
                <w:sz w:val="21"/>
                <w:szCs w:val="21"/>
                <w14:textFill>
                  <w14:solidFill>
                    <w14:schemeClr w14:val="tx1"/>
                  </w14:solidFill>
                </w14:textFill>
              </w:rPr>
              <w:t>；</w:t>
            </w:r>
          </w:p>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工程扰动水底面积A</w:t>
            </w:r>
            <w:r>
              <w:rPr>
                <w:rFonts w:hint="default"/>
                <w:b/>
                <w:color w:val="000000" w:themeColor="text1"/>
                <w:sz w:val="21"/>
                <w:szCs w:val="21"/>
                <w:vertAlign w:val="subscript"/>
                <w14:textFill>
                  <w14:solidFill>
                    <w14:schemeClr w14:val="tx1"/>
                  </w14:solidFill>
                </w14:textFill>
              </w:rPr>
              <w:t>2</w:t>
            </w:r>
            <w:r>
              <w:rPr>
                <w:rFonts w:hint="default"/>
                <w:b/>
                <w:color w:val="000000" w:themeColor="text1"/>
                <w:sz w:val="21"/>
                <w:szCs w:val="21"/>
                <w14:textFill>
                  <w14:solidFill>
                    <w14:schemeClr w14:val="tx1"/>
                  </w14:solidFill>
                </w14:textFill>
              </w:rPr>
              <w:t>/km</w:t>
            </w:r>
            <w:r>
              <w:rPr>
                <w:rFonts w:hint="default"/>
                <w:b/>
                <w:color w:val="000000" w:themeColor="text1"/>
                <w:sz w:val="21"/>
                <w:szCs w:val="21"/>
                <w:vertAlign w:val="superscript"/>
                <w14:textFill>
                  <w14:solidFill>
                    <w14:schemeClr w14:val="tx1"/>
                  </w14:solidFill>
                </w14:textFill>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c>
          <w:tcPr>
            <w:tcW w:w="1134" w:type="dxa"/>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c>
          <w:tcPr>
            <w:tcW w:w="1560" w:type="dxa"/>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c>
          <w:tcPr>
            <w:tcW w:w="1275" w:type="dxa"/>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p>
        </w:tc>
        <w:tc>
          <w:tcPr>
            <w:tcW w:w="1560"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河流</w:t>
            </w:r>
          </w:p>
        </w:tc>
        <w:tc>
          <w:tcPr>
            <w:tcW w:w="141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湖库</w:t>
            </w:r>
          </w:p>
        </w:tc>
        <w:tc>
          <w:tcPr>
            <w:tcW w:w="164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入海河口、近岸海域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一级</w:t>
            </w:r>
          </w:p>
        </w:tc>
        <w:tc>
          <w:tcPr>
            <w:tcW w:w="1134"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α≤10；或稳定分层</w:t>
            </w:r>
          </w:p>
        </w:tc>
        <w:tc>
          <w:tcPr>
            <w:tcW w:w="1560"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β≥20；或完全年调节与多年调节</w:t>
            </w:r>
          </w:p>
        </w:tc>
        <w:tc>
          <w:tcPr>
            <w:tcW w:w="127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γ≥30</w:t>
            </w:r>
          </w:p>
        </w:tc>
        <w:tc>
          <w:tcPr>
            <w:tcW w:w="1560"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A1≥0.3；或A2≥1.5；或R≥10</w:t>
            </w:r>
          </w:p>
        </w:tc>
        <w:tc>
          <w:tcPr>
            <w:tcW w:w="141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A1≥0.3；或A2≥1.5；或R≥20</w:t>
            </w:r>
          </w:p>
        </w:tc>
        <w:tc>
          <w:tcPr>
            <w:tcW w:w="164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A1≥0.5；或A2≥3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二级</w:t>
            </w:r>
          </w:p>
        </w:tc>
        <w:tc>
          <w:tcPr>
            <w:tcW w:w="1134"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20＞α＞10；或不稳定分层</w:t>
            </w:r>
          </w:p>
        </w:tc>
        <w:tc>
          <w:tcPr>
            <w:tcW w:w="1560"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20＞β＞2；或季调节与不完全年调节</w:t>
            </w:r>
          </w:p>
        </w:tc>
        <w:tc>
          <w:tcPr>
            <w:tcW w:w="127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30＞γ＞10</w:t>
            </w:r>
          </w:p>
        </w:tc>
        <w:tc>
          <w:tcPr>
            <w:tcW w:w="1560"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0.3＞A1＞0.05；或1.5＞A2＞0.2；或10＞R＞5</w:t>
            </w:r>
          </w:p>
        </w:tc>
        <w:tc>
          <w:tcPr>
            <w:tcW w:w="141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0.3＞A1＞0.05；或1.5＞A2＞0.2；或20＞R＞5</w:t>
            </w:r>
          </w:p>
        </w:tc>
        <w:tc>
          <w:tcPr>
            <w:tcW w:w="164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0.5＞A1＞0.15；或3＞A2＞0.5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三级</w:t>
            </w:r>
          </w:p>
        </w:tc>
        <w:tc>
          <w:tcPr>
            <w:tcW w:w="1134"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α≥20；或混合型</w:t>
            </w:r>
          </w:p>
        </w:tc>
        <w:tc>
          <w:tcPr>
            <w:tcW w:w="1560"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β≤2；或无调节</w:t>
            </w:r>
          </w:p>
        </w:tc>
        <w:tc>
          <w:tcPr>
            <w:tcW w:w="127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γ≤10</w:t>
            </w:r>
          </w:p>
        </w:tc>
        <w:tc>
          <w:tcPr>
            <w:tcW w:w="1560"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A1≤0.05；或A2≤0.2；或R≤5</w:t>
            </w:r>
          </w:p>
        </w:tc>
        <w:tc>
          <w:tcPr>
            <w:tcW w:w="141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A1≤0.05；或A2≤0.2；或R≤5</w:t>
            </w:r>
          </w:p>
        </w:tc>
        <w:tc>
          <w:tcPr>
            <w:tcW w:w="1645"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A1≤0.15；或A2≤0.5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66" w:type="dxa"/>
            <w:gridSpan w:val="7"/>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注1：影响范围涉及饮用水水源保护区、重点保护与珍稀水生生物的栖息地、重要水生生物的自然产卵场、自然保护区等保护目标，评价等级应不低于二级。</w:t>
            </w:r>
          </w:p>
          <w:p>
            <w:pPr>
              <w:pStyle w:val="14"/>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注2：跨流域调水、引水式电站、可能受到河流感潮河段影响，评价等级不低于二级。</w:t>
            </w:r>
          </w:p>
          <w:p>
            <w:pPr>
              <w:pStyle w:val="14"/>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注3：造成入海河口（湾口）宽度束窄（束窄尺度达到原宽度的5%以上），评价等级应不低于二级。</w:t>
            </w:r>
          </w:p>
          <w:p>
            <w:pPr>
              <w:pStyle w:val="14"/>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注4：对不透水的单方向建筑尺度较长的水工建筑物（如防波堤、导流堤等），其与潮流或水流主流向切线垂直方向投影长度大于2km时，评价等级应不低于二级。</w:t>
            </w:r>
          </w:p>
          <w:p>
            <w:pPr>
              <w:pStyle w:val="14"/>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注5：允许在一类海域建设的项目，评价等级为一级。</w:t>
            </w:r>
          </w:p>
          <w:p>
            <w:pPr>
              <w:pStyle w:val="14"/>
              <w:keepNext w:val="0"/>
              <w:keepLines w:val="0"/>
              <w:suppressLineNumbers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注6：同时存在多个水文要素影响的建设项目，分别判定各水文要素影响评价等级，并取其中最高等级作为水文要素影响型建设项目评价等级。</w:t>
            </w:r>
          </w:p>
        </w:tc>
      </w:tr>
    </w:tbl>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14:textFill>
            <w14:solidFill>
              <w14:schemeClr w14:val="tx1"/>
            </w14:solidFill>
          </w14:textFill>
        </w:rPr>
        <w:t>根据HJ</w:t>
      </w:r>
      <w:r>
        <w:rPr>
          <w:rFonts w:hint="eastAsia"/>
          <w:color w:val="000000" w:themeColor="text1"/>
          <w:sz w:val="24"/>
          <w:lang w:val="en-US" w:eastAsia="zh-CN"/>
          <w14:textFill>
            <w14:solidFill>
              <w14:schemeClr w14:val="tx1"/>
            </w14:solidFill>
          </w14:textFill>
        </w:rPr>
        <w:t xml:space="preserve"> </w:t>
      </w:r>
      <w:r>
        <w:rPr>
          <w:color w:val="000000" w:themeColor="text1"/>
          <w:sz w:val="24"/>
          <w14:textFill>
            <w14:solidFill>
              <w14:schemeClr w14:val="tx1"/>
            </w14:solidFill>
          </w14:textFill>
        </w:rPr>
        <w:t>2.3-2018要求，本项目水域为</w:t>
      </w:r>
      <w:r>
        <w:rPr>
          <w:rFonts w:hint="eastAsia"/>
          <w:color w:val="000000" w:themeColor="text1"/>
          <w:sz w:val="24"/>
          <w14:textFill>
            <w14:solidFill>
              <w14:schemeClr w14:val="tx1"/>
            </w14:solidFill>
          </w14:textFill>
        </w:rPr>
        <w:t>已建渠道</w:t>
      </w:r>
      <w:r>
        <w:rPr>
          <w:color w:val="000000" w:themeColor="text1"/>
          <w:sz w:val="24"/>
          <w14:textFill>
            <w14:solidFill>
              <w14:schemeClr w14:val="tx1"/>
            </w14:solidFill>
          </w14:textFill>
        </w:rPr>
        <w:t>，主要评价项目对水</w:t>
      </w:r>
      <w:r>
        <w:rPr>
          <w:rFonts w:hint="eastAsia"/>
          <w:color w:val="000000" w:themeColor="text1"/>
          <w:sz w:val="24"/>
          <w14:textFill>
            <w14:solidFill>
              <w14:schemeClr w14:val="tx1"/>
            </w14:solidFill>
          </w14:textFill>
        </w:rPr>
        <w:t>文</w:t>
      </w:r>
      <w:r>
        <w:rPr>
          <w:color w:val="000000" w:themeColor="text1"/>
          <w:sz w:val="24"/>
          <w14:textFill>
            <w14:solidFill>
              <w14:schemeClr w14:val="tx1"/>
            </w14:solidFill>
          </w14:textFill>
        </w:rPr>
        <w:t>要素的影响、</w:t>
      </w:r>
      <w:r>
        <w:rPr>
          <w:rFonts w:hint="eastAsia"/>
          <w:color w:val="000000" w:themeColor="text1"/>
          <w:sz w:val="24"/>
          <w:szCs w:val="24"/>
          <w14:textFill>
            <w14:solidFill>
              <w14:schemeClr w14:val="tx1"/>
            </w14:solidFill>
          </w14:textFill>
        </w:rPr>
        <w:t>径流水域变化情况以及下游增减水影响水域、建设前后水位变化情况，以及下游水环境敏感点的环境影响等。</w:t>
      </w:r>
    </w:p>
    <w:p>
      <w:pPr>
        <w:adjustRightInd w:val="0"/>
        <w:snapToGrid w:val="0"/>
        <w:spacing w:line="360" w:lineRule="auto"/>
        <w:ind w:firstLine="480" w:firstLineChars="200"/>
        <w:jc w:val="both"/>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根据叠图分析，项目</w:t>
      </w:r>
      <w:r>
        <w:rPr>
          <w:rFonts w:hint="eastAsia" w:ascii="Times New Roman" w:hAnsi="Times New Roman" w:eastAsia="宋体" w:cs="Times New Roman"/>
          <w:color w:val="000000" w:themeColor="text1"/>
          <w:sz w:val="24"/>
          <w:lang w:val="en-US" w:eastAsia="zh-CN"/>
          <w14:textFill>
            <w14:solidFill>
              <w14:schemeClr w14:val="tx1"/>
            </w14:solidFill>
          </w14:textFill>
        </w:rPr>
        <w:t>南五支渠</w:t>
      </w:r>
      <w:r>
        <w:rPr>
          <w:rFonts w:hint="eastAsia" w:cs="Times New Roman"/>
          <w:color w:val="000000" w:themeColor="text1"/>
          <w:sz w:val="24"/>
          <w:lang w:val="en-US" w:eastAsia="zh-CN"/>
          <w14:textFill>
            <w14:solidFill>
              <w14:schemeClr w14:val="tx1"/>
            </w14:solidFill>
          </w14:textFill>
        </w:rPr>
        <w:t>起点至下游</w:t>
      </w:r>
      <w:r>
        <w:rPr>
          <w:rFonts w:hint="eastAsia" w:ascii="Times New Roman" w:hAnsi="Times New Roman" w:eastAsia="宋体" w:cs="Times New Roman"/>
          <w:color w:val="000000" w:themeColor="text1"/>
          <w:sz w:val="24"/>
          <w:lang w:val="en-US" w:eastAsia="zh-CN"/>
          <w14:textFill>
            <w14:solidFill>
              <w14:schemeClr w14:val="tx1"/>
            </w14:solidFill>
          </w14:textFill>
        </w:rPr>
        <w:t>约11m，南六支渠</w:t>
      </w:r>
      <w:r>
        <w:rPr>
          <w:rFonts w:hint="eastAsia" w:cs="Times New Roman"/>
          <w:color w:val="000000" w:themeColor="text1"/>
          <w:sz w:val="24"/>
          <w:lang w:val="en-US" w:eastAsia="zh-CN"/>
          <w14:textFill>
            <w14:solidFill>
              <w14:schemeClr w14:val="tx1"/>
            </w14:solidFill>
          </w14:textFill>
        </w:rPr>
        <w:t>起点至下游</w:t>
      </w:r>
      <w:r>
        <w:rPr>
          <w:rFonts w:hint="eastAsia" w:ascii="Times New Roman" w:hAnsi="Times New Roman" w:eastAsia="宋体" w:cs="Times New Roman"/>
          <w:color w:val="000000" w:themeColor="text1"/>
          <w:sz w:val="24"/>
          <w:lang w:val="en-US" w:eastAsia="zh-CN"/>
          <w14:textFill>
            <w14:solidFill>
              <w14:schemeClr w14:val="tx1"/>
            </w14:solidFill>
          </w14:textFill>
        </w:rPr>
        <w:t>约20m</w:t>
      </w:r>
      <w:r>
        <w:rPr>
          <w:rFonts w:hint="eastAsia"/>
          <w:color w:val="000000" w:themeColor="text1"/>
          <w:sz w:val="24"/>
          <w:szCs w:val="24"/>
          <w:lang w:val="en-US" w:eastAsia="zh-CN"/>
          <w14:textFill>
            <w14:solidFill>
              <w14:schemeClr w14:val="tx1"/>
            </w14:solidFill>
          </w14:textFill>
        </w:rPr>
        <w:t>位于</w:t>
      </w:r>
      <w:r>
        <w:rPr>
          <w:rFonts w:hint="eastAsia"/>
          <w:color w:val="000000" w:themeColor="text1"/>
          <w:sz w:val="24"/>
          <w:szCs w:val="24"/>
          <w14:textFill>
            <w14:solidFill>
              <w14:schemeClr w14:val="tx1"/>
            </w14:solidFill>
          </w14:textFill>
        </w:rPr>
        <w:t>成都市龙泉驿区东风渠、东干渠麻石桥集中式饮用水水源地准保护区</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陆域</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范围内</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根据中华人民共和国生态环境部官网公布的“关于明确准保护区到底是不是保护区的回复”中提到“饮用水水源准保护区不属于饮用水水源保护区范畴”。因此，项目不涉及饮用水源保护区。</w:t>
      </w:r>
    </w:p>
    <w:p>
      <w:pPr>
        <w:adjustRightInd w:val="0"/>
        <w:snapToGrid w:val="0"/>
        <w:spacing w:line="360" w:lineRule="auto"/>
        <w:ind w:firstLine="480" w:firstLineChars="200"/>
        <w:jc w:val="both"/>
        <w:rPr>
          <w:rFonts w:hint="eastAsia"/>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本工程属于渠道整治项目，</w:t>
      </w:r>
      <w:r>
        <w:rPr>
          <w:color w:val="000000" w:themeColor="text1"/>
          <w:sz w:val="24"/>
          <w14:textFill>
            <w14:solidFill>
              <w14:schemeClr w14:val="tx1"/>
            </w14:solidFill>
          </w14:textFill>
        </w:rPr>
        <w:t>无废水排放，无取水口，工程建设不涉及河流季节性调节，并且本项目占用水域面积为约</w:t>
      </w:r>
      <w:r>
        <w:rPr>
          <w:rFonts w:hint="eastAsia"/>
          <w:color w:val="000000" w:themeColor="text1"/>
          <w:sz w:val="24"/>
          <w14:textFill>
            <w14:solidFill>
              <w14:schemeClr w14:val="tx1"/>
            </w14:solidFill>
          </w14:textFill>
        </w:rPr>
        <w:t>13996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，即</w:t>
      </w:r>
      <w:r>
        <w:rPr>
          <w:rFonts w:hint="eastAsia"/>
          <w:color w:val="000000" w:themeColor="text1"/>
          <w:sz w:val="24"/>
          <w14:textFill>
            <w14:solidFill>
              <w14:schemeClr w14:val="tx1"/>
            </w14:solidFill>
          </w14:textFill>
        </w:rPr>
        <w:t>0.014</w:t>
      </w:r>
      <w:r>
        <w:rPr>
          <w:color w:val="000000" w:themeColor="text1"/>
          <w:sz w:val="24"/>
          <w14:textFill>
            <w14:solidFill>
              <w14:schemeClr w14:val="tx1"/>
            </w14:solidFill>
          </w14:textFill>
        </w:rPr>
        <w:t>km</w:t>
      </w:r>
      <w:r>
        <w:rPr>
          <w:color w:val="000000" w:themeColor="text1"/>
          <w:sz w:val="24"/>
          <w:vertAlign w:val="superscript"/>
          <w14:textFill>
            <w14:solidFill>
              <w14:schemeClr w14:val="tx1"/>
            </w14:solidFill>
          </w14:textFill>
        </w:rPr>
        <w:t>2</w:t>
      </w:r>
      <w:r>
        <w:rPr>
          <w:color w:val="000000" w:themeColor="text1"/>
          <w:sz w:val="24"/>
          <w:szCs w:val="24"/>
          <w14:textFill>
            <w14:solidFill>
              <w14:schemeClr w14:val="tx1"/>
            </w14:solidFill>
          </w14:textFill>
        </w:rPr>
        <w:t>，故本工程扰动水底面积A</w:t>
      </w:r>
      <w:r>
        <w:rPr>
          <w:color w:val="000000" w:themeColor="text1"/>
          <w:sz w:val="24"/>
          <w:szCs w:val="24"/>
          <w:vertAlign w:val="subscript"/>
          <w14:textFill>
            <w14:solidFill>
              <w14:schemeClr w14:val="tx1"/>
            </w14:solidFill>
          </w14:textFill>
        </w:rPr>
        <w:t>2</w:t>
      </w:r>
      <w:r>
        <w:rPr>
          <w:color w:val="000000" w:themeColor="text1"/>
          <w:sz w:val="24"/>
          <w:szCs w:val="24"/>
          <w14:textFill>
            <w14:solidFill>
              <w14:schemeClr w14:val="tx1"/>
            </w14:solidFill>
          </w14:textFill>
        </w:rPr>
        <w:t>为</w:t>
      </w:r>
      <w:r>
        <w:rPr>
          <w:rFonts w:hint="eastAsia"/>
          <w:color w:val="000000" w:themeColor="text1"/>
          <w:sz w:val="24"/>
          <w:szCs w:val="24"/>
          <w14:textFill>
            <w14:solidFill>
              <w14:schemeClr w14:val="tx1"/>
            </w14:solidFill>
          </w14:textFill>
        </w:rPr>
        <w:t>0.014</w:t>
      </w:r>
      <w:r>
        <w:rPr>
          <w:color w:val="000000" w:themeColor="text1"/>
          <w:sz w:val="24"/>
          <w:szCs w:val="24"/>
          <w14:textFill>
            <w14:solidFill>
              <w14:schemeClr w14:val="tx1"/>
            </w14:solidFill>
          </w14:textFill>
        </w:rPr>
        <w:t>km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A2≤0.2，</w:t>
      </w:r>
      <w:r>
        <w:rPr>
          <w:color w:val="000000" w:themeColor="text1"/>
          <w:sz w:val="24"/>
          <w:szCs w:val="24"/>
          <w14:textFill>
            <w14:solidFill>
              <w14:schemeClr w14:val="tx1"/>
            </w14:solidFill>
          </w14:textFill>
        </w:rPr>
        <w:t>因此本项目从水文要素影响型判定，</w:t>
      </w:r>
      <w:r>
        <w:rPr>
          <w:color w:val="000000" w:themeColor="text1"/>
          <w:sz w:val="24"/>
          <w14:textFill>
            <w14:solidFill>
              <w14:schemeClr w14:val="tx1"/>
            </w14:solidFill>
          </w14:textFill>
        </w:rPr>
        <w:t>水环境评价等级为</w:t>
      </w:r>
      <w:r>
        <w:rPr>
          <w:rFonts w:hint="eastAsia"/>
          <w:color w:val="000000" w:themeColor="text1"/>
          <w:sz w:val="24"/>
          <w14:textFill>
            <w14:solidFill>
              <w14:schemeClr w14:val="tx1"/>
            </w14:solidFill>
          </w14:textFill>
        </w:rPr>
        <w:t>三</w:t>
      </w:r>
      <w:r>
        <w:rPr>
          <w:color w:val="000000" w:themeColor="text1"/>
          <w:sz w:val="24"/>
          <w14:textFill>
            <w14:solidFill>
              <w14:schemeClr w14:val="tx1"/>
            </w14:solidFill>
          </w14:textFill>
        </w:rPr>
        <w:t>级</w:t>
      </w:r>
      <w:r>
        <w:rPr>
          <w:rFonts w:hint="eastAsia"/>
          <w:color w:val="000000" w:themeColor="text1"/>
          <w:sz w:val="24"/>
          <w14:textFill>
            <w14:solidFill>
              <w14:schemeClr w14:val="tx1"/>
            </w14:solidFill>
          </w14:textFill>
        </w:rPr>
        <w:t>。</w:t>
      </w:r>
    </w:p>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.2评价范围</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工程实施方案情况，本次评价地表水总体评价范围为工程影响区域所涉及的河流水系以及工程河段上游1km，即南五支渠起点（K0+000）至东风渠上游1km以及南六支渠起点至南五支渠起点东风渠段、北支一渠起点（K0+000）上游1km</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工程渠段下游</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至灌溉退水受纳河段，即董家堰补水渠（上、下）下游</w:t>
      </w:r>
      <w:r>
        <w:rPr>
          <w:rFonts w:hint="eastAsia" w:cs="Times New Roman"/>
          <w:color w:val="000000" w:themeColor="text1"/>
          <w:sz w:val="24"/>
          <w:szCs w:val="24"/>
          <w:lang w:val="en-US" w:eastAsia="zh-CN"/>
          <w14:textFill>
            <w14:solidFill>
              <w14:schemeClr w14:val="tx1"/>
            </w14:solidFill>
          </w14:textFill>
        </w:rPr>
        <w:t>湖江河（小西江河）</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，北支一渠下游</w:t>
      </w:r>
      <w:r>
        <w:rPr>
          <w:rFonts w:hint="eastAsia" w:cs="Times New Roman"/>
          <w:color w:val="000000" w:themeColor="text1"/>
          <w:sz w:val="24"/>
          <w:szCs w:val="24"/>
          <w:lang w:val="en-US" w:eastAsia="zh-CN"/>
          <w14:textFill>
            <w14:solidFill>
              <w14:schemeClr w14:val="tx1"/>
            </w14:solidFill>
          </w14:textFill>
        </w:rPr>
        <w:t>羊叉</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河，</w:t>
      </w:r>
      <w:r>
        <w:rPr>
          <w:rFonts w:hint="eastAsia" w:cs="Times New Roman"/>
          <w:color w:val="000000" w:themeColor="text1"/>
          <w:sz w:val="24"/>
          <w:szCs w:val="24"/>
          <w:lang w:val="en-US" w:eastAsia="zh-CN"/>
          <w14:textFill>
            <w14:solidFill>
              <w14:schemeClr w14:val="tx1"/>
            </w14:solidFill>
          </w14:textFill>
        </w:rPr>
        <w:t>之后到西江河，</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南五、南六支渠下游半截河支沟、西江河</w:t>
      </w:r>
      <w:r>
        <w:rPr>
          <w:rFonts w:hint="eastAsia" w:cs="Times New Roman"/>
          <w:color w:val="000000" w:themeColor="text1"/>
          <w:sz w:val="24"/>
          <w:szCs w:val="24"/>
          <w:lang w:val="en-US" w:eastAsia="zh-CN"/>
          <w14:textFill>
            <w14:solidFill>
              <w14:schemeClr w14:val="tx1"/>
            </w14:solidFill>
          </w14:textFill>
        </w:rPr>
        <w:t>。项目渠道退水最终由西江河到沱江</w:t>
      </w:r>
      <w:r>
        <w:rPr>
          <w:rFonts w:hint="eastAsia"/>
          <w:color w:val="000000" w:themeColor="text1"/>
          <w:sz w:val="24"/>
          <w:szCs w:val="24"/>
          <w14:textFill>
            <w14:solidFill>
              <w14:schemeClr w14:val="tx1"/>
            </w14:solidFill>
          </w14:textFill>
        </w:rPr>
        <w:t>。</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55" w:name="_Toc27140"/>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3声环境</w:t>
      </w:r>
      <w:bookmarkEnd w:id="155"/>
    </w:p>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3</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1</w:t>
      </w:r>
      <w:r>
        <w:rPr>
          <w:b/>
          <w:bCs/>
          <w:color w:val="000000" w:themeColor="text1"/>
          <w14:textFill>
            <w14:solidFill>
              <w14:schemeClr w14:val="tx1"/>
            </w14:solidFill>
          </w14:textFill>
        </w:rPr>
        <w:t>评价</w:t>
      </w:r>
      <w:r>
        <w:rPr>
          <w:rFonts w:hint="eastAsia"/>
          <w:b/>
          <w:bCs/>
          <w:color w:val="000000" w:themeColor="text1"/>
          <w14:textFill>
            <w14:solidFill>
              <w14:schemeClr w14:val="tx1"/>
            </w14:solidFill>
          </w14:textFill>
        </w:rPr>
        <w:t>等级</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施工期噪声源主要为土方开挖、回填、工程施工等环节施工机械运转的机械噪声等固定噪声源，以及施工运输车辆等流动噪声源。根据《环境影响评价技术导则声环境》（HJ2.4-2009），在确定评价工作等级时，如建设项目符合两个以上级别的划分原则，按较高级别的评价等级评价，因为本项目所处的声环境功能区包含2类、4a类功能区，根据上述要求，声环境评价等级定为二级。</w:t>
      </w:r>
    </w:p>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3</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评价</w:t>
      </w:r>
      <w:r>
        <w:rPr>
          <w:rFonts w:hint="eastAsia"/>
          <w:b/>
          <w:bCs/>
          <w:color w:val="000000" w:themeColor="text1"/>
          <w14:textFill>
            <w14:solidFill>
              <w14:schemeClr w14:val="tx1"/>
            </w14:solidFill>
          </w14:textFill>
        </w:rPr>
        <w:t>范围</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按照《环境影响评价技术导则声环境》（HJ</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2.4-20</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）的规定，该项目噪声评价范围为项目施工作业带外200m范围及临时工程区厂界外200m，并适当兼顾敏感目标。</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56" w:name="_Toc5458"/>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4地下水环境</w:t>
      </w:r>
      <w:bookmarkEnd w:id="156"/>
    </w:p>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4</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1</w:t>
      </w:r>
      <w:r>
        <w:rPr>
          <w:b/>
          <w:bCs/>
          <w:color w:val="000000" w:themeColor="text1"/>
          <w14:textFill>
            <w14:solidFill>
              <w14:schemeClr w14:val="tx1"/>
            </w14:solidFill>
          </w14:textFill>
        </w:rPr>
        <w:t>评价</w:t>
      </w:r>
      <w:r>
        <w:rPr>
          <w:rFonts w:hint="eastAsia"/>
          <w:b/>
          <w:bCs/>
          <w:color w:val="000000" w:themeColor="text1"/>
          <w14:textFill>
            <w14:solidFill>
              <w14:schemeClr w14:val="tx1"/>
            </w14:solidFill>
          </w14:textFill>
        </w:rPr>
        <w:t>等级</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根据《环境影响评价技术导则地下水环境》（HJ610-2016），评价工作等级的划分应依据建设项目行业分类和地下水环境敏感程度分级进行判定，可划分为一、二、三级。</w:t>
      </w:r>
    </w:p>
    <w:p>
      <w:pPr>
        <w:jc w:val="center"/>
        <w:rPr>
          <w:rFonts w:eastAsia="黑体"/>
          <w:color w:val="000000" w:themeColor="text1"/>
          <w:sz w:val="24"/>
          <w:szCs w:val="24"/>
          <w14:textFill>
            <w14:solidFill>
              <w14:schemeClr w14:val="tx1"/>
            </w14:solidFill>
          </w14:textFill>
        </w:rPr>
      </w:pPr>
      <w:r>
        <w:rPr>
          <w:rFonts w:eastAsia="黑体"/>
          <w:color w:val="000000" w:themeColor="text1"/>
          <w:sz w:val="24"/>
          <w:szCs w:val="24"/>
          <w14:textFill>
            <w14:solidFill>
              <w14:schemeClr w14:val="tx1"/>
            </w14:solidFill>
          </w14:textFill>
        </w:rPr>
        <w:t>表1.5-2地下水环境敏感程度分级表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72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pct"/>
            <w:tcBorders>
              <w:top w:val="single" w:color="auto" w:sz="12" w:space="0"/>
              <w:left w:val="nil"/>
              <w:bottom w:val="single" w:color="auto" w:sz="4" w:space="0"/>
              <w:right w:val="single" w:color="auto" w:sz="4" w:space="0"/>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
                <w:b/>
                <w:bCs/>
                <w:color w:val="000000" w:themeColor="text1"/>
                <w:sz w:val="21"/>
                <w:szCs w:val="21"/>
                <w14:textFill>
                  <w14:solidFill>
                    <w14:schemeClr w14:val="tx1"/>
                  </w14:solidFill>
                </w14:textFill>
              </w:rPr>
            </w:pPr>
            <w:r>
              <w:rPr>
                <w:rFonts w:hint="default" w:ascii="Times New Roman" w:hAnsi="Times New Roman" w:eastAsia="宋"/>
                <w:b/>
                <w:bCs/>
                <w:color w:val="000000" w:themeColor="text1"/>
                <w:sz w:val="21"/>
                <w:szCs w:val="21"/>
                <w14:textFill>
                  <w14:solidFill>
                    <w14:schemeClr w14:val="tx1"/>
                  </w14:solidFill>
                </w14:textFill>
              </w:rPr>
              <w:t>敏感性</w:t>
            </w:r>
          </w:p>
        </w:tc>
        <w:tc>
          <w:tcPr>
            <w:tcW w:w="4271" w:type="pct"/>
            <w:tcBorders>
              <w:top w:val="single" w:color="auto" w:sz="12" w:space="0"/>
              <w:left w:val="single" w:color="auto" w:sz="4" w:space="0"/>
              <w:bottom w:val="single" w:color="auto" w:sz="4" w:space="0"/>
              <w:right w:val="nil"/>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
                <w:b/>
                <w:bCs/>
                <w:color w:val="000000" w:themeColor="text1"/>
                <w:sz w:val="21"/>
                <w:szCs w:val="21"/>
                <w14:textFill>
                  <w14:solidFill>
                    <w14:schemeClr w14:val="tx1"/>
                  </w14:solidFill>
                </w14:textFill>
              </w:rPr>
            </w:pPr>
            <w:r>
              <w:rPr>
                <w:rFonts w:hint="default" w:ascii="Times New Roman" w:hAnsi="Times New Roman" w:eastAsia="宋"/>
                <w:b/>
                <w:bCs/>
                <w:color w:val="000000" w:themeColor="text1"/>
                <w:sz w:val="21"/>
                <w:szCs w:val="21"/>
                <w14:textFill>
                  <w14:solidFill>
                    <w14:schemeClr w14:val="tx1"/>
                  </w14:solidFill>
                </w14:textFill>
              </w:rPr>
              <w:t>地下水环境敏感特征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729" w:type="pct"/>
            <w:tcBorders>
              <w:top w:val="single" w:color="auto" w:sz="4" w:space="0"/>
              <w:left w:val="nil"/>
              <w:bottom w:val="single" w:color="auto" w:sz="4" w:space="0"/>
              <w:right w:val="single" w:color="auto" w:sz="4" w:space="0"/>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
                <w:color w:val="000000" w:themeColor="text1"/>
                <w:sz w:val="21"/>
                <w:szCs w:val="21"/>
                <w14:textFill>
                  <w14:solidFill>
                    <w14:schemeClr w14:val="tx1"/>
                  </w14:solidFill>
                </w14:textFill>
              </w:rPr>
            </w:pPr>
            <w:r>
              <w:rPr>
                <w:rFonts w:hint="default" w:ascii="Times New Roman" w:hAnsi="Times New Roman" w:eastAsia="宋"/>
                <w:color w:val="000000" w:themeColor="text1"/>
                <w:sz w:val="21"/>
                <w:szCs w:val="21"/>
                <w14:textFill>
                  <w14:solidFill>
                    <w14:schemeClr w14:val="tx1"/>
                  </w14:solidFill>
                </w14:textFill>
              </w:rPr>
              <w:t>敏感</w:t>
            </w:r>
          </w:p>
        </w:tc>
        <w:tc>
          <w:tcPr>
            <w:tcW w:w="4271" w:type="pct"/>
            <w:tcBorders>
              <w:top w:val="single" w:color="auto" w:sz="4" w:space="0"/>
              <w:left w:val="single" w:color="auto" w:sz="4" w:space="0"/>
              <w:bottom w:val="single" w:color="auto" w:sz="4" w:space="0"/>
              <w:right w:val="nil"/>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textAlignment w:val="auto"/>
              <w:rPr>
                <w:rFonts w:hint="default" w:ascii="Times New Roman" w:hAnsi="Times New Roman" w:eastAsia="宋"/>
                <w:color w:val="000000" w:themeColor="text1"/>
                <w:sz w:val="21"/>
                <w:szCs w:val="21"/>
                <w14:textFill>
                  <w14:solidFill>
                    <w14:schemeClr w14:val="tx1"/>
                  </w14:solidFill>
                </w14:textFill>
              </w:rPr>
            </w:pPr>
            <w:r>
              <w:rPr>
                <w:rFonts w:hint="default" w:ascii="Times New Roman" w:hAnsi="Times New Roman" w:eastAsia="宋"/>
                <w:color w:val="000000" w:themeColor="text1"/>
                <w:sz w:val="21"/>
                <w:szCs w:val="21"/>
                <w14:textFill>
                  <w14:solidFill>
                    <w14:schemeClr w14:val="tx1"/>
                  </w14:solidFill>
                </w14:textFill>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pct"/>
            <w:tcBorders>
              <w:top w:val="single" w:color="auto" w:sz="4" w:space="0"/>
              <w:left w:val="nil"/>
              <w:bottom w:val="single" w:color="auto" w:sz="4" w:space="0"/>
              <w:right w:val="single" w:color="auto" w:sz="4" w:space="0"/>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
                <w:color w:val="000000" w:themeColor="text1"/>
                <w:sz w:val="21"/>
                <w:szCs w:val="21"/>
                <w14:textFill>
                  <w14:solidFill>
                    <w14:schemeClr w14:val="tx1"/>
                  </w14:solidFill>
                </w14:textFill>
              </w:rPr>
            </w:pPr>
            <w:r>
              <w:rPr>
                <w:rFonts w:hint="default" w:ascii="Times New Roman" w:hAnsi="Times New Roman" w:eastAsia="宋"/>
                <w:color w:val="000000" w:themeColor="text1"/>
                <w:sz w:val="21"/>
                <w:szCs w:val="21"/>
                <w14:textFill>
                  <w14:solidFill>
                    <w14:schemeClr w14:val="tx1"/>
                  </w14:solidFill>
                </w14:textFill>
              </w:rPr>
              <w:t>较敏感</w:t>
            </w:r>
          </w:p>
        </w:tc>
        <w:tc>
          <w:tcPr>
            <w:tcW w:w="4271" w:type="pct"/>
            <w:tcBorders>
              <w:top w:val="single" w:color="auto" w:sz="4" w:space="0"/>
              <w:left w:val="single" w:color="auto" w:sz="4" w:space="0"/>
              <w:bottom w:val="single" w:color="auto" w:sz="4" w:space="0"/>
              <w:right w:val="nil"/>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textAlignment w:val="auto"/>
              <w:rPr>
                <w:rFonts w:hint="default" w:ascii="Times New Roman" w:hAnsi="Times New Roman" w:eastAsia="宋"/>
                <w:color w:val="000000" w:themeColor="text1"/>
                <w:sz w:val="21"/>
                <w:szCs w:val="21"/>
                <w14:textFill>
                  <w14:solidFill>
                    <w14:schemeClr w14:val="tx1"/>
                  </w14:solidFill>
                </w14:textFill>
              </w:rPr>
            </w:pPr>
            <w:r>
              <w:rPr>
                <w:rFonts w:hint="default" w:ascii="Times New Roman" w:hAnsi="Times New Roman" w:eastAsia="宋"/>
                <w:color w:val="000000" w:themeColor="text1"/>
                <w:sz w:val="21"/>
                <w:szCs w:val="21"/>
                <w14:textFill>
                  <w14:solidFill>
                    <w14:schemeClr w14:val="tx1"/>
                  </w14:solidFill>
                </w14:textFill>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ascii="Times New Roman" w:hAnsi="Times New Roman" w:eastAsia="宋"/>
                <w:color w:val="000000" w:themeColor="text1"/>
                <w:sz w:val="21"/>
                <w:szCs w:val="21"/>
                <w:vertAlign w:val="superscript"/>
                <w14:textFill>
                  <w14:solidFill>
                    <w14:schemeClr w14:val="tx1"/>
                  </w14:solidFill>
                </w14:textFill>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pct"/>
            <w:tcBorders>
              <w:top w:val="single" w:color="auto" w:sz="4" w:space="0"/>
              <w:left w:val="nil"/>
              <w:bottom w:val="single" w:color="auto" w:sz="4" w:space="0"/>
              <w:right w:val="single" w:color="auto" w:sz="4" w:space="0"/>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
                <w:color w:val="000000" w:themeColor="text1"/>
                <w:sz w:val="21"/>
                <w:szCs w:val="21"/>
                <w14:textFill>
                  <w14:solidFill>
                    <w14:schemeClr w14:val="tx1"/>
                  </w14:solidFill>
                </w14:textFill>
              </w:rPr>
            </w:pPr>
            <w:r>
              <w:rPr>
                <w:rFonts w:hint="default" w:ascii="Times New Roman" w:hAnsi="Times New Roman" w:eastAsia="宋"/>
                <w:color w:val="000000" w:themeColor="text1"/>
                <w:sz w:val="21"/>
                <w:szCs w:val="21"/>
                <w14:textFill>
                  <w14:solidFill>
                    <w14:schemeClr w14:val="tx1"/>
                  </w14:solidFill>
                </w14:textFill>
              </w:rPr>
              <w:t>不敏感</w:t>
            </w:r>
          </w:p>
        </w:tc>
        <w:tc>
          <w:tcPr>
            <w:tcW w:w="4271" w:type="pct"/>
            <w:tcBorders>
              <w:top w:val="single" w:color="auto" w:sz="4" w:space="0"/>
              <w:left w:val="single" w:color="auto" w:sz="4" w:space="0"/>
              <w:bottom w:val="single" w:color="auto" w:sz="4" w:space="0"/>
              <w:right w:val="nil"/>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textAlignment w:val="auto"/>
              <w:rPr>
                <w:rFonts w:hint="default" w:ascii="Times New Roman" w:hAnsi="Times New Roman" w:eastAsia="宋"/>
                <w:color w:val="000000" w:themeColor="text1"/>
                <w:sz w:val="21"/>
                <w:szCs w:val="21"/>
                <w14:textFill>
                  <w14:solidFill>
                    <w14:schemeClr w14:val="tx1"/>
                  </w14:solidFill>
                </w14:textFill>
              </w:rPr>
            </w:pPr>
            <w:r>
              <w:rPr>
                <w:rFonts w:hint="default" w:ascii="Times New Roman" w:hAnsi="Times New Roman" w:eastAsia="宋"/>
                <w:color w:val="000000" w:themeColor="text1"/>
                <w:sz w:val="21"/>
                <w:szCs w:val="21"/>
                <w14:textFill>
                  <w14:solidFill>
                    <w14:schemeClr w14:val="tx1"/>
                  </w14:solidFill>
                </w14:textFill>
              </w:rPr>
              <w:t>上述地区之外的其他地区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2"/>
            <w:tcBorders>
              <w:top w:val="single" w:color="auto" w:sz="4" w:space="0"/>
              <w:left w:val="nil"/>
              <w:bottom w:val="single" w:color="auto" w:sz="12" w:space="0"/>
              <w:right w:val="nil"/>
            </w:tcBorders>
            <w:vAlign w:val="center"/>
          </w:tcPr>
          <w:p>
            <w:pPr>
              <w:pStyle w:val="4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textAlignment w:val="auto"/>
              <w:rPr>
                <w:rFonts w:hint="default" w:ascii="Times New Roman" w:hAnsi="Times New Roman" w:eastAsia="宋"/>
                <w:color w:val="000000" w:themeColor="text1"/>
                <w:sz w:val="21"/>
                <w:szCs w:val="21"/>
                <w14:textFill>
                  <w14:solidFill>
                    <w14:schemeClr w14:val="tx1"/>
                  </w14:solidFill>
                </w14:textFill>
              </w:rPr>
            </w:pPr>
            <w:r>
              <w:rPr>
                <w:rFonts w:hint="default" w:ascii="Times New Roman" w:hAnsi="Times New Roman" w:eastAsia="宋"/>
                <w:color w:val="000000" w:themeColor="text1"/>
                <w:sz w:val="21"/>
                <w:szCs w:val="21"/>
                <w14:textFill>
                  <w14:solidFill>
                    <w14:schemeClr w14:val="tx1"/>
                  </w14:solidFill>
                </w14:textFill>
              </w:rPr>
              <w:t>a“环境敏感区”是指《建设项目环境影响评价分类管理目录》中所界定的涉及地下水的环境敏感区</w:t>
            </w:r>
          </w:p>
        </w:tc>
      </w:tr>
    </w:tbl>
    <w:p>
      <w:pPr>
        <w:jc w:val="center"/>
        <w:rPr>
          <w:rFonts w:eastAsia="黑体"/>
          <w:color w:val="000000" w:themeColor="text1"/>
          <w:sz w:val="24"/>
          <w:szCs w:val="24"/>
          <w14:textFill>
            <w14:solidFill>
              <w14:schemeClr w14:val="tx1"/>
            </w14:solidFill>
          </w14:textFill>
        </w:rPr>
      </w:pPr>
      <w:r>
        <w:rPr>
          <w:rFonts w:eastAsia="黑体"/>
          <w:color w:val="000000" w:themeColor="text1"/>
          <w:sz w:val="24"/>
          <w:szCs w:val="24"/>
          <w14:textFill>
            <w14:solidFill>
              <w14:schemeClr w14:val="tx1"/>
            </w14:solidFill>
          </w14:textFill>
        </w:rPr>
        <w:t>表1.5-3评价工作等级分级表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0"/>
        <w:gridCol w:w="2130"/>
        <w:gridCol w:w="21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pct"/>
            <w:tcBorders>
              <w:top w:val="single" w:color="auto" w:sz="12" w:space="0"/>
              <w:left w:val="nil"/>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-85725</wp:posOffset>
                      </wp:positionH>
                      <wp:positionV relativeFrom="paragraph">
                        <wp:posOffset>-7620</wp:posOffset>
                      </wp:positionV>
                      <wp:extent cx="1495425" cy="361950"/>
                      <wp:effectExtent l="1270" t="4445" r="8255" b="14605"/>
                      <wp:wrapNone/>
                      <wp:docPr id="17" name="直线 204"/>
                      <wp:cNvGraphicFramePr/>
                      <a:graphic xmlns:a="http://schemas.openxmlformats.org/drawingml/2006/main">
                        <a:graphicData uri="http://schemas.microsoft.com/office/word/2010/wordprocessingShape">
                          <wps:wsp>
                            <wps:cNvCnPr>
                              <a:cxnSpLocks noChangeShapeType="1"/>
                            </wps:cNvCnPr>
                            <wps:spPr bwMode="auto">
                              <a:xfrm>
                                <a:off x="0" y="0"/>
                                <a:ext cx="1495425" cy="361950"/>
                              </a:xfrm>
                              <a:prstGeom prst="line">
                                <a:avLst/>
                              </a:prstGeom>
                              <a:noFill/>
                              <a:ln w="9525">
                                <a:solidFill>
                                  <a:srgbClr val="000000"/>
                                </a:solidFill>
                                <a:round/>
                              </a:ln>
                            </wps:spPr>
                            <wps:bodyPr/>
                          </wps:wsp>
                        </a:graphicData>
                      </a:graphic>
                    </wp:anchor>
                  </w:drawing>
                </mc:Choice>
                <mc:Fallback>
                  <w:pict>
                    <v:line id="直线 204" o:spid="_x0000_s1026" o:spt="20" style="position:absolute;left:0pt;margin-left:-6.75pt;margin-top:-0.6pt;height:28.5pt;width:117.75pt;z-index:251680768;mso-width-relative:page;mso-height-relative:page;" filled="f" stroked="t" coordsize="21600,21600" o:gfxdata="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awFg9NcAAAAJAQAADwAA&#10;AAAAAAABACAAAAAiAAAAZHJzL2Rvd25yZXYueG1sUEsBAhQAFAAAAAgAh07iQEIR6GHeAQAAqQMA&#10;AA4AAAAAAAAAAQAgAAAAJgEAAGRycy9lMm9Eb2MueG1sUEsFBgAAAAAGAAYAWQEAAHYFAAAAAA==&#10;">
                      <v:fill on="f" focussize="0,0"/>
                      <v:stroke color="#000000" joinstyle="round"/>
                      <v:imagedata o:title=""/>
                      <o:lock v:ext="edit" aspectratio="f"/>
                    </v:line>
                  </w:pict>
                </mc:Fallback>
              </mc:AlternateContent>
            </w:r>
            <w:r>
              <w:rPr>
                <w:rFonts w:hint="default"/>
                <w:color w:val="000000" w:themeColor="text1"/>
                <w14:textFill>
                  <w14:solidFill>
                    <w14:schemeClr w14:val="tx1"/>
                  </w14:solidFill>
                </w14:textFill>
              </w:rPr>
              <w:t>项目类别</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环境敏感程度</w:t>
            </w:r>
          </w:p>
        </w:tc>
        <w:tc>
          <w:tcPr>
            <w:tcW w:w="1250" w:type="pct"/>
            <w:tcBorders>
              <w:top w:val="single" w:color="auto" w:sz="12"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I类项目</w:t>
            </w:r>
          </w:p>
        </w:tc>
        <w:tc>
          <w:tcPr>
            <w:tcW w:w="1250" w:type="pct"/>
            <w:tcBorders>
              <w:top w:val="single" w:color="auto" w:sz="12"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II类项目</w:t>
            </w:r>
          </w:p>
        </w:tc>
        <w:tc>
          <w:tcPr>
            <w:tcW w:w="1249" w:type="pct"/>
            <w:tcBorders>
              <w:top w:val="single" w:color="auto" w:sz="12" w:space="0"/>
              <w:left w:val="single" w:color="auto" w:sz="4" w:space="0"/>
              <w:bottom w:val="single" w:color="auto" w:sz="4" w:space="0"/>
              <w:right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III类项目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pct"/>
            <w:tcBorders>
              <w:top w:val="single" w:color="auto" w:sz="4" w:space="0"/>
              <w:left w:val="nil"/>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敏感</w:t>
            </w:r>
          </w:p>
        </w:tc>
        <w:tc>
          <w:tcPr>
            <w:tcW w:w="1250"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w:t>
            </w:r>
          </w:p>
        </w:tc>
        <w:tc>
          <w:tcPr>
            <w:tcW w:w="1250"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w:t>
            </w:r>
          </w:p>
        </w:tc>
        <w:tc>
          <w:tcPr>
            <w:tcW w:w="1249" w:type="pct"/>
            <w:tcBorders>
              <w:top w:val="single" w:color="auto" w:sz="4" w:space="0"/>
              <w:left w:val="single" w:color="auto" w:sz="4" w:space="0"/>
              <w:bottom w:val="single" w:color="auto" w:sz="4" w:space="0"/>
              <w:right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pct"/>
            <w:tcBorders>
              <w:top w:val="single" w:color="auto" w:sz="4" w:space="0"/>
              <w:left w:val="nil"/>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较敏感</w:t>
            </w:r>
          </w:p>
        </w:tc>
        <w:tc>
          <w:tcPr>
            <w:tcW w:w="1250"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w:t>
            </w:r>
          </w:p>
        </w:tc>
        <w:tc>
          <w:tcPr>
            <w:tcW w:w="1250"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二</w:t>
            </w:r>
          </w:p>
        </w:tc>
        <w:tc>
          <w:tcPr>
            <w:tcW w:w="1249" w:type="pct"/>
            <w:tcBorders>
              <w:top w:val="single" w:color="auto" w:sz="4" w:space="0"/>
              <w:left w:val="single" w:color="auto" w:sz="4" w:space="0"/>
              <w:bottom w:val="single" w:color="auto" w:sz="4" w:space="0"/>
              <w:right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pct"/>
            <w:tcBorders>
              <w:top w:val="single" w:color="auto" w:sz="4" w:space="0"/>
              <w:left w:val="nil"/>
              <w:bottom w:val="single" w:color="auto" w:sz="12"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不敏感</w:t>
            </w:r>
          </w:p>
        </w:tc>
        <w:tc>
          <w:tcPr>
            <w:tcW w:w="1250" w:type="pct"/>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二</w:t>
            </w:r>
          </w:p>
        </w:tc>
        <w:tc>
          <w:tcPr>
            <w:tcW w:w="1250" w:type="pct"/>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三</w:t>
            </w:r>
          </w:p>
        </w:tc>
        <w:tc>
          <w:tcPr>
            <w:tcW w:w="1249" w:type="pct"/>
            <w:tcBorders>
              <w:top w:val="single" w:color="auto" w:sz="4" w:space="0"/>
              <w:left w:val="single" w:color="auto" w:sz="4" w:space="0"/>
              <w:bottom w:val="single" w:color="auto" w:sz="12" w:space="0"/>
              <w:right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三</w:t>
            </w:r>
          </w:p>
        </w:tc>
      </w:tr>
    </w:tbl>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项目行业分类详见《环境影响评价技术导则地下水环境》（HJ610-2016）附录A（以下简称附录A）。</w:t>
      </w:r>
    </w:p>
    <w:p>
      <w:pPr>
        <w:pStyle w:val="14"/>
        <w:jc w:val="center"/>
        <w:rPr>
          <w:rFonts w:eastAsia="黑体"/>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-59055</wp:posOffset>
                </wp:positionH>
                <wp:positionV relativeFrom="paragraph">
                  <wp:posOffset>217170</wp:posOffset>
                </wp:positionV>
                <wp:extent cx="1114425" cy="319405"/>
                <wp:effectExtent l="1270" t="4445" r="1905" b="6350"/>
                <wp:wrapNone/>
                <wp:docPr id="18" name="自选图形 43"/>
                <wp:cNvGraphicFramePr/>
                <a:graphic xmlns:a="http://schemas.openxmlformats.org/drawingml/2006/main">
                  <a:graphicData uri="http://schemas.microsoft.com/office/word/2010/wordprocessingShape">
                    <wps:wsp>
                      <wps:cNvCnPr>
                        <a:cxnSpLocks noChangeShapeType="1"/>
                      </wps:cNvCnPr>
                      <wps:spPr bwMode="auto">
                        <a:xfrm>
                          <a:off x="0" y="0"/>
                          <a:ext cx="1114425" cy="319405"/>
                        </a:xfrm>
                        <a:prstGeom prst="straightConnector1">
                          <a:avLst/>
                        </a:prstGeom>
                        <a:noFill/>
                        <a:ln w="9525">
                          <a:solidFill>
                            <a:srgbClr val="000000"/>
                          </a:solidFill>
                          <a:round/>
                        </a:ln>
                      </wps:spPr>
                      <wps:bodyPr/>
                    </wps:wsp>
                  </a:graphicData>
                </a:graphic>
              </wp:anchor>
            </w:drawing>
          </mc:Choice>
          <mc:Fallback>
            <w:pict>
              <v:shape id="自选图形 43" o:spid="_x0000_s1026" o:spt="32" type="#_x0000_t32" style="position:absolute;left:0pt;margin-left:-4.65pt;margin-top:17.1pt;height:25.15pt;width:87.75pt;z-index:251679744;mso-width-relative:page;mso-height-relative:page;" filled="f" stroked="t" coordsize="21600,21600" o:gfxdata="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q0qd9gAAAAIAQAADwAAAAAAAAABACAAAAAiAAAAZHJzL2Rvd25yZXYueG1sUEsBAhQA&#10;FAAAAAgAh07iQAA3peDyAQAAvAMAAA4AAAAAAAAAAQAgAAAAJwEAAGRycy9lMm9Eb2MueG1sUEsF&#10;BgAAAAAGAAYAWQEAAIsFAAAAAA==&#10;">
                <v:fill on="f" focussize="0,0"/>
                <v:stroke color="#000000" joinstyle="round"/>
                <v:imagedata o:title=""/>
                <o:lock v:ext="edit" aspectratio="f"/>
              </v:shape>
            </w:pict>
          </mc:Fallback>
        </mc:AlternateContent>
      </w:r>
      <w:r>
        <w:rPr>
          <w:rFonts w:eastAsia="黑体"/>
          <w:color w:val="000000" w:themeColor="text1"/>
          <w14:textFill>
            <w14:solidFill>
              <w14:schemeClr w14:val="tx1"/>
            </w14:solidFill>
          </w14:textFill>
        </w:rPr>
        <w:t>表1.5-</w:t>
      </w:r>
      <w:r>
        <w:rPr>
          <w:rFonts w:hint="eastAsia" w:eastAsia="黑体"/>
          <w:color w:val="000000" w:themeColor="text1"/>
          <w14:textFill>
            <w14:solidFill>
              <w14:schemeClr w14:val="tx1"/>
            </w14:solidFill>
          </w14:textFill>
        </w:rPr>
        <w:t>3</w:t>
      </w:r>
      <w:r>
        <w:rPr>
          <w:rFonts w:eastAsia="黑体"/>
          <w:color w:val="000000" w:themeColor="text1"/>
          <w14:textFill>
            <w14:solidFill>
              <w14:schemeClr w14:val="tx1"/>
            </w14:solidFill>
          </w14:textFill>
        </w:rPr>
        <w:t>建设项目所属地下水环境影响评价项目类别</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3119"/>
        <w:gridCol w:w="1276"/>
        <w:gridCol w:w="1559"/>
        <w:gridCol w:w="15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809" w:type="dxa"/>
            <w:vMerge w:val="restart"/>
            <w:vAlign w:val="center"/>
          </w:tcPr>
          <w:p>
            <w:pPr>
              <w:pStyle w:val="14"/>
              <w:keepNext w:val="0"/>
              <w:keepLines w:val="0"/>
              <w:suppressLineNumbers w:val="0"/>
              <w:spacing w:before="0" w:beforeAutospacing="0" w:after="0" w:afterAutospacing="0"/>
              <w:ind w:left="0" w:right="0" w:firstLine="422"/>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环评类别</w:t>
            </w:r>
          </w:p>
          <w:p>
            <w:pPr>
              <w:pStyle w:val="14"/>
              <w:keepNext w:val="0"/>
              <w:keepLines w:val="0"/>
              <w:suppressLineNumbers w:val="0"/>
              <w:spacing w:before="0" w:beforeAutospacing="0" w:after="0" w:afterAutospacing="0"/>
              <w:ind w:left="0" w:right="0" w:firstLine="422"/>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行业类别</w:t>
            </w:r>
          </w:p>
        </w:tc>
        <w:tc>
          <w:tcPr>
            <w:tcW w:w="3119" w:type="dxa"/>
            <w:vMerge w:val="restart"/>
            <w:vAlign w:val="center"/>
          </w:tcPr>
          <w:p>
            <w:pPr>
              <w:pStyle w:val="14"/>
              <w:keepNext w:val="0"/>
              <w:keepLines w:val="0"/>
              <w:suppressLineNumbers w:val="0"/>
              <w:spacing w:before="0" w:beforeAutospacing="0" w:after="0" w:afterAutospacing="0"/>
              <w:ind w:left="0" w:right="0" w:firstLine="422"/>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报告书</w:t>
            </w:r>
          </w:p>
        </w:tc>
        <w:tc>
          <w:tcPr>
            <w:tcW w:w="1276" w:type="dxa"/>
            <w:vMerge w:val="restart"/>
            <w:vAlign w:val="center"/>
          </w:tcPr>
          <w:p>
            <w:pPr>
              <w:pStyle w:val="14"/>
              <w:keepNext w:val="0"/>
              <w:keepLines w:val="0"/>
              <w:suppressLineNumbers w:val="0"/>
              <w:spacing w:before="0" w:beforeAutospacing="0" w:after="0" w:afterAutospacing="0"/>
              <w:ind w:left="0" w:right="0" w:firstLine="422"/>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报告表</w:t>
            </w:r>
          </w:p>
        </w:tc>
        <w:tc>
          <w:tcPr>
            <w:tcW w:w="3062" w:type="dxa"/>
            <w:gridSpan w:val="2"/>
            <w:vAlign w:val="center"/>
          </w:tcPr>
          <w:p>
            <w:pPr>
              <w:pStyle w:val="14"/>
              <w:keepNext w:val="0"/>
              <w:keepLines w:val="0"/>
              <w:suppressLineNumbers w:val="0"/>
              <w:spacing w:before="0" w:beforeAutospacing="0" w:after="0" w:afterAutospacing="0"/>
              <w:ind w:left="0" w:right="0" w:firstLine="422"/>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地下水环境影响评价项目类别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809" w:type="dxa"/>
            <w:vMerge w:val="continue"/>
            <w:vAlign w:val="center"/>
          </w:tcPr>
          <w:p>
            <w:pPr>
              <w:pStyle w:val="14"/>
              <w:keepNext w:val="0"/>
              <w:keepLines w:val="0"/>
              <w:suppressLineNumbers w:val="0"/>
              <w:spacing w:before="0" w:beforeAutospacing="0" w:after="0" w:afterAutospacing="0"/>
              <w:ind w:left="0" w:right="0" w:firstLine="420"/>
              <w:jc w:val="center"/>
              <w:rPr>
                <w:rFonts w:hint="default"/>
                <w:b/>
                <w:color w:val="000000" w:themeColor="text1"/>
                <w:sz w:val="21"/>
                <w:szCs w:val="21"/>
                <w14:textFill>
                  <w14:solidFill>
                    <w14:schemeClr w14:val="tx1"/>
                  </w14:solidFill>
                </w14:textFill>
              </w:rPr>
            </w:pPr>
          </w:p>
        </w:tc>
        <w:tc>
          <w:tcPr>
            <w:tcW w:w="3119" w:type="dxa"/>
            <w:vMerge w:val="continue"/>
            <w:vAlign w:val="center"/>
          </w:tcPr>
          <w:p>
            <w:pPr>
              <w:pStyle w:val="14"/>
              <w:keepNext w:val="0"/>
              <w:keepLines w:val="0"/>
              <w:suppressLineNumbers w:val="0"/>
              <w:spacing w:before="0" w:beforeAutospacing="0" w:after="0" w:afterAutospacing="0"/>
              <w:ind w:left="0" w:right="0" w:firstLine="420"/>
              <w:jc w:val="center"/>
              <w:rPr>
                <w:rFonts w:hint="default"/>
                <w:b/>
                <w:color w:val="000000" w:themeColor="text1"/>
                <w:sz w:val="21"/>
                <w:szCs w:val="21"/>
                <w14:textFill>
                  <w14:solidFill>
                    <w14:schemeClr w14:val="tx1"/>
                  </w14:solidFill>
                </w14:textFill>
              </w:rPr>
            </w:pPr>
          </w:p>
        </w:tc>
        <w:tc>
          <w:tcPr>
            <w:tcW w:w="1276" w:type="dxa"/>
            <w:vMerge w:val="continue"/>
            <w:vAlign w:val="center"/>
          </w:tcPr>
          <w:p>
            <w:pPr>
              <w:pStyle w:val="14"/>
              <w:keepNext w:val="0"/>
              <w:keepLines w:val="0"/>
              <w:suppressLineNumbers w:val="0"/>
              <w:spacing w:before="0" w:beforeAutospacing="0" w:after="0" w:afterAutospacing="0"/>
              <w:ind w:left="0" w:right="0" w:firstLine="420"/>
              <w:jc w:val="center"/>
              <w:rPr>
                <w:rFonts w:hint="default"/>
                <w:b/>
                <w:color w:val="000000" w:themeColor="text1"/>
                <w:sz w:val="21"/>
                <w:szCs w:val="21"/>
                <w14:textFill>
                  <w14:solidFill>
                    <w14:schemeClr w14:val="tx1"/>
                  </w14:solidFill>
                </w14:textFill>
              </w:rPr>
            </w:pPr>
          </w:p>
        </w:tc>
        <w:tc>
          <w:tcPr>
            <w:tcW w:w="1559" w:type="dxa"/>
            <w:vAlign w:val="center"/>
          </w:tcPr>
          <w:p>
            <w:pPr>
              <w:pStyle w:val="14"/>
              <w:keepNext w:val="0"/>
              <w:keepLines w:val="0"/>
              <w:suppressLineNumbers w:val="0"/>
              <w:spacing w:before="0" w:beforeAutospacing="0" w:after="0" w:afterAutospacing="0"/>
              <w:ind w:left="0" w:right="0" w:firstLine="422"/>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报告书</w:t>
            </w:r>
          </w:p>
        </w:tc>
        <w:tc>
          <w:tcPr>
            <w:tcW w:w="1503" w:type="dxa"/>
            <w:vAlign w:val="center"/>
          </w:tcPr>
          <w:p>
            <w:pPr>
              <w:pStyle w:val="14"/>
              <w:keepNext w:val="0"/>
              <w:keepLines w:val="0"/>
              <w:suppressLineNumbers w:val="0"/>
              <w:spacing w:before="0" w:beforeAutospacing="0" w:after="0" w:afterAutospacing="0"/>
              <w:ind w:left="0" w:right="0" w:firstLine="422"/>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报告表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vAlign w:val="center"/>
          </w:tcPr>
          <w:p>
            <w:pPr>
              <w:pStyle w:val="14"/>
              <w:keepNext w:val="0"/>
              <w:keepLines w:val="0"/>
              <w:suppressLineNumbers w:val="0"/>
              <w:spacing w:before="0" w:beforeAutospacing="0" w:after="0" w:afterAutospacing="0"/>
              <w:ind w:left="0" w:right="0" w:firstLine="422"/>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A水利</w:t>
            </w:r>
          </w:p>
        </w:tc>
        <w:tc>
          <w:tcPr>
            <w:tcW w:w="7457" w:type="dxa"/>
            <w:gridSpan w:val="4"/>
            <w:vAlign w:val="center"/>
          </w:tcPr>
          <w:p>
            <w:pPr>
              <w:pStyle w:val="14"/>
              <w:keepNext w:val="0"/>
              <w:keepLines w:val="0"/>
              <w:suppressLineNumbers w:val="0"/>
              <w:spacing w:before="0" w:beforeAutospacing="0" w:after="0" w:afterAutospacing="0"/>
              <w:ind w:left="0" w:right="0" w:firstLine="422"/>
              <w:jc w:val="center"/>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vAlign w:val="center"/>
          </w:tcPr>
          <w:p>
            <w:pPr>
              <w:pStyle w:val="14"/>
              <w:keepNext w:val="0"/>
              <w:keepLines w:val="0"/>
              <w:suppressLineNumbers w:val="0"/>
              <w:spacing w:before="0" w:beforeAutospacing="0" w:after="0" w:afterAutospacing="0"/>
              <w:ind w:left="0" w:right="0" w:firstLine="422"/>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2、灌区工程</w:t>
            </w:r>
          </w:p>
        </w:tc>
        <w:tc>
          <w:tcPr>
            <w:tcW w:w="3119" w:type="dxa"/>
            <w:vAlign w:val="center"/>
          </w:tcPr>
          <w:p>
            <w:pPr>
              <w:pStyle w:val="14"/>
              <w:keepNext w:val="0"/>
              <w:keepLines w:val="0"/>
              <w:suppressLineNumbers w:val="0"/>
              <w:spacing w:before="0" w:beforeAutospacing="0" w:after="0" w:afterAutospacing="0"/>
              <w:ind w:left="0" w:right="0" w:firstLine="422"/>
              <w:jc w:val="center"/>
              <w:rPr>
                <w:rFonts w:hint="default"/>
                <w:color w:val="000000" w:themeColor="text1"/>
                <w:sz w:val="21"/>
                <w:szCs w:val="21"/>
                <w14:textFill>
                  <w14:solidFill>
                    <w14:schemeClr w14:val="tx1"/>
                  </w14:solidFill>
                </w14:textFill>
              </w:rPr>
            </w:pPr>
            <w:r>
              <w:rPr>
                <w:rFonts w:hint="default"/>
                <w:color w:val="000000" w:themeColor="text1"/>
                <w:sz w:val="21"/>
                <w:szCs w:val="21"/>
                <w:lang w:bidi="ar"/>
                <w14:textFill>
                  <w14:solidFill>
                    <w14:schemeClr w14:val="tx1"/>
                  </w14:solidFill>
                </w14:textFill>
              </w:rPr>
              <w:t>新建5万亩及以上；改造30万亩及以上</w:t>
            </w:r>
          </w:p>
        </w:tc>
        <w:tc>
          <w:tcPr>
            <w:tcW w:w="1276" w:type="dxa"/>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1559" w:type="dxa"/>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再生水灌溉工</w:t>
            </w:r>
          </w:p>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程Ⅲ类，其余Ⅳ类</w:t>
            </w:r>
          </w:p>
        </w:tc>
        <w:tc>
          <w:tcPr>
            <w:tcW w:w="1503" w:type="dxa"/>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Ⅳ类</w:t>
            </w:r>
          </w:p>
        </w:tc>
      </w:tr>
    </w:tbl>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环境影响评价技术导则地下水环境》（HJ610-2016）附录A，本项目属于编制报告书的灌区工程，不属于再生水灌溉工程，项目类别属于IV类，地下水环境敏感程度属不敏感，因此可不开展地下水环境影响评价。</w:t>
      </w:r>
    </w:p>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4</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评价</w:t>
      </w:r>
      <w:r>
        <w:rPr>
          <w:rFonts w:hint="eastAsia"/>
          <w:b/>
          <w:bCs/>
          <w:color w:val="000000" w:themeColor="text1"/>
          <w14:textFill>
            <w14:solidFill>
              <w14:schemeClr w14:val="tx1"/>
            </w14:solidFill>
          </w14:textFill>
        </w:rPr>
        <w:t>范围</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根据《环境影响评价技术导则地下水环境》（HJ610-2016），项目不开展地下水环境影响评价，可不设置地下水评价范围。</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57" w:name="_Toc4324"/>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5土壤环境</w:t>
      </w:r>
      <w:bookmarkEnd w:id="157"/>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工程建设内容为成都市环城生态区农田综合整治及农业灌区设施建设项目灌区水利设施建设（二标段）渠道整治，根据《环境影响评价技术导则土壤环境（试行）》（HJ964-2018），项目类别为Ⅲ类。工程区多年平均蒸发量510mm，多年平均降水量950mm，干燥度为1.05；土壤PH值介于6.5~8.0之间，土壤含盐量小于2g/kg，由此判断本工程所在区盐化、酸化、碱化均不敏感。因此，本工程可不开展土壤环境影响评价。</w:t>
      </w:r>
    </w:p>
    <w:p>
      <w:pPr>
        <w:pStyle w:val="76"/>
        <w:jc w:val="center"/>
        <w:rPr>
          <w:rFonts w:ascii="Times New Roman" w:eastAsia="黑体" w:cs="Times New Roman"/>
          <w:color w:val="000000" w:themeColor="text1"/>
          <w:szCs w:val="21"/>
          <w14:textFill>
            <w14:solidFill>
              <w14:schemeClr w14:val="tx1"/>
            </w14:solidFill>
          </w14:textFill>
        </w:rPr>
      </w:pPr>
      <w:r>
        <w:rPr>
          <w:rFonts w:ascii="Times New Roman" w:eastAsia="黑体" w:cs="Times New Roman"/>
          <w:color w:val="000000" w:themeColor="text1"/>
          <w:szCs w:val="21"/>
          <w14:textFill>
            <w14:solidFill>
              <w14:schemeClr w14:val="tx1"/>
            </w14:solidFill>
          </w14:textFill>
        </w:rPr>
        <w:t>表1.5-</w:t>
      </w:r>
      <w:r>
        <w:rPr>
          <w:rFonts w:hint="eastAsia" w:ascii="Times New Roman" w:eastAsia="黑体" w:cs="Times New Roman"/>
          <w:color w:val="000000" w:themeColor="text1"/>
          <w:szCs w:val="21"/>
          <w14:textFill>
            <w14:solidFill>
              <w14:schemeClr w14:val="tx1"/>
            </w14:solidFill>
          </w14:textFill>
        </w:rPr>
        <w:t>4</w:t>
      </w:r>
      <w:r>
        <w:rPr>
          <w:rFonts w:ascii="Times New Roman" w:eastAsia="黑体" w:cs="Times New Roman"/>
          <w:color w:val="000000" w:themeColor="text1"/>
          <w:szCs w:val="21"/>
          <w14:textFill>
            <w14:solidFill>
              <w14:schemeClr w14:val="tx1"/>
            </w14:solidFill>
          </w14:textFill>
        </w:rPr>
        <w:t>生态影响型敏感程度分级表</w:t>
      </w:r>
    </w:p>
    <w:tbl>
      <w:tblPr>
        <w:tblStyle w:val="3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8"/>
        <w:gridCol w:w="3078"/>
        <w:gridCol w:w="1463"/>
        <w:gridCol w:w="1463"/>
        <w:gridCol w:w="15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vMerge w:val="restart"/>
            <w:tcBorders>
              <w:top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敏感程度</w:t>
            </w:r>
          </w:p>
        </w:tc>
        <w:tc>
          <w:tcPr>
            <w:tcW w:w="8165" w:type="dxa"/>
            <w:gridSpan w:val="4"/>
            <w:tcBorders>
              <w:top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判别依据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p>
        </w:tc>
        <w:tc>
          <w:tcPr>
            <w:tcW w:w="3402"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盐化</w:t>
            </w:r>
          </w:p>
        </w:tc>
        <w:tc>
          <w:tcPr>
            <w:tcW w:w="1559"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酸化</w:t>
            </w:r>
          </w:p>
        </w:tc>
        <w:tc>
          <w:tcPr>
            <w:tcW w:w="1559"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碱化</w:t>
            </w:r>
          </w:p>
        </w:tc>
        <w:tc>
          <w:tcPr>
            <w:tcW w:w="1645"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本项目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敏感</w:t>
            </w:r>
          </w:p>
        </w:tc>
        <w:tc>
          <w:tcPr>
            <w:tcW w:w="3402"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建设项目所在地干燥度&gt;2.5，且常年地下水位平均埋深&lt;1.5m的地势平坦区域；或土壤含盐量&gt;4g/kg的区域</w:t>
            </w:r>
          </w:p>
        </w:tc>
        <w:tc>
          <w:tcPr>
            <w:tcW w:w="1559"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pH≤4.5</w:t>
            </w:r>
          </w:p>
        </w:tc>
        <w:tc>
          <w:tcPr>
            <w:tcW w:w="1559"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pH≥9.0</w:t>
            </w:r>
          </w:p>
        </w:tc>
        <w:tc>
          <w:tcPr>
            <w:tcW w:w="1645" w:type="dxa"/>
            <w:vMerge w:val="restar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项目所在地土壤地质构造简单基本上属于黄壤土，pH值呈中性至微碱，非盐化、非酸化、非碱化土地，土壤环境敏感程度属于“不敏感”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较敏感</w:t>
            </w:r>
          </w:p>
        </w:tc>
        <w:tc>
          <w:tcPr>
            <w:tcW w:w="3402"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建设项目所在地干燥度＞2.5且常年地下水位平均深度≥1.5m的，或1.8＜干燥度≤2.5且常年地下水位平均埋深＜1.8m的地势平坦区域；建设项目所在地干燥度＞2.5或常年地下水位平均埋深＜1.5m的平原；或2g/kg＜土壤含盐量≤4g/kg的区域</w:t>
            </w:r>
          </w:p>
        </w:tc>
        <w:tc>
          <w:tcPr>
            <w:tcW w:w="1559"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4.5＜pH＜5.5</w:t>
            </w:r>
          </w:p>
        </w:tc>
        <w:tc>
          <w:tcPr>
            <w:tcW w:w="1559"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8.5＜pH＜9.0</w:t>
            </w:r>
          </w:p>
        </w:tc>
        <w:tc>
          <w:tcPr>
            <w:tcW w:w="1645" w:type="dxa"/>
            <w:vMerge w:val="continue"/>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不敏感</w:t>
            </w:r>
          </w:p>
        </w:tc>
        <w:tc>
          <w:tcPr>
            <w:tcW w:w="3402" w:type="dxa"/>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其他</w:t>
            </w:r>
          </w:p>
        </w:tc>
        <w:tc>
          <w:tcPr>
            <w:tcW w:w="3118" w:type="dxa"/>
            <w:gridSpan w:val="2"/>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5.5＜pH＜8.5</w:t>
            </w:r>
          </w:p>
        </w:tc>
        <w:tc>
          <w:tcPr>
            <w:tcW w:w="1645" w:type="dxa"/>
            <w:vMerge w:val="continue"/>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p>
        </w:tc>
      </w:tr>
    </w:tbl>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根据上述识别结果，本项目为本项目为生态影响型建设项目，属于水利项目，Ⅲ类项目，土壤环境敏感程度为不敏感，综合判定评价等级为“—”，可不开展土壤环境影响评价工作。</w:t>
      </w:r>
    </w:p>
    <w:p>
      <w:pPr>
        <w:pStyle w:val="76"/>
        <w:jc w:val="center"/>
        <w:rPr>
          <w:rFonts w:ascii="Times New Roman" w:cs="Times New Roman"/>
          <w:color w:val="000000" w:themeColor="text1"/>
          <w:sz w:val="32"/>
          <w14:textFill>
            <w14:solidFill>
              <w14:schemeClr w14:val="tx1"/>
            </w14:solidFill>
          </w14:textFill>
        </w:rPr>
      </w:pPr>
      <w:r>
        <w:rPr>
          <w:rFonts w:ascii="Times New Roman" w:eastAsia="黑体" w:cs="Times New Roman"/>
          <w:color w:val="000000" w:themeColor="text1"/>
          <w:szCs w:val="21"/>
          <w14:textFill>
            <w14:solidFill>
              <w14:schemeClr w14:val="tx1"/>
            </w14:solidFill>
          </w14:textFill>
        </w:rPr>
        <w:t>表1.5-</w:t>
      </w:r>
      <w:r>
        <w:rPr>
          <w:rFonts w:hint="eastAsia" w:ascii="Times New Roman" w:eastAsia="黑体" w:cs="Times New Roman"/>
          <w:color w:val="000000" w:themeColor="text1"/>
          <w:szCs w:val="21"/>
          <w14:textFill>
            <w14:solidFill>
              <w14:schemeClr w14:val="tx1"/>
            </w14:solidFill>
          </w14:textFill>
        </w:rPr>
        <w:t>5</w:t>
      </w:r>
      <w:r>
        <w:rPr>
          <w:rFonts w:ascii="Times New Roman" w:eastAsia="黑体" w:cs="Times New Roman"/>
          <w:color w:val="000000" w:themeColor="text1"/>
          <w:szCs w:val="21"/>
          <w14:textFill>
            <w14:solidFill>
              <w14:schemeClr w14:val="tx1"/>
            </w14:solidFill>
          </w14:textFill>
        </w:rPr>
        <w:t>本项目评价工作等级表</w:t>
      </w:r>
    </w:p>
    <w:tbl>
      <w:tblPr>
        <w:tblStyle w:val="3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8"/>
        <w:gridCol w:w="2129"/>
        <w:gridCol w:w="2130"/>
        <w:gridCol w:w="213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Borders>
              <w:top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敏感程度</w:t>
            </w:r>
          </w:p>
        </w:tc>
        <w:tc>
          <w:tcPr>
            <w:tcW w:w="2316" w:type="dxa"/>
            <w:tcBorders>
              <w:top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Ⅰ类</w:t>
            </w:r>
          </w:p>
        </w:tc>
        <w:tc>
          <w:tcPr>
            <w:tcW w:w="2317" w:type="dxa"/>
            <w:tcBorders>
              <w:top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Ⅱ类</w:t>
            </w:r>
          </w:p>
        </w:tc>
        <w:tc>
          <w:tcPr>
            <w:tcW w:w="2317" w:type="dxa"/>
            <w:tcBorders>
              <w:top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14:textFill>
                  <w14:solidFill>
                    <w14:schemeClr w14:val="tx1"/>
                  </w14:solidFill>
                </w14:textFill>
              </w:rPr>
              <w:t>Ⅲ类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敏感</w:t>
            </w:r>
          </w:p>
        </w:tc>
        <w:tc>
          <w:tcPr>
            <w:tcW w:w="2316"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一级</w:t>
            </w:r>
          </w:p>
        </w:tc>
        <w:tc>
          <w:tcPr>
            <w:tcW w:w="2317"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二级</w:t>
            </w:r>
          </w:p>
        </w:tc>
        <w:tc>
          <w:tcPr>
            <w:tcW w:w="2317"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较敏感</w:t>
            </w:r>
          </w:p>
        </w:tc>
        <w:tc>
          <w:tcPr>
            <w:tcW w:w="2316"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一级</w:t>
            </w:r>
          </w:p>
        </w:tc>
        <w:tc>
          <w:tcPr>
            <w:tcW w:w="2317"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二级</w:t>
            </w:r>
          </w:p>
        </w:tc>
        <w:tc>
          <w:tcPr>
            <w:tcW w:w="2317" w:type="dxa"/>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不敏感</w:t>
            </w:r>
          </w:p>
        </w:tc>
        <w:tc>
          <w:tcPr>
            <w:tcW w:w="2316" w:type="dxa"/>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一级</w:t>
            </w:r>
          </w:p>
        </w:tc>
        <w:tc>
          <w:tcPr>
            <w:tcW w:w="2317" w:type="dxa"/>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二级</w:t>
            </w:r>
          </w:p>
        </w:tc>
        <w:tc>
          <w:tcPr>
            <w:tcW w:w="2317" w:type="dxa"/>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w:t>
            </w:r>
          </w:p>
        </w:tc>
      </w:tr>
    </w:tbl>
    <w:p>
      <w:pPr>
        <w:pStyle w:val="76"/>
        <w:spacing w:line="360" w:lineRule="auto"/>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注：“</w:t>
      </w:r>
      <w:r>
        <w:rPr>
          <w:rFonts w:ascii="Times New Roman" w:cs="Times New Roman"/>
          <w:color w:val="000000" w:themeColor="text1"/>
          <w:sz w:val="21"/>
          <w:szCs w:val="21"/>
          <w14:textFill>
            <w14:solidFill>
              <w14:schemeClr w14:val="tx1"/>
            </w14:solidFill>
          </w14:textFill>
        </w:rPr>
        <w:softHyphen/>
      </w:r>
      <w:r>
        <w:rPr>
          <w:rFonts w:ascii="Times New Roman" w:cs="Times New Roman"/>
          <w:color w:val="000000" w:themeColor="text1"/>
          <w:sz w:val="21"/>
          <w:szCs w:val="21"/>
          <w14:textFill>
            <w14:solidFill>
              <w14:schemeClr w14:val="tx1"/>
            </w14:solidFill>
          </w14:textFill>
        </w:rPr>
        <w:t>—”表示可不开展土壤环境影响评价工作。</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58" w:name="_Toc8235"/>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6生态环境</w:t>
      </w:r>
      <w:bookmarkEnd w:id="158"/>
    </w:p>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6.1</w:t>
      </w:r>
      <w:r>
        <w:rPr>
          <w:b/>
          <w:bCs/>
          <w:color w:val="000000" w:themeColor="text1"/>
          <w14:textFill>
            <w14:solidFill>
              <w14:schemeClr w14:val="tx1"/>
            </w14:solidFill>
          </w14:textFill>
        </w:rPr>
        <w:t>评价</w:t>
      </w:r>
      <w:r>
        <w:rPr>
          <w:rFonts w:hint="eastAsia"/>
          <w:b/>
          <w:bCs/>
          <w:color w:val="000000" w:themeColor="text1"/>
          <w14:textFill>
            <w14:solidFill>
              <w14:schemeClr w14:val="tx1"/>
            </w14:solidFill>
          </w14:textFill>
        </w:rPr>
        <w:t>等级</w:t>
      </w:r>
    </w:p>
    <w:p>
      <w:pPr>
        <w:pStyle w:val="14"/>
        <w:spacing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本项目生态影响评价等级依据《环境影响评价技术导则生态影响》（HJ19-2022）中的相关要求进行等级划分。</w:t>
      </w:r>
      <w:r>
        <w:rPr>
          <w:color w:val="000000" w:themeColor="text1"/>
          <w14:textFill>
            <w14:solidFill>
              <w14:schemeClr w14:val="tx1"/>
            </w14:solidFill>
          </w14:textFill>
        </w:rPr>
        <w:t>生态影响评价工作等级划分见下表：</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表1.5-</w:t>
      </w:r>
      <w:r>
        <w:rPr>
          <w:rFonts w:hint="eastAsia" w:eastAsia="黑体"/>
          <w:color w:val="000000" w:themeColor="text1"/>
          <w14:textFill>
            <w14:solidFill>
              <w14:schemeClr w14:val="tx1"/>
            </w14:solidFill>
          </w14:textFill>
        </w:rPr>
        <w:t>6生态影响评价工作等级划分表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3535"/>
        <w:gridCol w:w="2437"/>
        <w:gridCol w:w="1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24" w:type="pct"/>
            <w:gridSpan w:val="2"/>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导则</w:t>
            </w:r>
            <w:r>
              <w:rPr>
                <w:rFonts w:hint="eastAsia"/>
                <w:b/>
                <w:bCs/>
                <w:color w:val="000000" w:themeColor="text1"/>
                <w:sz w:val="21"/>
                <w:szCs w:val="21"/>
                <w14:textFill>
                  <w14:solidFill>
                    <w14:schemeClr w14:val="tx1"/>
                  </w14:solidFill>
                </w14:textFill>
              </w:rPr>
              <w:t>要求</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本项目是否涉及该条款</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本项目评价等级判定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0" w:type="pct"/>
            <w:vMerge w:val="restar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导则条款6.1.2</w:t>
            </w: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a</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涉及国家公园、自然保护区、世界自然遗产、重要生境时，评价等级为一级；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不涉及</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不满足一级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vMerge w:val="continue"/>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b</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涉及自然公园时，评价等级</w:t>
            </w:r>
            <w:r>
              <w:rPr>
                <w:rFonts w:hint="eastAsia"/>
                <w:color w:val="000000" w:themeColor="text1"/>
                <w:sz w:val="21"/>
                <w:szCs w:val="21"/>
                <w14:textFill>
                  <w14:solidFill>
                    <w14:schemeClr w14:val="tx1"/>
                  </w14:solidFill>
                </w14:textFill>
              </w:rPr>
              <w:t>为</w:t>
            </w:r>
            <w:r>
              <w:rPr>
                <w:rFonts w:hint="default"/>
                <w:color w:val="000000" w:themeColor="text1"/>
                <w:sz w:val="21"/>
                <w:szCs w:val="21"/>
                <w14:textFill>
                  <w14:solidFill>
                    <w14:schemeClr w14:val="tx1"/>
                  </w14:solidFill>
                </w14:textFill>
              </w:rPr>
              <w:t>二级；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涉及</w:t>
            </w:r>
            <w:r>
              <w:rPr>
                <w:rFonts w:hint="eastAsia"/>
                <w:b/>
                <w:bCs/>
                <w:color w:val="000000" w:themeColor="text1"/>
                <w:sz w:val="21"/>
                <w:szCs w:val="21"/>
                <w14:textFill>
                  <w14:solidFill>
                    <w14:schemeClr w14:val="tx1"/>
                  </w14:solidFill>
                </w14:textFill>
              </w:rPr>
              <w:t>，本项目部分灌渠位于花果山风景名胜区内，属于自然公园</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评价等级二级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vMerge w:val="continue"/>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c</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涉及生态保护红线时，评价等级不低于二级；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不涉及</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不满足二级及以上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vMerge w:val="continue"/>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d</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根据HJ2.3判定属于水文</w:t>
            </w:r>
            <w:r>
              <w:rPr>
                <w:rFonts w:hint="eastAsia"/>
                <w:color w:val="000000" w:themeColor="text1"/>
                <w:sz w:val="21"/>
                <w:szCs w:val="21"/>
                <w14:textFill>
                  <w14:solidFill>
                    <w14:schemeClr w14:val="tx1"/>
                  </w14:solidFill>
                </w14:textFill>
              </w:rPr>
              <w:t>要素</w:t>
            </w:r>
            <w:r>
              <w:rPr>
                <w:rFonts w:hint="default"/>
                <w:color w:val="000000" w:themeColor="text1"/>
                <w:sz w:val="21"/>
                <w:szCs w:val="21"/>
                <w14:textFill>
                  <w14:solidFill>
                    <w14:schemeClr w14:val="tx1"/>
                  </w14:solidFill>
                </w14:textFill>
              </w:rPr>
              <w:t>影响型且地表水评价等级不低于二级的建设项目，生态影响评价等级不低于二级；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ascii="Times New Roman" w:hAnsi="Times New Roman" w:eastAsia="宋体" w:cs="Times New Roman"/>
                <w:b w:val="0"/>
                <w:bCs w:val="0"/>
                <w:color w:val="000000" w:themeColor="text1"/>
                <w:sz w:val="21"/>
                <w:szCs w:val="21"/>
                <w:lang w:val="en-US" w:eastAsia="zh-CN" w:bidi="ar-SA"/>
                <w14:textFill>
                  <w14:solidFill>
                    <w14:schemeClr w14:val="tx1"/>
                  </w14:solidFill>
                </w14:textFill>
              </w:rPr>
            </w:pPr>
            <w:r>
              <w:rPr>
                <w:rFonts w:hint="eastAsia"/>
                <w:b w:val="0"/>
                <w:bCs w:val="0"/>
                <w:color w:val="000000" w:themeColor="text1"/>
                <w:sz w:val="21"/>
                <w:szCs w:val="21"/>
                <w14:textFill>
                  <w14:solidFill>
                    <w14:schemeClr w14:val="tx1"/>
                  </w14:solidFill>
                </w14:textFill>
              </w:rPr>
              <w:t>本项目地表水评价等级为三级</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ascii="Times New Roman" w:hAnsi="Times New Roman" w:eastAsia="宋体" w:cs="Times New Roman"/>
                <w:b w:val="0"/>
                <w:bCs w:val="0"/>
                <w:color w:val="000000" w:themeColor="text1"/>
                <w:sz w:val="21"/>
                <w:szCs w:val="21"/>
                <w:lang w:val="en-US" w:eastAsia="zh-CN" w:bidi="ar-SA"/>
                <w14:textFill>
                  <w14:solidFill>
                    <w14:schemeClr w14:val="tx1"/>
                  </w14:solidFill>
                </w14:textFill>
              </w:rPr>
            </w:pPr>
            <w:r>
              <w:rPr>
                <w:rFonts w:hint="eastAsia"/>
                <w:b w:val="0"/>
                <w:bCs w:val="0"/>
                <w:color w:val="000000" w:themeColor="text1"/>
                <w:sz w:val="21"/>
                <w:szCs w:val="21"/>
                <w14:textFill>
                  <w14:solidFill>
                    <w14:schemeClr w14:val="tx1"/>
                  </w14:solidFill>
                </w14:textFill>
              </w:rPr>
              <w:t>不满足二级及以上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vMerge w:val="continue"/>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e</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根据HJ610、HJ964判断地下水水位或土壤影响范围内分布有天然林、公益林、湿地等生态保护目标的建设项目，生态影响评价等级不低于二级；</w:t>
            </w:r>
          </w:p>
        </w:tc>
        <w:tc>
          <w:tcPr>
            <w:tcW w:w="1430" w:type="pct"/>
            <w:tcBorders>
              <w:tl2br w:val="nil"/>
              <w:tr2bl w:val="nil"/>
            </w:tcBorders>
            <w:vAlign w:val="center"/>
          </w:tcPr>
          <w:p>
            <w:pPr>
              <w:pStyle w:val="141"/>
              <w:keepNext w:val="0"/>
              <w:keepLines w:val="0"/>
              <w:suppressLineNumbers w:val="0"/>
              <w:spacing w:before="0" w:beforeAutospacing="0" w:after="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项目地下水水位影响范围内</w:t>
            </w:r>
            <w:r>
              <w:rPr>
                <w:rFonts w:hint="eastAsia"/>
                <w:color w:val="000000" w:themeColor="text1"/>
                <w:sz w:val="21"/>
                <w:szCs w:val="21"/>
                <w14:textFill>
                  <w14:solidFill>
                    <w14:schemeClr w14:val="tx1"/>
                  </w14:solidFill>
                </w14:textFill>
              </w:rPr>
              <w:t>未</w:t>
            </w:r>
            <w:r>
              <w:rPr>
                <w:rFonts w:hint="default"/>
                <w:color w:val="000000" w:themeColor="text1"/>
                <w:sz w:val="21"/>
                <w:szCs w:val="21"/>
                <w14:textFill>
                  <w14:solidFill>
                    <w14:schemeClr w14:val="tx1"/>
                  </w14:solidFill>
                </w14:textFill>
              </w:rPr>
              <w:t>分布有天然林、公益林</w:t>
            </w:r>
            <w:r>
              <w:rPr>
                <w:rFonts w:hint="eastAsia"/>
                <w:color w:val="000000" w:themeColor="text1"/>
                <w:sz w:val="21"/>
                <w:szCs w:val="21"/>
                <w14:textFill>
                  <w14:solidFill>
                    <w14:schemeClr w14:val="tx1"/>
                  </w14:solidFill>
                </w14:textFill>
              </w:rPr>
              <w:t>。</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不满足二级及以上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vMerge w:val="continue"/>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f</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当工程占地规模大于20km</w:t>
            </w:r>
            <w:r>
              <w:rPr>
                <w:rFonts w:hint="default"/>
                <w:color w:val="000000" w:themeColor="text1"/>
                <w:sz w:val="21"/>
                <w:szCs w:val="21"/>
                <w:vertAlign w:val="superscript"/>
                <w14:textFill>
                  <w14:solidFill>
                    <w14:schemeClr w14:val="tx1"/>
                  </w14:solidFill>
                </w14:textFill>
              </w:rPr>
              <w:t>2</w:t>
            </w:r>
            <w:r>
              <w:rPr>
                <w:rFonts w:hint="default"/>
                <w:color w:val="000000" w:themeColor="text1"/>
                <w:sz w:val="21"/>
                <w:szCs w:val="21"/>
                <w14:textFill>
                  <w14:solidFill>
                    <w14:schemeClr w14:val="tx1"/>
                  </w14:solidFill>
                </w14:textFill>
              </w:rPr>
              <w:t>时（包括永久和临时占用陆域和水域），评价等级不低于二级；</w:t>
            </w:r>
          </w:p>
        </w:tc>
        <w:tc>
          <w:tcPr>
            <w:tcW w:w="1430" w:type="pct"/>
            <w:tcBorders>
              <w:tl2br w:val="nil"/>
              <w:tr2bl w:val="nil"/>
            </w:tcBorders>
            <w:vAlign w:val="center"/>
          </w:tcPr>
          <w:p>
            <w:pPr>
              <w:pStyle w:val="141"/>
              <w:keepNext w:val="0"/>
              <w:keepLines w:val="0"/>
              <w:suppressLineNumbers w:val="0"/>
              <w:spacing w:before="0" w:beforeAutospacing="0" w:after="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本工程按占地性质分为永久性占地和临时占地，永久占地</w:t>
            </w:r>
            <w:r>
              <w:rPr>
                <w:rFonts w:hint="eastAsia"/>
                <w:color w:val="000000" w:themeColor="text1"/>
                <w:sz w:val="21"/>
                <w:szCs w:val="21"/>
                <w14:textFill>
                  <w14:solidFill>
                    <w14:schemeClr w14:val="tx1"/>
                  </w14:solidFill>
                </w14:textFill>
              </w:rPr>
              <w:t>与</w:t>
            </w:r>
            <w:r>
              <w:rPr>
                <w:rFonts w:hint="default"/>
                <w:color w:val="000000" w:themeColor="text1"/>
                <w:sz w:val="21"/>
                <w:szCs w:val="21"/>
                <w14:textFill>
                  <w14:solidFill>
                    <w14:schemeClr w14:val="tx1"/>
                  </w14:solidFill>
                </w14:textFill>
              </w:rPr>
              <w:t>临时占地面积合计小于20km</w:t>
            </w:r>
            <w:r>
              <w:rPr>
                <w:rFonts w:hint="default"/>
                <w:color w:val="000000" w:themeColor="text1"/>
                <w:sz w:val="21"/>
                <w:szCs w:val="21"/>
                <w:vertAlign w:val="superscript"/>
                <w14:textFill>
                  <w14:solidFill>
                    <w14:schemeClr w14:val="tx1"/>
                  </w14:solidFill>
                </w14:textFill>
              </w:rPr>
              <w:t>2</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不满足二级及以上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vMerge w:val="continue"/>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g</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除本条a)、b)、c)、d)、e)、f</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以外的情况，评价等级为三级；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vMerge w:val="continue"/>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h</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当评价等级判定同时符合上述多种情况时，应采用其中最高的评价等级。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导则条款6.1.3</w:t>
            </w: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建设项目涉及经论证对保护生物多样性具有重要意义的区域时，可适当上调评价等级。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不涉及</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导则条款6.1.4</w:t>
            </w: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建设项目同时涉及陆生、水生生态影响时，可针对陆生生态、水生生态分别判定评价等级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项目同时涉及陆生、水生生态影响</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评价等级均为二级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导则条款6.1.5</w:t>
            </w: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在矿山开采可能导致矿区土地利用类型明显改变，或拦河闸坝建设可能明显改变水文情势等情况下，评价等级应上调一级。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不涉及</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导则条款6.1.6</w:t>
            </w:r>
          </w:p>
        </w:tc>
        <w:tc>
          <w:tcPr>
            <w:tcW w:w="2074"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线性工程可分段确定评价等级。线性工程地下穿越或地表跨越生态敏感区，在生态敏感区范围内无永久、临时占地时，评价等级可下调一级。</w:t>
            </w:r>
          </w:p>
        </w:tc>
        <w:tc>
          <w:tcPr>
            <w:tcW w:w="1430"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项目为线性工程，</w:t>
            </w:r>
            <w:r>
              <w:rPr>
                <w:rFonts w:hint="eastAsia"/>
                <w:b/>
                <w:bCs/>
                <w:color w:val="000000" w:themeColor="text1"/>
                <w:sz w:val="21"/>
                <w:szCs w:val="21"/>
                <w14:textFill>
                  <w14:solidFill>
                    <w14:schemeClr w14:val="tx1"/>
                  </w14:solidFill>
                </w14:textFill>
              </w:rPr>
              <w:t>分段确定评价等级</w:t>
            </w:r>
          </w:p>
        </w:tc>
        <w:tc>
          <w:tcPr>
            <w:tcW w:w="1045" w:type="pct"/>
            <w:tcBorders>
              <w:tl2br w:val="nil"/>
              <w:tr2bl w:val="nil"/>
            </w:tcBorders>
            <w:vAlign w:val="center"/>
          </w:tcPr>
          <w:p>
            <w:pPr>
              <w:pStyle w:val="141"/>
              <w:keepNext w:val="0"/>
              <w:keepLines w:val="0"/>
              <w:suppressLineNumbers w:val="0"/>
              <w:spacing w:before="0" w:beforeAutospacing="0" w:afterAutospacing="0" w:line="240" w:lineRule="auto"/>
              <w:ind w:left="0" w:leftChars="0" w:right="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涉及生态敏感区的渠段采用二级评价，不涉及生态敏感区的渠段采用三级评价</w:t>
            </w:r>
          </w:p>
        </w:tc>
      </w:tr>
    </w:tbl>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不涉及国家公园、自然保护区、世界自然遗产地、重要生境、生态保护红线等生态敏感区；本项目涉及龙泉花果山风景名胜区，属于自然公园，评价等级为二级；根据HJ2.3，本项目属于水文要素影响型且地表水评价等级为三级的建设项目，生态影响评价等级不满足二级及以上相关要求；本项目地下水水位或土壤影响范围内未分布有天然林、公益林、湿地等生态保护目标；本项目工程占地规模小于20k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；本项目同时涉及陆生、水生生态影响，针对陆生生态、水生生态分别判定评价等级；本项目属于线性工程，可分段确定评价等级。</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生态影响采用三级评价等级；不涉及生态敏感区的渠段，即北支一渠、董家堰补水渠（上）、董家堰补水渠（下）三处渠段陆生与水生生态影响评价均采用三级评价等级。</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黑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表1.5-7 生态影响评价等级的划定</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408"/>
        <w:gridCol w:w="1514"/>
        <w:gridCol w:w="39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3"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渠道名称</w:t>
            </w:r>
          </w:p>
        </w:tc>
        <w:tc>
          <w:tcPr>
            <w:tcW w:w="826"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陆生生态影响评价等级</w:t>
            </w:r>
          </w:p>
        </w:tc>
        <w:tc>
          <w:tcPr>
            <w:tcW w:w="888"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水生生态影响评价等级</w:t>
            </w:r>
          </w:p>
        </w:tc>
        <w:tc>
          <w:tcPr>
            <w:tcW w:w="2311"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涉及敏感区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3"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南五支渠</w:t>
            </w:r>
          </w:p>
        </w:tc>
        <w:tc>
          <w:tcPr>
            <w:tcW w:w="826"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888"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2311" w:type="pct"/>
            <w:vMerge w:val="restar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花果山风景名胜区（十陵景区）；不涉及重要水生生境与水生保护物种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3"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南六支渠</w:t>
            </w:r>
          </w:p>
        </w:tc>
        <w:tc>
          <w:tcPr>
            <w:tcW w:w="826"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二级</w:t>
            </w:r>
          </w:p>
        </w:tc>
        <w:tc>
          <w:tcPr>
            <w:tcW w:w="888"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2311" w:type="pct"/>
            <w:vMerge w:val="continue"/>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3"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北支一渠（上）</w:t>
            </w:r>
          </w:p>
        </w:tc>
        <w:tc>
          <w:tcPr>
            <w:tcW w:w="826"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888"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2311"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3"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北支一渠（下）</w:t>
            </w:r>
          </w:p>
        </w:tc>
        <w:tc>
          <w:tcPr>
            <w:tcW w:w="826"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888"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2311"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3"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董家堰补水渠</w:t>
            </w:r>
          </w:p>
        </w:tc>
        <w:tc>
          <w:tcPr>
            <w:tcW w:w="826"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888"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三级</w:t>
            </w:r>
          </w:p>
        </w:tc>
        <w:tc>
          <w:tcPr>
            <w:tcW w:w="2311" w:type="pct"/>
            <w:tcBorders>
              <w:tl2br w:val="nil"/>
              <w:tr2bl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pPr>
        <w:pStyle w:val="14"/>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6</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评价</w:t>
      </w:r>
      <w:r>
        <w:rPr>
          <w:rFonts w:hint="eastAsia"/>
          <w:b/>
          <w:bCs/>
          <w:color w:val="000000" w:themeColor="text1"/>
          <w14:textFill>
            <w14:solidFill>
              <w14:schemeClr w14:val="tx1"/>
            </w14:solidFill>
          </w14:textFill>
        </w:rPr>
        <w:t>范围</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本项目评价范围依据环境影响评价技术导则生态影响》（HJ19-2022）中的相关要求确定评价范围。</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环境影响评价技术导则生态影响》（HJ19-2022）6.2.1，“可综合考虑评价项目与项目区的气候过程、水文过程、生物过程等生物地球化学循环过程的相互作用关系，以评价项目影响区域所涉及的完整气候单元、水文单元、生态单元、地理单元界限为参照边界。”本项目涉及龙泉花果山风景名胜区，故将龙泉花果山风景名胜区全部划入本项目评价范围，</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同时，本项目属于线性工程，根据导则6.2.5，“线性工程穿越生态敏感区时，以线路穿越段向两端外延1km、线路中心线向两侧外延1km为参考评价范围……；穿越非生态敏感区时，以线路中心线向两侧外延300m为参考评价范围。”本项目陆生生态影响评价范围采用南五、南六支渠以线路中心线端点及两侧向外延1km，北支一渠和董家堰补水渠以线路中心线端点及两侧向外延300m为评价范围。本项目水生生态影响评价范围参考地表水环境影响评价范围，由于本项目工程直接干扰的水系为人工渠道，不属于天然水系，人为活动较为剧烈，故本项目水生生态影响评价范围取项目涉及渠道及其下游500m的渠段。此外，本项目临时工程施工工区距离项目工程建设区较远且不涉及生态敏感区，因此同样按照外延</w:t>
      </w:r>
      <w:r>
        <w:rPr>
          <w:color w:val="000000" w:themeColor="text1"/>
          <w:sz w:val="24"/>
          <w:szCs w:val="24"/>
          <w14:textFill>
            <w14:solidFill>
              <w14:schemeClr w14:val="tx1"/>
            </w14:solidFill>
          </w14:textFill>
        </w:rPr>
        <w:t>300m</w:t>
      </w:r>
      <w:r>
        <w:rPr>
          <w:rFonts w:hint="eastAsia"/>
          <w:color w:val="000000" w:themeColor="text1"/>
          <w:sz w:val="24"/>
          <w:szCs w:val="24"/>
          <w14:textFill>
            <w14:solidFill>
              <w14:schemeClr w14:val="tx1"/>
            </w14:solidFill>
          </w14:textFill>
        </w:rPr>
        <w:t>范围建立缓冲区作为临时占地区域的评价范围。</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综上，本项目评价范围示意图如下所示：</w:t>
      </w:r>
    </w:p>
    <w:p>
      <w:pPr>
        <w:adjustRightInd w:val="0"/>
        <w:snapToGrid w:val="0"/>
        <w:spacing w:line="360" w:lineRule="auto"/>
        <w:jc w:val="center"/>
        <w:rPr>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0" distR="0">
            <wp:extent cx="5274310" cy="7555865"/>
            <wp:effectExtent l="0" t="0" r="0" b="0"/>
            <wp:docPr id="1523101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01714"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7555865"/>
                    </a:xfrm>
                    <a:prstGeom prst="rect">
                      <a:avLst/>
                    </a:prstGeom>
                    <a:noFill/>
                    <a:ln>
                      <a:noFill/>
                    </a:ln>
                  </pic:spPr>
                </pic:pic>
              </a:graphicData>
            </a:graphic>
          </wp:inline>
        </w:drawing>
      </w:r>
    </w:p>
    <w:p>
      <w:pPr>
        <w:adjustRightInd w:val="0"/>
        <w:snapToGrid w:val="0"/>
        <w:spacing w:line="360" w:lineRule="auto"/>
        <w:ind w:firstLine="480" w:firstLineChars="200"/>
        <w:jc w:val="center"/>
        <w:rPr>
          <w:rFonts w:eastAsia="黑体"/>
          <w:color w:val="000000" w:themeColor="text1"/>
          <w:sz w:val="24"/>
          <w:szCs w:val="24"/>
          <w14:textFill>
            <w14:solidFill>
              <w14:schemeClr w14:val="tx1"/>
            </w14:solidFill>
          </w14:textFill>
        </w:rPr>
      </w:pPr>
      <w:r>
        <w:rPr>
          <w:rFonts w:hint="eastAsia" w:eastAsia="黑体"/>
          <w:color w:val="000000" w:themeColor="text1"/>
          <w:sz w:val="24"/>
          <w:szCs w:val="24"/>
          <w14:textFill>
            <w14:solidFill>
              <w14:schemeClr w14:val="tx1"/>
            </w14:solidFill>
          </w14:textFill>
        </w:rPr>
        <w:t>图1.5-1本项目评价范围示意图</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59" w:name="_Toc15631"/>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7环境风险</w:t>
      </w:r>
      <w:bookmarkEnd w:id="159"/>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本项目运营期不涉及能耗、物料使用，施工期所需油料等物资即买即用，不在施工场地内暂存。根据《建设项目环境风险评价技术导则》（HJ169-2018），本项目</w:t>
      </w:r>
      <w:r>
        <w:rPr>
          <w:rFonts w:hint="eastAsia"/>
          <w:color w:val="000000" w:themeColor="text1"/>
          <w:sz w:val="24"/>
          <w:szCs w:val="24"/>
          <w:lang w:val="en-US" w:eastAsia="zh-CN"/>
          <w14:textFill>
            <w14:solidFill>
              <w14:schemeClr w14:val="tx1"/>
            </w14:solidFill>
          </w14:textFill>
        </w:rPr>
        <w:t>不</w:t>
      </w:r>
      <w:r>
        <w:rPr>
          <w:rFonts w:hint="eastAsia"/>
          <w:color w:val="000000" w:themeColor="text1"/>
          <w:sz w:val="24"/>
          <w:szCs w:val="24"/>
          <w14:textFill>
            <w14:solidFill>
              <w14:schemeClr w14:val="tx1"/>
            </w14:solidFill>
          </w14:textFill>
        </w:rPr>
        <w:t>涉及油料储存，不构成重大危险源，其风险主要体现为施工期和运行期外界突发性污染源的影响，仅对可能出现的环境风险做简单分析。</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60" w:name="_Toc21539"/>
      <w:r>
        <w:rPr>
          <w:rFonts w:ascii="Times New Roman" w:hAnsi="Times New Roman" w:cs="Times New Roman"/>
          <w:color w:val="000000" w:themeColor="text1"/>
          <w14:textFill>
            <w14:solidFill>
              <w14:schemeClr w14:val="tx1"/>
            </w14:solidFill>
          </w14:textFill>
        </w:rPr>
        <w:t>1.5.</w:t>
      </w:r>
      <w:r>
        <w:rPr>
          <w:rFonts w:hint="eastAsia"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评价工作等级小结</w:t>
      </w:r>
      <w:bookmarkEnd w:id="160"/>
    </w:p>
    <w:p>
      <w:pPr>
        <w:pStyle w:val="14"/>
        <w:adjustRightInd w:val="0"/>
        <w:snapToGrid w:val="0"/>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总结以上各项，给出本建设项目各环境要素环境影响评价工作等级一览表，详见下表。</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表1.5-</w:t>
      </w:r>
      <w:r>
        <w:rPr>
          <w:rFonts w:hint="eastAsia" w:eastAsia="黑体"/>
          <w:color w:val="000000" w:themeColor="text1"/>
          <w:lang w:val="en-US" w:eastAsia="zh-CN"/>
          <w14:textFill>
            <w14:solidFill>
              <w14:schemeClr w14:val="tx1"/>
            </w14:solidFill>
          </w14:textFill>
        </w:rPr>
        <w:t>8</w:t>
      </w:r>
      <w:r>
        <w:rPr>
          <w:rFonts w:eastAsia="黑体"/>
          <w:color w:val="000000" w:themeColor="text1"/>
          <w14:textFill>
            <w14:solidFill>
              <w14:schemeClr w14:val="tx1"/>
            </w14:solidFill>
          </w14:textFill>
        </w:rPr>
        <w:t>评价工作等级汇总表</w:t>
      </w:r>
    </w:p>
    <w:tbl>
      <w:tblPr>
        <w:tblStyle w:val="3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2744"/>
        <w:gridCol w:w="2731"/>
        <w:gridCol w:w="17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环境要素</w:t>
            </w:r>
          </w:p>
        </w:tc>
        <w:tc>
          <w:tcPr>
            <w:tcW w:w="1610" w:type="pct"/>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评价导则</w:t>
            </w:r>
          </w:p>
        </w:tc>
        <w:tc>
          <w:tcPr>
            <w:tcW w:w="1602" w:type="pct"/>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判定依据</w:t>
            </w:r>
          </w:p>
        </w:tc>
        <w:tc>
          <w:tcPr>
            <w:tcW w:w="1038" w:type="pct"/>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评价工作等级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水环境</w:t>
            </w:r>
          </w:p>
        </w:tc>
        <w:tc>
          <w:tcPr>
            <w:tcW w:w="1610"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《环境影响评价技术导则地</w:t>
            </w:r>
            <w:r>
              <w:rPr>
                <w:rFonts w:hint="eastAsia" w:ascii="Times New Roman" w:cs="Times New Roman"/>
                <w:color w:val="000000" w:themeColor="text1"/>
                <w:sz w:val="21"/>
                <w:szCs w:val="21"/>
                <w14:textFill>
                  <w14:solidFill>
                    <w14:schemeClr w14:val="tx1"/>
                  </w14:solidFill>
                </w14:textFill>
              </w:rPr>
              <w:t>表</w:t>
            </w:r>
            <w:r>
              <w:rPr>
                <w:rFonts w:hint="default" w:ascii="Times New Roman" w:cs="Times New Roman"/>
                <w:color w:val="000000" w:themeColor="text1"/>
                <w:sz w:val="21"/>
                <w:szCs w:val="21"/>
                <w14:textFill>
                  <w14:solidFill>
                    <w14:schemeClr w14:val="tx1"/>
                  </w14:solidFill>
                </w14:textFill>
              </w:rPr>
              <w:t>水环境》(HJ2.3-2018）</w:t>
            </w:r>
          </w:p>
        </w:tc>
        <w:tc>
          <w:tcPr>
            <w:tcW w:w="1602"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A2≤0.2</w:t>
            </w: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但</w:t>
            </w:r>
            <w:r>
              <w:rPr>
                <w:rFonts w:hint="default"/>
                <w:color w:val="000000" w:themeColor="text1"/>
                <w:sz w:val="21"/>
                <w:szCs w:val="21"/>
                <w14:textFill>
                  <w14:solidFill>
                    <w14:schemeClr w14:val="tx1"/>
                  </w14:solidFill>
                </w14:textFill>
              </w:rPr>
              <w:t>项目</w:t>
            </w:r>
            <w:r>
              <w:rPr>
                <w:rFonts w:hint="eastAsia"/>
                <w:color w:val="000000" w:themeColor="text1"/>
                <w:sz w:val="21"/>
                <w:szCs w:val="21"/>
                <w14:textFill>
                  <w14:solidFill>
                    <w14:schemeClr w14:val="tx1"/>
                  </w14:solidFill>
                </w14:textFill>
              </w:rPr>
              <w:t>饮用水水源保护区</w:t>
            </w:r>
          </w:p>
        </w:tc>
        <w:tc>
          <w:tcPr>
            <w:tcW w:w="103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三</w:t>
            </w:r>
            <w:r>
              <w:rPr>
                <w:rFonts w:hint="default"/>
                <w:color w:val="000000" w:themeColor="text1"/>
                <w:sz w:val="21"/>
                <w:szCs w:val="21"/>
                <w14:textFill>
                  <w14:solidFill>
                    <w14:schemeClr w14:val="tx1"/>
                  </w14:solidFill>
                </w14:textFill>
              </w:rPr>
              <w:t>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地下水</w:t>
            </w:r>
          </w:p>
        </w:tc>
        <w:tc>
          <w:tcPr>
            <w:tcW w:w="1610"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《环境影响评价技术导则地下水环境》（HJ610-2016）</w:t>
            </w:r>
          </w:p>
        </w:tc>
        <w:tc>
          <w:tcPr>
            <w:tcW w:w="1602"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kern w:val="2"/>
                <w:sz w:val="21"/>
                <w:szCs w:val="21"/>
                <w14:textFill>
                  <w14:solidFill>
                    <w14:schemeClr w14:val="tx1"/>
                  </w14:solidFill>
                </w14:textFill>
              </w:rPr>
              <w:t>Ⅳ</w:t>
            </w:r>
            <w:r>
              <w:rPr>
                <w:rFonts w:hint="default" w:ascii="Times New Roman" w:cs="Times New Roman"/>
                <w:color w:val="000000" w:themeColor="text1"/>
                <w:sz w:val="21"/>
                <w:szCs w:val="21"/>
                <w14:textFill>
                  <w14:solidFill>
                    <w14:schemeClr w14:val="tx1"/>
                  </w14:solidFill>
                </w14:textFill>
              </w:rPr>
              <w:t>类建设项目，项目所在地地下水环境敏感程度为不敏感。</w:t>
            </w:r>
          </w:p>
        </w:tc>
        <w:tc>
          <w:tcPr>
            <w:tcW w:w="103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可不开展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大气环境</w:t>
            </w:r>
          </w:p>
        </w:tc>
        <w:tc>
          <w:tcPr>
            <w:tcW w:w="1610"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《环境影响评价技术导则大气环境》(HJ2.2-2018)</w:t>
            </w:r>
          </w:p>
        </w:tc>
        <w:tc>
          <w:tcPr>
            <w:tcW w:w="1602"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仅施工期产生扬尘污泥恶臭和机械尾气，营运期无废气产生</w:t>
            </w:r>
          </w:p>
        </w:tc>
        <w:tc>
          <w:tcPr>
            <w:tcW w:w="103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声环境</w:t>
            </w:r>
          </w:p>
        </w:tc>
        <w:tc>
          <w:tcPr>
            <w:tcW w:w="1610"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《环境影响评价技术导则声环境》（HJ2.4-2009）</w:t>
            </w:r>
          </w:p>
        </w:tc>
        <w:tc>
          <w:tcPr>
            <w:tcW w:w="1602"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项目所处声环境功能区为2类区。项目建设前后评价范围内敏感目标噪声级基本无变化。</w:t>
            </w:r>
          </w:p>
        </w:tc>
        <w:tc>
          <w:tcPr>
            <w:tcW w:w="103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二级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土壤环境</w:t>
            </w:r>
          </w:p>
        </w:tc>
        <w:tc>
          <w:tcPr>
            <w:tcW w:w="1610"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《环境影响评价技术导则－土壤环境（施行）》(HJ964-2018)</w:t>
            </w:r>
          </w:p>
        </w:tc>
        <w:tc>
          <w:tcPr>
            <w:tcW w:w="1602"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不敏感土壤类型，Ⅲ类项目</w:t>
            </w:r>
          </w:p>
        </w:tc>
        <w:tc>
          <w:tcPr>
            <w:tcW w:w="103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可不开展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restar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生态环境</w:t>
            </w:r>
          </w:p>
        </w:tc>
        <w:tc>
          <w:tcPr>
            <w:tcW w:w="1610" w:type="pct"/>
            <w:vMerge w:val="restar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《环境影响评价技术导则－生态影响》(HJ19-2011)</w:t>
            </w:r>
          </w:p>
        </w:tc>
        <w:tc>
          <w:tcPr>
            <w:tcW w:w="1602"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涉及</w:t>
            </w:r>
            <w:r>
              <w:rPr>
                <w:rFonts w:hint="eastAsia"/>
                <w:color w:val="000000" w:themeColor="text1"/>
                <w:sz w:val="21"/>
                <w:szCs w:val="21"/>
                <w14:textFill>
                  <w14:solidFill>
                    <w14:schemeClr w14:val="tx1"/>
                  </w14:solidFill>
                </w14:textFill>
              </w:rPr>
              <w:t>生态敏感区（风景名胜区）</w:t>
            </w:r>
          </w:p>
        </w:tc>
        <w:tc>
          <w:tcPr>
            <w:tcW w:w="103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1610" w:type="pct"/>
            <w:vMerge w:val="continue"/>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p>
        </w:tc>
        <w:tc>
          <w:tcPr>
            <w:tcW w:w="1602"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不</w:t>
            </w:r>
            <w:r>
              <w:rPr>
                <w:rFonts w:hint="default"/>
                <w:color w:val="000000" w:themeColor="text1"/>
                <w:sz w:val="21"/>
                <w:szCs w:val="21"/>
                <w14:textFill>
                  <w14:solidFill>
                    <w14:schemeClr w14:val="tx1"/>
                  </w14:solidFill>
                </w14:textFill>
              </w:rPr>
              <w:t>涉及</w:t>
            </w:r>
            <w:r>
              <w:rPr>
                <w:rFonts w:hint="eastAsia"/>
                <w:color w:val="000000" w:themeColor="text1"/>
                <w:sz w:val="21"/>
                <w:szCs w:val="21"/>
                <w14:textFill>
                  <w14:solidFill>
                    <w14:schemeClr w14:val="tx1"/>
                  </w14:solidFill>
                </w14:textFill>
              </w:rPr>
              <w:t>生态敏感区</w:t>
            </w:r>
          </w:p>
        </w:tc>
        <w:tc>
          <w:tcPr>
            <w:tcW w:w="1038" w:type="pct"/>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w:t>
            </w:r>
          </w:p>
        </w:tc>
        <w:tc>
          <w:tcPr>
            <w:tcW w:w="1610" w:type="pct"/>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《建设项目环境风险评价技术导则》（HJ169-2018）</w:t>
            </w:r>
          </w:p>
        </w:tc>
        <w:tc>
          <w:tcPr>
            <w:tcW w:w="1602" w:type="pct"/>
            <w:tcBorders>
              <w:bottom w:val="single" w:color="auto" w:sz="12" w:space="0"/>
            </w:tcBorders>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本项目其本身不存在物质危险性和潜在性危险源。</w:t>
            </w:r>
          </w:p>
        </w:tc>
        <w:tc>
          <w:tcPr>
            <w:tcW w:w="1038" w:type="pct"/>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简单分析</w:t>
            </w:r>
          </w:p>
        </w:tc>
      </w:tr>
    </w:tbl>
    <w:p>
      <w:pPr>
        <w:pStyle w:val="3"/>
        <w:spacing w:line="360" w:lineRule="auto"/>
        <w:ind w:left="0" w:firstLine="640"/>
        <w:rPr>
          <w:rFonts w:eastAsia="黑体"/>
          <w:color w:val="000000" w:themeColor="text1"/>
          <w14:textFill>
            <w14:solidFill>
              <w14:schemeClr w14:val="tx1"/>
            </w14:solidFill>
          </w14:textFill>
        </w:rPr>
      </w:pPr>
      <w:bookmarkStart w:id="161" w:name="_Toc25370"/>
      <w:bookmarkStart w:id="162" w:name="_Toc17492"/>
      <w:bookmarkStart w:id="163" w:name="_Toc20170"/>
      <w:bookmarkStart w:id="164" w:name="_Toc12069"/>
      <w:bookmarkStart w:id="165" w:name="_Toc70496228"/>
      <w:bookmarkStart w:id="166" w:name="_Toc23384"/>
      <w:r>
        <w:rPr>
          <w:rFonts w:eastAsia="黑体"/>
          <w:color w:val="000000" w:themeColor="text1"/>
          <w14:textFill>
            <w14:solidFill>
              <w14:schemeClr w14:val="tx1"/>
            </w14:solidFill>
          </w14:textFill>
        </w:rPr>
        <w:t>1.6评价时段</w:t>
      </w:r>
      <w:bookmarkEnd w:id="161"/>
      <w:bookmarkEnd w:id="162"/>
      <w:bookmarkEnd w:id="163"/>
      <w:bookmarkEnd w:id="164"/>
      <w:bookmarkEnd w:id="165"/>
      <w:r>
        <w:rPr>
          <w:rFonts w:hint="eastAsia" w:eastAsia="黑体"/>
          <w:color w:val="000000" w:themeColor="text1"/>
          <w14:textFill>
            <w14:solidFill>
              <w14:schemeClr w14:val="tx1"/>
            </w14:solidFill>
          </w14:textFill>
        </w:rPr>
        <w:t>及评价重点</w:t>
      </w:r>
      <w:bookmarkEnd w:id="166"/>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67" w:name="_Toc70496229"/>
      <w:bookmarkStart w:id="168" w:name="_Toc14335"/>
      <w:bookmarkStart w:id="169" w:name="_Toc21563"/>
      <w:bookmarkStart w:id="170" w:name="_Toc21603"/>
      <w:bookmarkStart w:id="171" w:name="_Toc23300"/>
      <w:bookmarkStart w:id="172" w:name="_Toc24750"/>
      <w:r>
        <w:rPr>
          <w:rFonts w:ascii="Times New Roman" w:hAnsi="Times New Roman" w:cs="Times New Roman"/>
          <w:color w:val="000000" w:themeColor="text1"/>
          <w14:textFill>
            <w14:solidFill>
              <w14:schemeClr w14:val="tx1"/>
            </w14:solidFill>
          </w14:textFill>
        </w:rPr>
        <w:t>1.6.1评价</w:t>
      </w:r>
      <w:bookmarkEnd w:id="167"/>
      <w:bookmarkEnd w:id="168"/>
      <w:bookmarkEnd w:id="169"/>
      <w:bookmarkEnd w:id="170"/>
      <w:bookmarkEnd w:id="171"/>
      <w:r>
        <w:rPr>
          <w:rFonts w:hint="eastAsia" w:ascii="Times New Roman" w:hAnsi="Times New Roman" w:cs="Times New Roman"/>
          <w:color w:val="000000" w:themeColor="text1"/>
          <w14:textFill>
            <w14:solidFill>
              <w14:schemeClr w14:val="tx1"/>
            </w14:solidFill>
          </w14:textFill>
        </w:rPr>
        <w:t>时段</w:t>
      </w:r>
      <w:bookmarkEnd w:id="172"/>
    </w:p>
    <w:p>
      <w:pPr>
        <w:pStyle w:val="14"/>
        <w:spacing w:line="360" w:lineRule="auto"/>
        <w:ind w:firstLine="480" w:firstLineChars="200"/>
        <w:jc w:val="both"/>
        <w:rPr>
          <w:color w:val="000000" w:themeColor="text1"/>
          <w14:textFill>
            <w14:solidFill>
              <w14:schemeClr w14:val="tx1"/>
            </w14:solidFill>
          </w14:textFill>
        </w:rPr>
      </w:pPr>
      <w:bookmarkStart w:id="173" w:name="_Toc26098"/>
      <w:bookmarkStart w:id="174" w:name="_Toc8427"/>
      <w:bookmarkStart w:id="175" w:name="_Toc8796"/>
      <w:r>
        <w:rPr>
          <w:rFonts w:hint="eastAsia"/>
          <w:color w:val="000000" w:themeColor="text1"/>
          <w14:textFill>
            <w14:solidFill>
              <w14:schemeClr w14:val="tx1"/>
            </w14:solidFill>
          </w14:textFill>
        </w:rPr>
        <w:t>根据渠道整治工程的特点，分施工期和运行期两个时段进行评价。</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76" w:name="_Toc11802"/>
      <w:r>
        <w:rPr>
          <w:rFonts w:ascii="Times New Roman" w:hAnsi="Times New Roman" w:cs="Times New Roman"/>
          <w:color w:val="000000" w:themeColor="text1"/>
          <w14:textFill>
            <w14:solidFill>
              <w14:schemeClr w14:val="tx1"/>
            </w14:solidFill>
          </w14:textFill>
        </w:rPr>
        <w:t>1.6.</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评价</w:t>
      </w:r>
      <w:r>
        <w:rPr>
          <w:rFonts w:hint="eastAsia" w:ascii="Times New Roman" w:hAnsi="Times New Roman" w:cs="Times New Roman"/>
          <w:color w:val="000000" w:themeColor="text1"/>
          <w14:textFill>
            <w14:solidFill>
              <w14:schemeClr w14:val="tx1"/>
            </w14:solidFill>
          </w14:textFill>
        </w:rPr>
        <w:t>重点</w:t>
      </w:r>
      <w:bookmarkEnd w:id="176"/>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本工程为生态影响类项目，工程建设主要内容为灌区内灌溉渠道的改造，根据工程建设方案及环境影响的特点，确定本工程的环境影响评价重点为水文情势、水环境</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饮用水源保护区</w:t>
      </w:r>
      <w:r>
        <w:rPr>
          <w:rFonts w:hint="eastAsia"/>
          <w:color w:val="000000" w:themeColor="text1"/>
          <w:sz w:val="24"/>
          <w:szCs w:val="24"/>
          <w14:textFill>
            <w14:solidFill>
              <w14:schemeClr w14:val="tx1"/>
            </w14:solidFill>
          </w14:textFill>
        </w:rPr>
        <w:t>和生态环境。</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（1）水文情势</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本项目仅在原有渠道上进行改造、修复，不改变原有渠道线路走向和灌溉面积，施工期采用围堰拦截的方式进行干地施工，对项目区域内水文情势影响会产生一定影响。</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（2）水环境</w:t>
      </w:r>
    </w:p>
    <w:p>
      <w:pPr>
        <w:adjustRightInd w:val="0"/>
        <w:snapToGrid w:val="0"/>
        <w:spacing w:line="360" w:lineRule="auto"/>
        <w:ind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本项目施工期会产生的各类污水，主要包括施工人员产生的生活污水及工程施工废水；生活污水依</w:t>
      </w:r>
      <w:r>
        <w:rPr>
          <w:rFonts w:hint="eastAsia" w:cs="宋体"/>
          <w:color w:val="000000" w:themeColor="text1"/>
          <w:sz w:val="24"/>
          <w14:textFill>
            <w14:solidFill>
              <w14:schemeClr w14:val="tx1"/>
            </w14:solidFill>
          </w14:textFill>
        </w:rPr>
        <w:t>托周边租用居民污水处理设施处理</w:t>
      </w:r>
      <w:r>
        <w:rPr>
          <w:rFonts w:hint="eastAsia" w:cs="宋体"/>
          <w:color w:val="000000" w:themeColor="text1"/>
          <w:sz w:val="24"/>
          <w:lang w:val="en-US" w:eastAsia="zh-CN"/>
          <w14:textFill>
            <w14:solidFill>
              <w14:schemeClr w14:val="tx1"/>
            </w14:solidFill>
          </w14:textFill>
        </w:rPr>
        <w:t>后进入污水处理厂，经处理后外排</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施工废水不外排；运营期不会产</w:t>
      </w:r>
      <w:r>
        <w:rPr>
          <w:rFonts w:hint="eastAsia"/>
          <w:color w:val="000000" w:themeColor="text1"/>
          <w:sz w:val="24"/>
          <w:szCs w:val="24"/>
          <w14:textFill>
            <w14:solidFill>
              <w14:schemeClr w14:val="tx1"/>
            </w14:solidFill>
          </w14:textFill>
        </w:rPr>
        <w:t>生废水。因此，项目对区域水环境影响较小。</w:t>
      </w:r>
    </w:p>
    <w:p>
      <w:pPr>
        <w:adjustRightInd w:val="0"/>
        <w:snapToGrid w:val="0"/>
        <w:spacing w:line="360" w:lineRule="auto"/>
        <w:ind w:firstLine="480" w:firstLineChars="200"/>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饮用水源保护区</w:t>
      </w:r>
    </w:p>
    <w:p>
      <w:pPr>
        <w:adjustRightInd w:val="0"/>
        <w:snapToGrid w:val="0"/>
        <w:spacing w:line="360" w:lineRule="auto"/>
        <w:ind w:firstLine="480" w:firstLineChars="200"/>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项目南五、南六起点涉及</w:t>
      </w:r>
      <w:r>
        <w:rPr>
          <w:rFonts w:hint="eastAsia"/>
          <w:color w:val="000000" w:themeColor="text1"/>
          <w:sz w:val="24"/>
          <w:szCs w:val="24"/>
          <w14:textFill>
            <w14:solidFill>
              <w14:schemeClr w14:val="tx1"/>
            </w14:solidFill>
          </w14:textFill>
        </w:rPr>
        <w:t>成都市龙泉驿区东风渠、东干渠麻石桥集中式饮用水水源地</w:t>
      </w:r>
      <w:r>
        <w:rPr>
          <w:rFonts w:hint="eastAsia"/>
          <w:color w:val="000000" w:themeColor="text1"/>
          <w:sz w:val="24"/>
          <w:szCs w:val="24"/>
          <w:lang w:val="en-US" w:eastAsia="zh-CN"/>
          <w14:textFill>
            <w14:solidFill>
              <w14:schemeClr w14:val="tx1"/>
            </w14:solidFill>
          </w14:textFill>
        </w:rPr>
        <w:t>准保护区（陆域）范围。根据建设内容，主要在准保护区陆域范围内进行衬砌、清淤等活动，施工期间施工废水、固废不在保护区内排放，项目位于东风渠下游，对准保护区内水环境不会造成影响；施工占地对准保护区内陆生生态会造成一定影响。</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4</w:t>
      </w:r>
      <w:r>
        <w:rPr>
          <w:rFonts w:hint="eastAsia"/>
          <w:color w:val="000000" w:themeColor="text1"/>
          <w:sz w:val="24"/>
          <w:szCs w:val="24"/>
          <w14:textFill>
            <w14:solidFill>
              <w14:schemeClr w14:val="tx1"/>
            </w14:solidFill>
          </w14:textFill>
        </w:rPr>
        <w:t>）生态环境</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根据项目资料，本工程建设工程永久征地</w:t>
      </w:r>
      <w:r>
        <w:rPr>
          <w:rFonts w:hint="eastAsia"/>
          <w:color w:val="000000" w:themeColor="text1"/>
          <w:sz w:val="24"/>
          <w:szCs w:val="24"/>
          <w:lang w:val="en-US" w:eastAsia="zh-CN"/>
          <w14:textFill>
            <w14:solidFill>
              <w14:schemeClr w14:val="tx1"/>
            </w14:solidFill>
          </w14:textFill>
        </w:rPr>
        <w:t>5.66</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，其中耕地</w:t>
      </w:r>
      <w:r>
        <w:rPr>
          <w:rFonts w:hint="eastAsia"/>
          <w:color w:val="000000" w:themeColor="text1"/>
          <w:sz w:val="24"/>
          <w:szCs w:val="24"/>
          <w:lang w:eastAsia="zh-CN"/>
          <w14:textFill>
            <w14:solidFill>
              <w14:schemeClr w14:val="tx1"/>
            </w14:solidFill>
          </w14:textFill>
        </w:rPr>
        <w:t>0.15</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，林</w:t>
      </w:r>
      <w:r>
        <w:rPr>
          <w:rFonts w:hint="eastAsia"/>
          <w:color w:val="000000" w:themeColor="text1"/>
          <w:sz w:val="24"/>
          <w:szCs w:val="24"/>
          <w:lang w:val="en-US" w:eastAsia="zh-CN"/>
          <w14:textFill>
            <w14:solidFill>
              <w14:schemeClr w14:val="tx1"/>
            </w14:solidFill>
          </w14:textFill>
        </w:rPr>
        <w:t>0.33</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，水域及水利设施用地</w:t>
      </w:r>
      <w:r>
        <w:rPr>
          <w:rFonts w:hint="eastAsia"/>
          <w:color w:val="000000" w:themeColor="text1"/>
          <w:sz w:val="24"/>
          <w:szCs w:val="24"/>
          <w:lang w:val="en-US" w:eastAsia="zh-CN"/>
          <w14:textFill>
            <w14:solidFill>
              <w14:schemeClr w14:val="tx1"/>
            </w14:solidFill>
          </w14:textFill>
        </w:rPr>
        <w:t>5.18</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；施工临时占地</w:t>
      </w:r>
      <w:r>
        <w:rPr>
          <w:rFonts w:hint="eastAsia"/>
          <w:color w:val="000000" w:themeColor="text1"/>
          <w:sz w:val="24"/>
          <w:szCs w:val="24"/>
          <w:lang w:val="en-US" w:eastAsia="zh-CN"/>
          <w14:textFill>
            <w14:solidFill>
              <w14:schemeClr w14:val="tx1"/>
            </w14:solidFill>
          </w14:textFill>
        </w:rPr>
        <w:t>3.25</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，其中耕地</w:t>
      </w:r>
      <w:r>
        <w:rPr>
          <w:rFonts w:hint="eastAsia"/>
          <w:color w:val="000000" w:themeColor="text1"/>
          <w:sz w:val="24"/>
          <w:szCs w:val="24"/>
          <w:lang w:val="en-US" w:eastAsia="zh-CN"/>
          <w14:textFill>
            <w14:solidFill>
              <w14:schemeClr w14:val="tx1"/>
            </w14:solidFill>
          </w14:textFill>
        </w:rPr>
        <w:t>1.6</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，林地</w:t>
      </w:r>
      <w:r>
        <w:rPr>
          <w:rFonts w:hint="eastAsia"/>
          <w:color w:val="000000" w:themeColor="text1"/>
          <w:sz w:val="24"/>
          <w:szCs w:val="24"/>
          <w:lang w:val="en-US" w:eastAsia="zh-CN"/>
          <w14:textFill>
            <w14:solidFill>
              <w14:schemeClr w14:val="tx1"/>
            </w14:solidFill>
          </w14:textFill>
        </w:rPr>
        <w:t>0.76</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建设</w:t>
      </w:r>
      <w:r>
        <w:rPr>
          <w:rFonts w:hint="eastAsia"/>
          <w:color w:val="000000" w:themeColor="text1"/>
          <w:sz w:val="24"/>
          <w:szCs w:val="24"/>
          <w14:textFill>
            <w14:solidFill>
              <w14:schemeClr w14:val="tx1"/>
            </w14:solidFill>
          </w14:textFill>
        </w:rPr>
        <w:t>用地</w:t>
      </w:r>
      <w:r>
        <w:rPr>
          <w:rFonts w:hint="eastAsia"/>
          <w:color w:val="000000" w:themeColor="text1"/>
          <w:sz w:val="24"/>
          <w:szCs w:val="24"/>
          <w:lang w:val="en-US" w:eastAsia="zh-CN"/>
          <w14:textFill>
            <w14:solidFill>
              <w14:schemeClr w14:val="tx1"/>
            </w14:solidFill>
          </w14:textFill>
        </w:rPr>
        <w:t>0.73</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其他农</w:t>
      </w:r>
      <w:r>
        <w:rPr>
          <w:rFonts w:hint="eastAsia"/>
          <w:color w:val="000000" w:themeColor="text1"/>
          <w:sz w:val="24"/>
          <w:szCs w:val="24"/>
          <w14:textFill>
            <w14:solidFill>
              <w14:schemeClr w14:val="tx1"/>
            </w14:solidFill>
          </w14:textFill>
        </w:rPr>
        <w:t>用地</w:t>
      </w:r>
      <w:r>
        <w:rPr>
          <w:rFonts w:hint="eastAsia"/>
          <w:color w:val="000000" w:themeColor="text1"/>
          <w:sz w:val="24"/>
          <w:szCs w:val="24"/>
          <w:lang w:val="en-US" w:eastAsia="zh-CN"/>
          <w14:textFill>
            <w14:solidFill>
              <w14:schemeClr w14:val="tx1"/>
            </w14:solidFill>
          </w14:textFill>
        </w:rPr>
        <w:t>0.15</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占地主要以耕地、林地、水域及水利设施用地为主，工程建设将在一定程度上改变区域的土地利用格局，对评价区陆生生态产生一定的影响。工程对渠道进行整治，涉及区域内河流水文、水质变化等可能对水生生态产生一定的影响。同时，本工程南五支渠和南六支渠位于龙泉花果山风景名胜区内，施工期及运行期可能对敏感区的生态环境及动植物产生一定的影响。因此，生态环境影响为本次评价的重点之一。</w:t>
      </w:r>
    </w:p>
    <w:p>
      <w:pPr>
        <w:adjustRightInd w:val="0"/>
        <w:snapToGrid w:val="0"/>
        <w:spacing w:line="360" w:lineRule="auto"/>
        <w:ind w:firstLine="480" w:firstLineChars="200"/>
        <w:rPr>
          <w:color w:val="000000" w:themeColor="text1"/>
          <w:sz w:val="24"/>
          <w:szCs w:val="24"/>
          <w14:textFill>
            <w14:solidFill>
              <w14:schemeClr w14:val="tx1"/>
            </w14:solidFill>
          </w14:textFill>
        </w:rPr>
      </w:pPr>
      <w:bookmarkStart w:id="177" w:name="br1_40"/>
      <w:bookmarkEnd w:id="177"/>
      <w:bookmarkStart w:id="178" w:name="br1_39"/>
      <w:bookmarkEnd w:id="178"/>
      <w:r>
        <w:rPr>
          <w:rFonts w:hint="eastAsia"/>
          <w:color w:val="000000" w:themeColor="text1"/>
          <w:sz w:val="24"/>
          <w:szCs w:val="24"/>
          <w14:textFill>
            <w14:solidFill>
              <w14:schemeClr w14:val="tx1"/>
            </w14:solidFill>
          </w14:textFill>
        </w:rPr>
        <w:t>陆生生态重点评价评价区生物多样性影响、区域生态系统（包括景观生态格局）的阻抗性、完整性等的影响。</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水生生态影响重点评价工程施工期和运营期对水生生物物种资源、生境、种群结构、生物多样性、水生态结构及功能完整性等影响，提出保护和管理措施，减缓工程造成的不利影响。</w:t>
      </w:r>
    </w:p>
    <w:bookmarkEnd w:id="173"/>
    <w:bookmarkEnd w:id="174"/>
    <w:bookmarkEnd w:id="175"/>
    <w:p>
      <w:pPr>
        <w:pStyle w:val="3"/>
        <w:spacing w:line="360" w:lineRule="auto"/>
        <w:ind w:left="0" w:firstLine="640"/>
        <w:rPr>
          <w:rFonts w:eastAsia="黑体"/>
          <w:color w:val="000000" w:themeColor="text1"/>
          <w14:textFill>
            <w14:solidFill>
              <w14:schemeClr w14:val="tx1"/>
            </w14:solidFill>
          </w14:textFill>
        </w:rPr>
      </w:pPr>
      <w:bookmarkStart w:id="179" w:name="_Toc70496230"/>
      <w:bookmarkStart w:id="180" w:name="_Toc23722"/>
      <w:bookmarkStart w:id="181" w:name="_Toc7077"/>
      <w:bookmarkStart w:id="182" w:name="_Toc29368"/>
      <w:bookmarkStart w:id="183" w:name="_Toc32592"/>
      <w:bookmarkStart w:id="184" w:name="_Toc26842"/>
      <w:r>
        <w:rPr>
          <w:rFonts w:eastAsia="黑体"/>
          <w:color w:val="000000" w:themeColor="text1"/>
          <w14:textFill>
            <w14:solidFill>
              <w14:schemeClr w14:val="tx1"/>
            </w14:solidFill>
          </w14:textFill>
        </w:rPr>
        <w:t>1.7产业政策符合性分析</w:t>
      </w:r>
      <w:bookmarkEnd w:id="179"/>
      <w:bookmarkEnd w:id="180"/>
      <w:bookmarkEnd w:id="181"/>
      <w:bookmarkEnd w:id="182"/>
      <w:bookmarkEnd w:id="183"/>
      <w:bookmarkEnd w:id="184"/>
    </w:p>
    <w:p>
      <w:pPr>
        <w:pStyle w:val="14"/>
        <w:spacing w:line="360" w:lineRule="auto"/>
        <w:ind w:firstLine="480" w:firstLineChars="200"/>
        <w:jc w:val="both"/>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根据《产业结构调整指导目</w:t>
      </w:r>
      <w:r>
        <w:rPr>
          <w:color w:val="000000" w:themeColor="text1"/>
          <w14:textFill>
            <w14:solidFill>
              <w14:schemeClr w14:val="tx1"/>
            </w14:solidFill>
          </w14:textFill>
        </w:rPr>
        <w:t>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年本</w:t>
      </w:r>
      <w:r>
        <w:rPr>
          <w:rFonts w:hint="eastAsia" w:ascii="宋体" w:hAnsi="宋体" w:cs="宋体"/>
          <w:color w:val="000000" w:themeColor="text1"/>
          <w14:textFill>
            <w14:solidFill>
              <w14:schemeClr w14:val="tx1"/>
            </w14:solidFill>
          </w14:textFill>
        </w:rPr>
        <w:t>）》，本项目属于“鼓励类”中第二条水利“</w:t>
      </w:r>
      <w:r>
        <w:rPr>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节水供水工程：农村供水工程，灌区及配套设施建设、改造，高效输配水、节水灌溉技术推广应用，灌溉排水泵站更新改造工程，合同节水管理，节水改造工程，节水工艺、技术和装备推广应用，城镇用水单位智慧节水系统开发与应用，非常规水源开发利用。”</w:t>
      </w:r>
      <w:r>
        <w:rPr>
          <w:color w:val="000000" w:themeColor="text1"/>
          <w14:textFill>
            <w14:solidFill>
              <w14:schemeClr w14:val="tx1"/>
            </w14:solidFill>
          </w14:textFill>
        </w:rPr>
        <w:t>故属于鼓励类。</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同时，项目已于2024年2月8日取得成都市水务局下发的《关于环城生态区农田综合整治及农业灌区设施建设项目灌区水利设施建设（二标段）实施方案（一期）的批复》（成水务函[2024]68号），同意本项目建设。</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综上所述，本项目符合国家现行产业政策要求。</w:t>
      </w:r>
    </w:p>
    <w:p>
      <w:pPr>
        <w:pStyle w:val="3"/>
        <w:spacing w:line="360" w:lineRule="auto"/>
        <w:ind w:left="0" w:firstLine="640"/>
        <w:rPr>
          <w:rFonts w:eastAsia="黑体"/>
          <w:color w:val="000000" w:themeColor="text1"/>
          <w14:textFill>
            <w14:solidFill>
              <w14:schemeClr w14:val="tx1"/>
            </w14:solidFill>
          </w14:textFill>
        </w:rPr>
      </w:pPr>
      <w:bookmarkStart w:id="185" w:name="_Toc335"/>
      <w:bookmarkStart w:id="186" w:name="_Toc15844"/>
      <w:bookmarkStart w:id="187" w:name="_Toc3753"/>
      <w:bookmarkStart w:id="188" w:name="_Toc70496231"/>
      <w:bookmarkStart w:id="189" w:name="_Toc8515"/>
      <w:bookmarkStart w:id="190" w:name="_Toc20792"/>
      <w:r>
        <w:rPr>
          <w:rFonts w:eastAsia="黑体"/>
          <w:color w:val="000000" w:themeColor="text1"/>
          <w14:textFill>
            <w14:solidFill>
              <w14:schemeClr w14:val="tx1"/>
            </w14:solidFill>
          </w14:textFill>
        </w:rPr>
        <w:t>1.8相关规划符合性分析</w:t>
      </w:r>
      <w:bookmarkEnd w:id="185"/>
      <w:bookmarkEnd w:id="186"/>
      <w:bookmarkEnd w:id="187"/>
      <w:bookmarkEnd w:id="188"/>
      <w:bookmarkEnd w:id="189"/>
      <w:bookmarkEnd w:id="190"/>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91" w:name="_Toc21437"/>
      <w:bookmarkStart w:id="192" w:name="_Toc16637"/>
      <w:bookmarkStart w:id="193" w:name="_Toc14405"/>
      <w:bookmarkStart w:id="194" w:name="_Toc14654"/>
      <w:bookmarkStart w:id="195" w:name="_Toc70496232"/>
      <w:bookmarkStart w:id="196" w:name="_Toc27683"/>
      <w:r>
        <w:rPr>
          <w:rFonts w:ascii="Times New Roman" w:hAnsi="Times New Roman" w:cs="Times New Roman"/>
          <w:color w:val="000000" w:themeColor="text1"/>
          <w14:textFill>
            <w14:solidFill>
              <w14:schemeClr w14:val="tx1"/>
            </w14:solidFill>
          </w14:textFill>
        </w:rPr>
        <w:t>1.8.1</w:t>
      </w:r>
      <w:bookmarkEnd w:id="191"/>
      <w:bookmarkEnd w:id="192"/>
      <w:bookmarkEnd w:id="193"/>
      <w:bookmarkEnd w:id="194"/>
      <w:bookmarkEnd w:id="195"/>
      <w:r>
        <w:rPr>
          <w:rFonts w:hint="eastAsia" w:ascii="Times New Roman" w:hAnsi="Times New Roman" w:cs="Times New Roman"/>
          <w:color w:val="000000" w:themeColor="text1"/>
          <w14:textFill>
            <w14:solidFill>
              <w14:schemeClr w14:val="tx1"/>
            </w14:solidFill>
          </w14:textFill>
        </w:rPr>
        <w:t>与《成都市国民经济和社会发展第十四个五年规划和二〇三五年远景目标纲要》符合性分析</w:t>
      </w:r>
      <w:bookmarkEnd w:id="196"/>
    </w:p>
    <w:p>
      <w:pPr>
        <w:snapToGrid w:val="0"/>
        <w:spacing w:line="360" w:lineRule="auto"/>
        <w:ind w:firstLine="480" w:firstLineChars="200"/>
        <w:contextualSpacing/>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根据《成都市国民经济和社会发展第十四个五年规划和二〇三五年远景目标纲要》第九篇持续推动绿色可持续发展打造美丽中国建设新典范第一章全面塑造城市大美形态第四节提升城市景观风貌</w:t>
      </w:r>
      <w:r>
        <w:rPr>
          <w:rFonts w:hint="eastAsia"/>
          <w:b/>
          <w:color w:val="000000" w:themeColor="text1"/>
          <w:sz w:val="24"/>
          <w14:textFill>
            <w14:solidFill>
              <w14:schemeClr w14:val="tx1"/>
            </w14:solidFill>
          </w14:textFill>
        </w:rPr>
        <w:t>“蓝网”打造行动</w:t>
      </w:r>
      <w:r>
        <w:rPr>
          <w:rFonts w:hint="eastAsia"/>
          <w:bCs/>
          <w:color w:val="000000" w:themeColor="text1"/>
          <w:sz w:val="24"/>
          <w14:textFill>
            <w14:solidFill>
              <w14:schemeClr w14:val="tx1"/>
            </w14:solidFill>
          </w14:textFill>
        </w:rPr>
        <w:t>：</w:t>
      </w:r>
      <w:r>
        <w:rPr>
          <w:rFonts w:hint="eastAsia"/>
          <w:b/>
          <w:color w:val="000000" w:themeColor="text1"/>
          <w:sz w:val="24"/>
          <w14:textFill>
            <w14:solidFill>
              <w14:schemeClr w14:val="tx1"/>
            </w14:solidFill>
          </w14:textFill>
        </w:rPr>
        <w:t>加快水润天府蓝网及灌区水系修复，规划建设山溪河水收集利用及渠系景观化提升项目</w:t>
      </w:r>
      <w:r>
        <w:rPr>
          <w:rFonts w:hint="eastAsia"/>
          <w:bCs/>
          <w:color w:val="000000" w:themeColor="text1"/>
          <w:sz w:val="24"/>
          <w14:textFill>
            <w14:solidFill>
              <w14:schemeClr w14:val="tx1"/>
            </w14:solidFill>
          </w14:textFill>
        </w:rPr>
        <w:t>；补充流域生态用水，全面提升供水和资源综合开发能力、水生态承载能力；结合锦江、沱江、岷江（金马河）流域综合治理及九道堰、东安湖、白沫江、桤木河、羊马河等蓝网示范项目，打造1000公里精品蓝网发展带。</w:t>
      </w:r>
    </w:p>
    <w:p>
      <w:pPr>
        <w:adjustRightInd w:val="0"/>
        <w:snapToGrid w:val="0"/>
        <w:spacing w:line="360" w:lineRule="auto"/>
        <w:ind w:firstLine="482" w:firstLineChars="200"/>
        <w:contextualSpacing/>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本项目为</w:t>
      </w:r>
      <w:r>
        <w:rPr>
          <w:rFonts w:hint="eastAsia"/>
          <w:b/>
          <w:bCs/>
          <w:color w:val="000000" w:themeColor="text1"/>
          <w:sz w:val="24"/>
          <w14:textFill>
            <w14:solidFill>
              <w14:schemeClr w14:val="tx1"/>
            </w14:solidFill>
          </w14:textFill>
        </w:rPr>
        <w:t>成都市环城生态区渠道整治项目，属于灌区水系修复项目，项目建成后有利于改善渠道及渠道周边景观，符合《成都市民经济和社会发展第十四个五年规划和二〇三五年远景目标纲要》相关内容。</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97" w:name="_Toc70496233"/>
      <w:bookmarkStart w:id="198" w:name="_Toc13251"/>
      <w:r>
        <w:rPr>
          <w:rFonts w:hint="eastAsia" w:ascii="Times New Roman" w:hAnsi="Times New Roman" w:cs="Times New Roman"/>
          <w:color w:val="000000" w:themeColor="text1"/>
          <w14:textFill>
            <w14:solidFill>
              <w14:schemeClr w14:val="tx1"/>
            </w14:solidFill>
          </w14:textFill>
        </w:rPr>
        <w:t>1.8.2</w:t>
      </w:r>
      <w:bookmarkEnd w:id="197"/>
      <w:r>
        <w:rPr>
          <w:rFonts w:hint="eastAsia" w:ascii="Times New Roman" w:hAnsi="Times New Roman" w:cs="Times New Roman"/>
          <w:color w:val="000000" w:themeColor="text1"/>
          <w14:textFill>
            <w14:solidFill>
              <w14:schemeClr w14:val="tx1"/>
            </w14:solidFill>
          </w14:textFill>
        </w:rPr>
        <w:t>与《成都市环城生态区总体规划》符合性分析</w:t>
      </w:r>
      <w:bookmarkEnd w:id="198"/>
    </w:p>
    <w:p>
      <w:pPr>
        <w:snapToGrid w:val="0"/>
        <w:spacing w:line="360" w:lineRule="auto"/>
        <w:ind w:firstLine="480" w:firstLineChars="200"/>
        <w:contextualSpacing/>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成都市环城生态区总体规划》围绕“融合共生、功能完善、价值提升”的总体目标，提出5大策略：①强化生态功能，塑造高品质公园底；②适应格局调整，推动城园相融共进；③完善城市功能，引领区域价值提升；④引入多元业态，营造活力消费市场；⑤优化空间形态，展现公园城市魅力。其中，为了实现强化生态功能，塑造高品质公园底，提出了</w:t>
      </w:r>
      <w:r>
        <w:rPr>
          <w:rFonts w:hint="eastAsia"/>
          <w:b/>
          <w:bCs/>
          <w:color w:val="000000" w:themeColor="text1"/>
          <w:sz w:val="24"/>
          <w14:textFill>
            <w14:solidFill>
              <w14:schemeClr w14:val="tx1"/>
            </w14:solidFill>
          </w14:textFill>
        </w:rPr>
        <w:t>构筑“三湖泊八湿地百沟渠”的水网格局，要求实施水系恢复工程，增强区域调蓄能力，保障水量充足，通过恢复毛细沟渠，连通区域内外河流、湖泊，构筑内联外通的水网体系。</w:t>
      </w:r>
    </w:p>
    <w:p>
      <w:pPr>
        <w:adjustRightInd w:val="0"/>
        <w:snapToGrid w:val="0"/>
        <w:spacing w:line="360" w:lineRule="auto"/>
        <w:ind w:firstLine="482" w:firstLineChars="200"/>
        <w:contextualSpacing/>
        <w:rPr>
          <w:color w:val="000000" w:themeColor="text1"/>
          <w:sz w:val="24"/>
          <w14:textFill>
            <w14:solidFill>
              <w14:schemeClr w14:val="tx1"/>
            </w14:solidFill>
          </w14:textFill>
        </w:rPr>
      </w:pPr>
      <w:r>
        <w:rPr>
          <w:b/>
          <w:color w:val="000000" w:themeColor="text1"/>
          <w:sz w:val="24"/>
          <w14:textFill>
            <w14:solidFill>
              <w14:schemeClr w14:val="tx1"/>
            </w14:solidFill>
          </w14:textFill>
        </w:rPr>
        <w:t>本项目</w:t>
      </w:r>
      <w:r>
        <w:rPr>
          <w:rFonts w:hint="eastAsia"/>
          <w:b/>
          <w:color w:val="000000" w:themeColor="text1"/>
          <w:sz w:val="24"/>
          <w14:textFill>
            <w14:solidFill>
              <w14:schemeClr w14:val="tx1"/>
            </w14:solidFill>
          </w14:textFill>
        </w:rPr>
        <w:t>对成都市环城生态区</w:t>
      </w:r>
      <w:r>
        <w:rPr>
          <w:b/>
          <w:color w:val="000000" w:themeColor="text1"/>
          <w:sz w:val="24"/>
          <w14:textFill>
            <w14:solidFill>
              <w14:schemeClr w14:val="tx1"/>
            </w14:solidFill>
          </w14:textFill>
        </w:rPr>
        <w:t>灌溉</w:t>
      </w:r>
      <w:r>
        <w:rPr>
          <w:rFonts w:hint="eastAsia"/>
          <w:b/>
          <w:color w:val="000000" w:themeColor="text1"/>
          <w:sz w:val="24"/>
          <w14:textFill>
            <w14:solidFill>
              <w14:schemeClr w14:val="tx1"/>
            </w14:solidFill>
          </w14:textFill>
        </w:rPr>
        <w:t>渠</w:t>
      </w:r>
      <w:r>
        <w:rPr>
          <w:b/>
          <w:color w:val="000000" w:themeColor="text1"/>
          <w:sz w:val="24"/>
          <w14:textFill>
            <w14:solidFill>
              <w14:schemeClr w14:val="tx1"/>
            </w14:solidFill>
          </w14:textFill>
        </w:rPr>
        <w:t>进行</w:t>
      </w:r>
      <w:r>
        <w:rPr>
          <w:rFonts w:hint="eastAsia"/>
          <w:b/>
          <w:color w:val="000000" w:themeColor="text1"/>
          <w:sz w:val="24"/>
          <w14:textFill>
            <w14:solidFill>
              <w14:schemeClr w14:val="tx1"/>
            </w14:solidFill>
          </w14:textFill>
        </w:rPr>
        <w:t>整治工程，通过对破损渠道进行修复，恢复渠系灌溉功能，完善区域水网格局，符合《成都市环城生态区总体规划》</w:t>
      </w:r>
      <w:r>
        <w:rPr>
          <w:rFonts w:hint="eastAsia"/>
          <w:b/>
          <w:bCs/>
          <w:color w:val="000000" w:themeColor="text1"/>
          <w:sz w:val="24"/>
          <w14:textFill>
            <w14:solidFill>
              <w14:schemeClr w14:val="tx1"/>
            </w14:solidFill>
          </w14:textFill>
        </w:rPr>
        <w:t>相关内容。</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199" w:name="_Toc23899"/>
      <w:bookmarkStart w:id="200" w:name="_Toc19253"/>
      <w:bookmarkStart w:id="201" w:name="_Toc70496234"/>
      <w:bookmarkStart w:id="202" w:name="_Toc26161"/>
      <w:bookmarkStart w:id="203" w:name="_Toc28349"/>
      <w:bookmarkStart w:id="204" w:name="_Toc8432"/>
      <w:r>
        <w:rPr>
          <w:rFonts w:ascii="Times New Roman" w:hAnsi="Times New Roman" w:cs="Times New Roman"/>
          <w:color w:val="000000" w:themeColor="text1"/>
          <w14:textFill>
            <w14:solidFill>
              <w14:schemeClr w14:val="tx1"/>
            </w14:solidFill>
          </w14:textFill>
        </w:rPr>
        <w:t>1.8.3</w:t>
      </w:r>
      <w:bookmarkEnd w:id="199"/>
      <w:bookmarkEnd w:id="200"/>
      <w:bookmarkEnd w:id="201"/>
      <w:bookmarkEnd w:id="202"/>
      <w:bookmarkEnd w:id="203"/>
      <w:r>
        <w:rPr>
          <w:rFonts w:hint="eastAsia" w:ascii="Times New Roman" w:hAnsi="Times New Roman" w:cs="Times New Roman"/>
          <w:color w:val="000000" w:themeColor="text1"/>
          <w14:textFill>
            <w14:solidFill>
              <w14:schemeClr w14:val="tx1"/>
            </w14:solidFill>
          </w14:textFill>
        </w:rPr>
        <w:t>与《成都市“十四五”农业农村现代化规划》符合性分析</w:t>
      </w:r>
      <w:bookmarkEnd w:id="204"/>
    </w:p>
    <w:p>
      <w:pPr>
        <w:pStyle w:val="71"/>
        <w:adjustRightInd w:val="0"/>
        <w:snapToGrid w:val="0"/>
        <w:spacing w:line="360" w:lineRule="auto"/>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根据《成都市“十四五”农业农村现代化规划》三第六章坚守粮食安全底线，筑牢农业安全供给保障能力第三节加强农村水利基础设施建设：</w:t>
      </w:r>
      <w:r>
        <w:rPr>
          <w:rFonts w:hint="eastAsia"/>
          <w:b/>
          <w:bCs/>
          <w:color w:val="000000" w:themeColor="text1"/>
          <w14:textFill>
            <w14:solidFill>
              <w14:schemeClr w14:val="tx1"/>
            </w14:solidFill>
          </w14:textFill>
        </w:rPr>
        <w:t>加快实施都江堰等大中型灌区续建配套和现代化改造，积极创建节水型灌区，促进农业用水方式由粗放向节约集约转变。</w:t>
      </w:r>
      <w:r>
        <w:rPr>
          <w:rFonts w:hint="eastAsia"/>
          <w:color w:val="000000" w:themeColor="text1"/>
          <w14:textFill>
            <w14:solidFill>
              <w14:schemeClr w14:val="tx1"/>
            </w14:solidFill>
          </w14:textFill>
        </w:rPr>
        <w:t>加快推进建设三坝水库、久隆水库、羊毛沟水库、东林寺水库等区域性重要水利工程，提高水资源调配能力。强化农村饮水安全巩固提升工程建设，鼓励推行农村供水城市化、城乡供水一体化，积极开展乡村水务试点。全面强化农村水利水库及其渠道运行管护，病险水库除险加固常态化，加快实施供水工程规范化管理达标建设。打破单一水利项目分散建设模式，全面推行农村水利工程建设规模化、集中化建设新模式，鼓励探索</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水管单位管理、平台公司运营</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的农村水利工程管理机制</w:t>
      </w:r>
      <w:r>
        <w:rPr>
          <w:color w:val="000000" w:themeColor="text1"/>
          <w14:textFill>
            <w14:solidFill>
              <w14:schemeClr w14:val="tx1"/>
            </w14:solidFill>
          </w14:textFill>
        </w:rPr>
        <w:t>。</w:t>
      </w:r>
    </w:p>
    <w:p>
      <w:pPr>
        <w:pStyle w:val="71"/>
        <w:adjustRightInd w:val="0"/>
        <w:snapToGrid w:val="0"/>
        <w:spacing w:line="360" w:lineRule="auto"/>
        <w:ind w:firstLine="482"/>
        <w:jc w:val="both"/>
        <w:rPr>
          <w:color w:val="000000" w:themeColor="text1"/>
          <w14:textFill>
            <w14:solidFill>
              <w14:schemeClr w14:val="tx1"/>
            </w14:solidFill>
          </w14:textFill>
        </w:rPr>
      </w:pPr>
      <w:r>
        <w:rPr>
          <w:b/>
          <w:color w:val="000000" w:themeColor="text1"/>
          <w14:textFill>
            <w14:solidFill>
              <w14:schemeClr w14:val="tx1"/>
            </w14:solidFill>
          </w14:textFill>
        </w:rPr>
        <w:t>本项目</w:t>
      </w:r>
      <w:r>
        <w:rPr>
          <w:rFonts w:hint="eastAsia"/>
          <w:b/>
          <w:color w:val="000000" w:themeColor="text1"/>
          <w14:textFill>
            <w14:solidFill>
              <w14:schemeClr w14:val="tx1"/>
            </w14:solidFill>
          </w14:textFill>
        </w:rPr>
        <w:t>涉及渠道均属于都江堰灌区，符合《成都市“十四五”农业农村现代化规划》相关内容。</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05" w:name="_Toc3829"/>
      <w:bookmarkStart w:id="206" w:name="_Toc10354"/>
      <w:bookmarkStart w:id="207" w:name="_Toc70496235"/>
      <w:bookmarkStart w:id="208" w:name="_Toc9777"/>
      <w:bookmarkStart w:id="209" w:name="_Toc21493"/>
      <w:bookmarkStart w:id="210" w:name="_Toc8365"/>
      <w:r>
        <w:rPr>
          <w:rFonts w:hint="eastAsia" w:ascii="Times New Roman" w:hAnsi="Times New Roman" w:cs="Times New Roman"/>
          <w:color w:val="000000" w:themeColor="text1"/>
          <w14:textFill>
            <w14:solidFill>
              <w14:schemeClr w14:val="tx1"/>
            </w14:solidFill>
          </w14:textFill>
        </w:rPr>
        <w:t>1.8.4</w:t>
      </w:r>
      <w:bookmarkEnd w:id="205"/>
      <w:bookmarkEnd w:id="206"/>
      <w:bookmarkEnd w:id="207"/>
      <w:bookmarkEnd w:id="208"/>
      <w:bookmarkEnd w:id="209"/>
      <w:r>
        <w:rPr>
          <w:rFonts w:hint="eastAsia" w:ascii="Times New Roman" w:hAnsi="Times New Roman" w:cs="Times New Roman"/>
          <w:color w:val="000000" w:themeColor="text1"/>
          <w14:textFill>
            <w14:solidFill>
              <w14:schemeClr w14:val="tx1"/>
            </w14:solidFill>
          </w14:textFill>
        </w:rPr>
        <w:t>与《</w:t>
      </w:r>
      <w:r>
        <w:rPr>
          <w:rFonts w:hint="eastAsia" w:ascii="Times New Roman" w:hAnsi="Times New Roman" w:cs="Times New Roman"/>
          <w:color w:val="000000" w:themeColor="text1"/>
          <w:lang w:val="en-US" w:eastAsia="zh-CN"/>
          <w14:textFill>
            <w14:solidFill>
              <w14:schemeClr w14:val="tx1"/>
            </w14:solidFill>
          </w14:textFill>
        </w:rPr>
        <w:t>四川省沱</w:t>
      </w:r>
      <w:r>
        <w:rPr>
          <w:rFonts w:hint="eastAsia" w:ascii="Times New Roman" w:hAnsi="Times New Roman" w:cs="Times New Roman"/>
          <w:color w:val="000000" w:themeColor="text1"/>
          <w14:textFill>
            <w14:solidFill>
              <w14:schemeClr w14:val="tx1"/>
            </w14:solidFill>
          </w14:textFill>
        </w:rPr>
        <w:t>江流域综合规划》符合性分析</w:t>
      </w:r>
      <w:bookmarkEnd w:id="210"/>
    </w:p>
    <w:p>
      <w:pPr>
        <w:autoSpaceDE/>
        <w:autoSpaceDN/>
        <w:adjustRightInd w:val="0"/>
        <w:snapToGrid w:val="0"/>
        <w:spacing w:line="360" w:lineRule="auto"/>
        <w:ind w:firstLine="480" w:firstLineChars="200"/>
        <w:contextualSpacing/>
        <w:rPr>
          <w:color w:val="000000" w:themeColor="text1"/>
          <w:kern w:val="0"/>
          <w:sz w:val="24"/>
          <w:szCs w:val="18"/>
          <w14:textFill>
            <w14:solidFill>
              <w14:schemeClr w14:val="tx1"/>
            </w14:solidFill>
          </w14:textFill>
        </w:rPr>
      </w:pPr>
      <w:r>
        <w:rPr>
          <w:rFonts w:hint="eastAsia"/>
          <w:color w:val="000000" w:themeColor="text1"/>
          <w:kern w:val="0"/>
          <w:sz w:val="24"/>
          <w:szCs w:val="18"/>
          <w:lang w:val="en-US" w:eastAsia="zh-CN"/>
          <w14:textFill>
            <w14:solidFill>
              <w14:schemeClr w14:val="tx1"/>
            </w14:solidFill>
          </w14:textFill>
        </w:rPr>
        <w:t>《四川省沱江流域综合规划》由四川省水利厅于</w:t>
      </w:r>
      <w:r>
        <w:rPr>
          <w:rFonts w:hint="default"/>
          <w:color w:val="000000" w:themeColor="text1"/>
          <w:kern w:val="0"/>
          <w:sz w:val="24"/>
          <w:szCs w:val="18"/>
          <w:lang w:val="en-US" w:eastAsia="zh-CN"/>
          <w14:textFill>
            <w14:solidFill>
              <w14:schemeClr w14:val="tx1"/>
            </w14:solidFill>
          </w14:textFill>
        </w:rPr>
        <w:t>2007</w:t>
      </w:r>
      <w:r>
        <w:rPr>
          <w:rFonts w:hint="eastAsia"/>
          <w:color w:val="000000" w:themeColor="text1"/>
          <w:kern w:val="0"/>
          <w:sz w:val="24"/>
          <w:szCs w:val="18"/>
          <w:lang w:val="en-US" w:eastAsia="zh-CN"/>
          <w14:textFill>
            <w14:solidFill>
              <w14:schemeClr w14:val="tx1"/>
            </w14:solidFill>
          </w14:textFill>
        </w:rPr>
        <w:t>年组织编制，</w:t>
      </w:r>
      <w:r>
        <w:rPr>
          <w:rFonts w:hint="default"/>
          <w:color w:val="000000" w:themeColor="text1"/>
          <w:kern w:val="0"/>
          <w:sz w:val="24"/>
          <w:szCs w:val="18"/>
          <w:lang w:val="en-US" w:eastAsia="zh-CN"/>
          <w14:textFill>
            <w14:solidFill>
              <w14:schemeClr w14:val="tx1"/>
            </w14:solidFill>
          </w14:textFill>
        </w:rPr>
        <w:t xml:space="preserve">2013 </w:t>
      </w:r>
      <w:r>
        <w:rPr>
          <w:rFonts w:hint="eastAsia"/>
          <w:color w:val="000000" w:themeColor="text1"/>
          <w:kern w:val="0"/>
          <w:sz w:val="24"/>
          <w:szCs w:val="18"/>
          <w:lang w:val="en-US" w:eastAsia="zh-CN"/>
          <w14:textFill>
            <w14:solidFill>
              <w14:schemeClr w14:val="tx1"/>
            </w14:solidFill>
          </w14:textFill>
        </w:rPr>
        <w:t>年</w:t>
      </w:r>
      <w:r>
        <w:rPr>
          <w:rFonts w:hint="default"/>
          <w:color w:val="000000" w:themeColor="text1"/>
          <w:kern w:val="0"/>
          <w:sz w:val="24"/>
          <w:szCs w:val="18"/>
          <w:lang w:val="en-US" w:eastAsia="zh-CN"/>
          <w14:textFill>
            <w14:solidFill>
              <w14:schemeClr w14:val="tx1"/>
            </w14:solidFill>
          </w14:textFill>
        </w:rPr>
        <w:t>7</w:t>
      </w:r>
      <w:r>
        <w:rPr>
          <w:rFonts w:hint="eastAsia"/>
          <w:color w:val="000000" w:themeColor="text1"/>
          <w:kern w:val="0"/>
          <w:sz w:val="24"/>
          <w:szCs w:val="18"/>
          <w:lang w:val="en-US" w:eastAsia="zh-CN"/>
          <w14:textFill>
            <w14:solidFill>
              <w14:schemeClr w14:val="tx1"/>
            </w14:solidFill>
          </w14:textFill>
        </w:rPr>
        <w:t>月取得了批复《四川省人民政府关于四川省沱江流域综合规划的批复》（川府函</w:t>
      </w:r>
      <w:r>
        <w:rPr>
          <w:rFonts w:hint="default"/>
          <w:color w:val="000000" w:themeColor="text1"/>
          <w:kern w:val="0"/>
          <w:sz w:val="24"/>
          <w:szCs w:val="18"/>
          <w:lang w:val="en-US" w:eastAsia="zh-CN"/>
          <w14:textFill>
            <w14:solidFill>
              <w14:schemeClr w14:val="tx1"/>
            </w14:solidFill>
          </w14:textFill>
        </w:rPr>
        <w:t>〔2013〕203</w:t>
      </w:r>
      <w:r>
        <w:rPr>
          <w:rFonts w:hint="eastAsia"/>
          <w:color w:val="000000" w:themeColor="text1"/>
          <w:kern w:val="0"/>
          <w:sz w:val="24"/>
          <w:szCs w:val="18"/>
          <w:lang w:val="en-US" w:eastAsia="zh-CN"/>
          <w14:textFill>
            <w14:solidFill>
              <w14:schemeClr w14:val="tx1"/>
            </w14:solidFill>
          </w14:textFill>
        </w:rPr>
        <w:t xml:space="preserve">号）。 </w:t>
      </w:r>
    </w:p>
    <w:p>
      <w:pPr>
        <w:autoSpaceDE/>
        <w:autoSpaceDN/>
        <w:adjustRightInd w:val="0"/>
        <w:snapToGrid w:val="0"/>
        <w:spacing w:line="360" w:lineRule="auto"/>
        <w:ind w:firstLine="480" w:firstLineChars="200"/>
        <w:contextualSpacing/>
        <w:jc w:val="both"/>
        <w:rPr>
          <w:color w:val="000000" w:themeColor="text1"/>
          <w:kern w:val="0"/>
          <w:sz w:val="24"/>
          <w:szCs w:val="18"/>
          <w14:textFill>
            <w14:solidFill>
              <w14:schemeClr w14:val="tx1"/>
            </w14:solidFill>
          </w14:textFill>
        </w:rPr>
      </w:pPr>
      <w:r>
        <w:rPr>
          <w:rFonts w:hint="eastAsia"/>
          <w:color w:val="000000" w:themeColor="text1"/>
          <w:kern w:val="0"/>
          <w:sz w:val="24"/>
          <w:szCs w:val="18"/>
          <w:lang w:val="en-US" w:eastAsia="zh-CN"/>
          <w14:textFill>
            <w14:solidFill>
              <w14:schemeClr w14:val="tx1"/>
            </w14:solidFill>
          </w14:textFill>
        </w:rPr>
        <w:t>规划概况：沱江为长江左岸一级支流，是四川省腹部地区的重要河流之一，河流全长</w:t>
      </w:r>
      <w:r>
        <w:rPr>
          <w:rFonts w:hint="default"/>
          <w:color w:val="000000" w:themeColor="text1"/>
          <w:kern w:val="0"/>
          <w:sz w:val="24"/>
          <w:szCs w:val="18"/>
          <w:lang w:val="en-US" w:eastAsia="zh-CN"/>
          <w14:textFill>
            <w14:solidFill>
              <w14:schemeClr w14:val="tx1"/>
            </w14:solidFill>
          </w14:textFill>
        </w:rPr>
        <w:t>627.4km</w:t>
      </w:r>
      <w:r>
        <w:rPr>
          <w:rFonts w:hint="eastAsia"/>
          <w:color w:val="000000" w:themeColor="text1"/>
          <w:kern w:val="0"/>
          <w:sz w:val="24"/>
          <w:szCs w:val="18"/>
          <w:lang w:val="en-US" w:eastAsia="zh-CN"/>
          <w14:textFill>
            <w14:solidFill>
              <w14:schemeClr w14:val="tx1"/>
            </w14:solidFill>
          </w14:textFill>
        </w:rPr>
        <w:t>，河道总落差</w:t>
      </w:r>
      <w:r>
        <w:rPr>
          <w:rFonts w:hint="default"/>
          <w:color w:val="000000" w:themeColor="text1"/>
          <w:kern w:val="0"/>
          <w:sz w:val="24"/>
          <w:szCs w:val="18"/>
          <w:lang w:val="en-US" w:eastAsia="zh-CN"/>
          <w14:textFill>
            <w14:solidFill>
              <w14:schemeClr w14:val="tx1"/>
            </w14:solidFill>
          </w14:textFill>
        </w:rPr>
        <w:t>4756.7m</w:t>
      </w:r>
      <w:r>
        <w:rPr>
          <w:rFonts w:hint="eastAsia"/>
          <w:color w:val="000000" w:themeColor="text1"/>
          <w:kern w:val="0"/>
          <w:sz w:val="24"/>
          <w:szCs w:val="18"/>
          <w:lang w:val="en-US" w:eastAsia="zh-CN"/>
          <w14:textFill>
            <w14:solidFill>
              <w14:schemeClr w14:val="tx1"/>
            </w14:solidFill>
          </w14:textFill>
        </w:rPr>
        <w:t>，平均比降</w:t>
      </w:r>
      <w:r>
        <w:rPr>
          <w:rFonts w:hint="default"/>
          <w:color w:val="000000" w:themeColor="text1"/>
          <w:kern w:val="0"/>
          <w:sz w:val="24"/>
          <w:szCs w:val="18"/>
          <w:lang w:val="en-US" w:eastAsia="zh-CN"/>
          <w14:textFill>
            <w14:solidFill>
              <w14:schemeClr w14:val="tx1"/>
            </w14:solidFill>
          </w14:textFill>
        </w:rPr>
        <w:t>7.58%</w:t>
      </w:r>
      <w:r>
        <w:rPr>
          <w:rFonts w:hint="eastAsia"/>
          <w:color w:val="000000" w:themeColor="text1"/>
          <w:kern w:val="0"/>
          <w:sz w:val="24"/>
          <w:szCs w:val="18"/>
          <w:lang w:val="en-US" w:eastAsia="zh-CN"/>
          <w14:textFill>
            <w14:solidFill>
              <w14:schemeClr w14:val="tx1"/>
            </w14:solidFill>
          </w14:textFill>
        </w:rPr>
        <w:t>，流域面积</w:t>
      </w:r>
      <w:r>
        <w:rPr>
          <w:rFonts w:hint="default"/>
          <w:color w:val="000000" w:themeColor="text1"/>
          <w:kern w:val="0"/>
          <w:sz w:val="24"/>
          <w:szCs w:val="18"/>
          <w:lang w:val="en-US" w:eastAsia="zh-CN"/>
          <w14:textFill>
            <w14:solidFill>
              <w14:schemeClr w14:val="tx1"/>
            </w14:solidFill>
          </w14:textFill>
        </w:rPr>
        <w:t>27860km</w:t>
      </w:r>
      <w:r>
        <w:rPr>
          <w:rFonts w:hint="default"/>
          <w:color w:val="000000" w:themeColor="text1"/>
          <w:kern w:val="0"/>
          <w:sz w:val="24"/>
          <w:szCs w:val="18"/>
          <w:vertAlign w:val="superscript"/>
          <w:lang w:val="en-US" w:eastAsia="zh-CN"/>
          <w14:textFill>
            <w14:solidFill>
              <w14:schemeClr w14:val="tx1"/>
            </w14:solidFill>
          </w14:textFill>
        </w:rPr>
        <w:t>2</w:t>
      </w:r>
      <w:r>
        <w:rPr>
          <w:rFonts w:hint="eastAsia"/>
          <w:color w:val="000000" w:themeColor="text1"/>
          <w:kern w:val="0"/>
          <w:sz w:val="24"/>
          <w:szCs w:val="18"/>
          <w:lang w:val="en-US" w:eastAsia="zh-CN"/>
          <w14:textFill>
            <w14:solidFill>
              <w14:schemeClr w14:val="tx1"/>
            </w14:solidFill>
          </w14:textFill>
        </w:rPr>
        <w:t>，其中四川省境内</w:t>
      </w:r>
      <w:r>
        <w:rPr>
          <w:rFonts w:hint="default"/>
          <w:color w:val="000000" w:themeColor="text1"/>
          <w:kern w:val="0"/>
          <w:sz w:val="24"/>
          <w:szCs w:val="18"/>
          <w:lang w:val="en-US" w:eastAsia="zh-CN"/>
          <w14:textFill>
            <w14:solidFill>
              <w14:schemeClr w14:val="tx1"/>
            </w14:solidFill>
          </w14:textFill>
        </w:rPr>
        <w:t>25633km</w:t>
      </w:r>
      <w:r>
        <w:rPr>
          <w:rFonts w:hint="default"/>
          <w:color w:val="000000" w:themeColor="text1"/>
          <w:kern w:val="0"/>
          <w:sz w:val="24"/>
          <w:szCs w:val="18"/>
          <w:vertAlign w:val="superscript"/>
          <w:lang w:val="en-US" w:eastAsia="zh-CN"/>
          <w14:textFill>
            <w14:solidFill>
              <w14:schemeClr w14:val="tx1"/>
            </w14:solidFill>
          </w14:textFill>
        </w:rPr>
        <w:t>2</w:t>
      </w:r>
      <w:r>
        <w:rPr>
          <w:rFonts w:hint="eastAsia"/>
          <w:color w:val="000000" w:themeColor="text1"/>
          <w:kern w:val="0"/>
          <w:sz w:val="24"/>
          <w:szCs w:val="18"/>
          <w:lang w:val="en-US" w:eastAsia="zh-CN"/>
          <w14:textFill>
            <w14:solidFill>
              <w14:schemeClr w14:val="tx1"/>
            </w14:solidFill>
          </w14:textFill>
        </w:rPr>
        <w:t>，涉及成都市、德阳市、绵阳市、资阳市、内江市、自贡市、眉山市、乐山市、宜宾市、泸州市等</w:t>
      </w:r>
      <w:r>
        <w:rPr>
          <w:rFonts w:hint="default"/>
          <w:color w:val="000000" w:themeColor="text1"/>
          <w:kern w:val="0"/>
          <w:sz w:val="24"/>
          <w:szCs w:val="18"/>
          <w:lang w:val="en-US" w:eastAsia="zh-CN"/>
          <w14:textFill>
            <w14:solidFill>
              <w14:schemeClr w14:val="tx1"/>
            </w14:solidFill>
          </w14:textFill>
        </w:rPr>
        <w:t>10</w:t>
      </w:r>
      <w:r>
        <w:rPr>
          <w:rFonts w:hint="eastAsia"/>
          <w:color w:val="000000" w:themeColor="text1"/>
          <w:kern w:val="0"/>
          <w:sz w:val="24"/>
          <w:szCs w:val="18"/>
          <w:lang w:val="en-US" w:eastAsia="zh-CN"/>
          <w14:textFill>
            <w14:solidFill>
              <w14:schemeClr w14:val="tx1"/>
            </w14:solidFill>
          </w14:textFill>
        </w:rPr>
        <w:t>个市共</w:t>
      </w:r>
      <w:r>
        <w:rPr>
          <w:rFonts w:hint="default"/>
          <w:color w:val="000000" w:themeColor="text1"/>
          <w:kern w:val="0"/>
          <w:sz w:val="24"/>
          <w:szCs w:val="18"/>
          <w:lang w:val="en-US" w:eastAsia="zh-CN"/>
          <w14:textFill>
            <w14:solidFill>
              <w14:schemeClr w14:val="tx1"/>
            </w14:solidFill>
          </w14:textFill>
        </w:rPr>
        <w:t>36</w:t>
      </w:r>
      <w:r>
        <w:rPr>
          <w:rFonts w:hint="eastAsia"/>
          <w:color w:val="000000" w:themeColor="text1"/>
          <w:kern w:val="0"/>
          <w:sz w:val="24"/>
          <w:szCs w:val="18"/>
          <w:lang w:val="en-US" w:eastAsia="zh-CN"/>
          <w14:textFill>
            <w14:solidFill>
              <w14:schemeClr w14:val="tx1"/>
            </w14:solidFill>
          </w14:textFill>
        </w:rPr>
        <w:t xml:space="preserve">个县（区）。 </w:t>
      </w:r>
    </w:p>
    <w:p>
      <w:pPr>
        <w:autoSpaceDE/>
        <w:autoSpaceDN/>
        <w:adjustRightInd w:val="0"/>
        <w:snapToGrid w:val="0"/>
        <w:spacing w:line="360" w:lineRule="auto"/>
        <w:ind w:firstLine="480" w:firstLineChars="200"/>
        <w:contextualSpacing/>
        <w:rPr>
          <w:rFonts w:hint="eastAsia"/>
          <w:color w:val="000000" w:themeColor="text1"/>
          <w:kern w:val="0"/>
          <w:sz w:val="24"/>
          <w:szCs w:val="18"/>
          <w:lang w:val="en-US" w:eastAsia="zh-CN"/>
          <w14:textFill>
            <w14:solidFill>
              <w14:schemeClr w14:val="tx1"/>
            </w14:solidFill>
          </w14:textFill>
        </w:rPr>
      </w:pPr>
      <w:r>
        <w:rPr>
          <w:rFonts w:hint="eastAsia"/>
          <w:color w:val="000000" w:themeColor="text1"/>
          <w:kern w:val="0"/>
          <w:sz w:val="24"/>
          <w:szCs w:val="18"/>
          <w:lang w:val="en-US" w:eastAsia="zh-CN"/>
          <w14:textFill>
            <w14:solidFill>
              <w14:schemeClr w14:val="tx1"/>
            </w14:solidFill>
          </w14:textFill>
        </w:rPr>
        <w:t>规划范围为沱江流域的四川省区域，以干流及流域面积</w:t>
      </w:r>
      <w:r>
        <w:rPr>
          <w:rFonts w:hint="default"/>
          <w:color w:val="000000" w:themeColor="text1"/>
          <w:kern w:val="0"/>
          <w:sz w:val="24"/>
          <w:szCs w:val="18"/>
          <w:lang w:val="en-US" w:eastAsia="zh-CN"/>
          <w14:textFill>
            <w14:solidFill>
              <w14:schemeClr w14:val="tx1"/>
            </w14:solidFill>
          </w14:textFill>
        </w:rPr>
        <w:t>600km</w:t>
      </w:r>
      <w:r>
        <w:rPr>
          <w:rFonts w:hint="default"/>
          <w:color w:val="000000" w:themeColor="text1"/>
          <w:kern w:val="0"/>
          <w:sz w:val="24"/>
          <w:szCs w:val="18"/>
          <w:vertAlign w:val="superscript"/>
          <w:lang w:val="en-US" w:eastAsia="zh-CN"/>
          <w14:textFill>
            <w14:solidFill>
              <w14:schemeClr w14:val="tx1"/>
            </w14:solidFill>
          </w14:textFill>
        </w:rPr>
        <w:t>2</w:t>
      </w:r>
      <w:r>
        <w:rPr>
          <w:rFonts w:hint="eastAsia"/>
          <w:color w:val="000000" w:themeColor="text1"/>
          <w:kern w:val="0"/>
          <w:sz w:val="24"/>
          <w:szCs w:val="18"/>
          <w:lang w:val="en-US" w:eastAsia="zh-CN"/>
          <w14:textFill>
            <w14:solidFill>
              <w14:schemeClr w14:val="tx1"/>
            </w14:solidFill>
          </w14:textFill>
        </w:rPr>
        <w:t>以上的</w:t>
      </w:r>
      <w:r>
        <w:rPr>
          <w:rFonts w:hint="default"/>
          <w:color w:val="000000" w:themeColor="text1"/>
          <w:kern w:val="0"/>
          <w:sz w:val="24"/>
          <w:szCs w:val="18"/>
          <w:lang w:val="en-US" w:eastAsia="zh-CN"/>
          <w14:textFill>
            <w14:solidFill>
              <w14:schemeClr w14:val="tx1"/>
            </w14:solidFill>
          </w14:textFill>
        </w:rPr>
        <w:t>12</w:t>
      </w:r>
      <w:r>
        <w:rPr>
          <w:rFonts w:hint="eastAsia"/>
          <w:color w:val="000000" w:themeColor="text1"/>
          <w:kern w:val="0"/>
          <w:sz w:val="24"/>
          <w:szCs w:val="18"/>
          <w:lang w:val="en-US" w:eastAsia="zh-CN"/>
          <w14:textFill>
            <w14:solidFill>
              <w14:schemeClr w14:val="tx1"/>
            </w14:solidFill>
          </w14:textFill>
        </w:rPr>
        <w:t>条主要支流为规划重点，兼顾其他支流。包括水资源配置规划、防洪减灾规划、城乡供水规划、</w:t>
      </w:r>
      <w:r>
        <w:rPr>
          <w:rFonts w:hint="eastAsia"/>
          <w:b/>
          <w:bCs/>
          <w:color w:val="000000" w:themeColor="text1"/>
          <w:kern w:val="0"/>
          <w:sz w:val="24"/>
          <w:szCs w:val="18"/>
          <w:lang w:val="en-US" w:eastAsia="zh-CN"/>
          <w14:textFill>
            <w14:solidFill>
              <w14:schemeClr w14:val="tx1"/>
            </w14:solidFill>
          </w14:textFill>
        </w:rPr>
        <w:t>灌溉规划</w:t>
      </w:r>
      <w:r>
        <w:rPr>
          <w:rFonts w:hint="eastAsia"/>
          <w:color w:val="000000" w:themeColor="text1"/>
          <w:kern w:val="0"/>
          <w:sz w:val="24"/>
          <w:szCs w:val="18"/>
          <w:lang w:val="en-US" w:eastAsia="zh-CN"/>
          <w14:textFill>
            <w14:solidFill>
              <w14:schemeClr w14:val="tx1"/>
            </w14:solidFill>
          </w14:textFill>
        </w:rPr>
        <w:t>、水力发电规划、航运规划、水资源及水生态保护规划及流域管理规划等专项规划。</w:t>
      </w:r>
    </w:p>
    <w:p>
      <w:pPr>
        <w:autoSpaceDE/>
        <w:autoSpaceDN/>
        <w:adjustRightInd w:val="0"/>
        <w:snapToGrid w:val="0"/>
        <w:spacing w:line="360" w:lineRule="auto"/>
        <w:ind w:firstLine="480" w:firstLineChars="200"/>
        <w:contextualSpacing/>
        <w:rPr>
          <w:rFonts w:hint="eastAsia"/>
          <w:color w:val="000000" w:themeColor="text1"/>
          <w:kern w:val="0"/>
          <w:sz w:val="24"/>
          <w:szCs w:val="18"/>
          <w:lang w:val="en-US" w:eastAsia="zh-CN"/>
          <w14:textFill>
            <w14:solidFill>
              <w14:schemeClr w14:val="tx1"/>
            </w14:solidFill>
          </w14:textFill>
        </w:rPr>
      </w:pPr>
      <w:r>
        <w:rPr>
          <w:rFonts w:hint="eastAsia"/>
          <w:color w:val="000000" w:themeColor="text1"/>
          <w:kern w:val="0"/>
          <w:sz w:val="24"/>
          <w:szCs w:val="18"/>
          <w:lang w:val="en-US" w:eastAsia="zh-CN"/>
          <w14:textFill>
            <w14:solidFill>
              <w14:schemeClr w14:val="tx1"/>
            </w14:solidFill>
          </w14:textFill>
        </w:rPr>
        <w:t>规划总体目标为：结合沱江流域自身特点，拟定沱江流域防洪、供水、</w:t>
      </w:r>
      <w:r>
        <w:rPr>
          <w:rFonts w:hint="eastAsia"/>
          <w:b/>
          <w:bCs/>
          <w:color w:val="000000" w:themeColor="text1"/>
          <w:kern w:val="0"/>
          <w:sz w:val="24"/>
          <w:szCs w:val="18"/>
          <w:lang w:val="en-US" w:eastAsia="zh-CN"/>
          <w14:textFill>
            <w14:solidFill>
              <w14:schemeClr w14:val="tx1"/>
            </w14:solidFill>
          </w14:textFill>
        </w:rPr>
        <w:t>灌溉</w:t>
      </w:r>
      <w:r>
        <w:rPr>
          <w:rFonts w:hint="eastAsia"/>
          <w:color w:val="000000" w:themeColor="text1"/>
          <w:kern w:val="0"/>
          <w:sz w:val="24"/>
          <w:szCs w:val="18"/>
          <w:lang w:val="en-US" w:eastAsia="zh-CN"/>
          <w14:textFill>
            <w14:solidFill>
              <w14:schemeClr w14:val="tx1"/>
            </w14:solidFill>
          </w14:textFill>
        </w:rPr>
        <w:t xml:space="preserve">、发电、航运、水环境与生态保护等方面的总体目标，保障沱江流域供水安全、粮食安全、防洪安全。 </w:t>
      </w:r>
    </w:p>
    <w:p>
      <w:pPr>
        <w:autoSpaceDE/>
        <w:autoSpaceDN/>
        <w:adjustRightInd w:val="0"/>
        <w:snapToGrid w:val="0"/>
        <w:spacing w:line="360" w:lineRule="auto"/>
        <w:ind w:firstLine="480" w:firstLineChars="200"/>
        <w:contextualSpacing/>
        <w:rPr>
          <w:rFonts w:hint="eastAsia"/>
          <w:color w:val="000000" w:themeColor="text1"/>
          <w:kern w:val="0"/>
          <w:sz w:val="24"/>
          <w:szCs w:val="18"/>
          <w:lang w:val="en-US" w:eastAsia="zh-CN"/>
          <w14:textFill>
            <w14:solidFill>
              <w14:schemeClr w14:val="tx1"/>
            </w14:solidFill>
          </w14:textFill>
        </w:rPr>
      </w:pPr>
      <w:r>
        <w:rPr>
          <w:rFonts w:hint="eastAsia"/>
          <w:color w:val="000000" w:themeColor="text1"/>
          <w:kern w:val="0"/>
          <w:sz w:val="24"/>
          <w:szCs w:val="18"/>
          <w:lang w:val="en-US" w:eastAsia="zh-CN"/>
          <w14:textFill>
            <w14:solidFill>
              <w14:schemeClr w14:val="tx1"/>
            </w14:solidFill>
          </w14:textFill>
        </w:rPr>
        <w:t>规划提到：发展农业节水。</w:t>
      </w:r>
      <w:r>
        <w:rPr>
          <w:rFonts w:hint="eastAsia"/>
          <w:b/>
          <w:bCs/>
          <w:color w:val="000000" w:themeColor="text1"/>
          <w:kern w:val="0"/>
          <w:sz w:val="24"/>
          <w:szCs w:val="18"/>
          <w:lang w:val="en-US" w:eastAsia="zh-CN"/>
          <w14:textFill>
            <w14:solidFill>
              <w14:schemeClr w14:val="tx1"/>
            </w14:solidFill>
          </w14:textFill>
        </w:rPr>
        <w:t>加强农村小型灌区渠系防渗改造</w:t>
      </w:r>
      <w:r>
        <w:rPr>
          <w:rFonts w:hint="eastAsia"/>
          <w:color w:val="000000" w:themeColor="text1"/>
          <w:kern w:val="0"/>
          <w:sz w:val="24"/>
          <w:szCs w:val="18"/>
          <w:lang w:val="en-US" w:eastAsia="zh-CN"/>
          <w14:textFill>
            <w14:solidFill>
              <w14:schemeClr w14:val="tx1"/>
            </w14:solidFill>
          </w14:textFill>
        </w:rPr>
        <w:t>，推广管道输</w:t>
      </w:r>
      <w:r>
        <w:rPr>
          <w:rFonts w:hint="default"/>
          <w:color w:val="000000" w:themeColor="text1"/>
          <w:kern w:val="0"/>
          <w:sz w:val="24"/>
          <w:szCs w:val="18"/>
          <w:lang w:val="en-US" w:eastAsia="zh-CN"/>
          <w14:textFill>
            <w14:solidFill>
              <w14:schemeClr w14:val="tx1"/>
            </w14:solidFill>
          </w14:textFill>
        </w:rPr>
        <w:t>水、喷灌、滴灌、微灌等高效节水技术。到2020年，流域各区县农田灌溉水有效利用系数提高到0.476。</w:t>
      </w:r>
    </w:p>
    <w:p>
      <w:pPr>
        <w:autoSpaceDE/>
        <w:autoSpaceDN/>
        <w:adjustRightInd w:val="0"/>
        <w:snapToGrid w:val="0"/>
        <w:spacing w:line="360" w:lineRule="auto"/>
        <w:ind w:firstLine="482" w:firstLineChars="200"/>
        <w:contextualSpacing/>
        <w:rPr>
          <w:rFonts w:hint="default"/>
          <w:b/>
          <w:bCs/>
          <w:color w:val="000000" w:themeColor="text1"/>
          <w:kern w:val="0"/>
          <w:sz w:val="24"/>
          <w:szCs w:val="18"/>
          <w:lang w:val="en-US" w:eastAsia="zh-CN"/>
          <w14:textFill>
            <w14:solidFill>
              <w14:schemeClr w14:val="tx1"/>
            </w14:solidFill>
          </w14:textFill>
        </w:rPr>
      </w:pPr>
      <w:r>
        <w:rPr>
          <w:rFonts w:hint="eastAsia"/>
          <w:b/>
          <w:bCs/>
          <w:color w:val="000000" w:themeColor="text1"/>
          <w:kern w:val="0"/>
          <w:sz w:val="24"/>
          <w:szCs w:val="18"/>
          <w:lang w:val="en-US" w:eastAsia="zh-CN"/>
          <w14:textFill>
            <w14:solidFill>
              <w14:schemeClr w14:val="tx1"/>
            </w14:solidFill>
          </w14:textFill>
        </w:rPr>
        <w:t>本项目为灌区渠道整治工程，主要对现有渠道进行整治，</w:t>
      </w:r>
      <w:r>
        <w:rPr>
          <w:rFonts w:hint="eastAsia"/>
          <w:b/>
          <w:bCs/>
          <w:color w:val="000000" w:themeColor="text1"/>
          <w:sz w:val="24"/>
          <w14:textFill>
            <w14:solidFill>
              <w14:schemeClr w14:val="tx1"/>
            </w14:solidFill>
          </w14:textFill>
        </w:rPr>
        <w:t>通过对破损渠道进行修复，</w:t>
      </w:r>
      <w:r>
        <w:rPr>
          <w:rFonts w:hint="eastAsia"/>
          <w:b/>
          <w:bCs/>
          <w:color w:val="000000" w:themeColor="text1"/>
          <w:kern w:val="0"/>
          <w:sz w:val="24"/>
          <w:szCs w:val="18"/>
          <w:lang w:val="en-US" w:eastAsia="zh-CN"/>
          <w14:textFill>
            <w14:solidFill>
              <w14:schemeClr w14:val="tx1"/>
            </w14:solidFill>
          </w14:textFill>
        </w:rPr>
        <w:t>提高灌溉效率，符合《四川省沱江流域综合规划》要求。</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11" w:name="_Toc20823"/>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与</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沱</w:t>
      </w:r>
      <w:r>
        <w:rPr>
          <w:rFonts w:hint="default" w:ascii="Times New Roman" w:hAnsi="Times New Roman" w:cs="Times New Roman"/>
          <w:color w:val="000000" w:themeColor="text1"/>
          <w:lang w:val="en-US" w:eastAsia="zh-CN"/>
          <w14:textFill>
            <w14:solidFill>
              <w14:schemeClr w14:val="tx1"/>
            </w14:solidFill>
          </w14:textFill>
        </w:rPr>
        <w:t>江流域综合规划环境影响报告书》及审查意见</w:t>
      </w:r>
      <w:r>
        <w:rPr>
          <w:rFonts w:hint="eastAsia" w:ascii="Times New Roman" w:hAnsi="Times New Roman" w:cs="Times New Roman"/>
          <w:color w:val="000000" w:themeColor="text1"/>
          <w14:textFill>
            <w14:solidFill>
              <w14:schemeClr w14:val="tx1"/>
            </w14:solidFill>
          </w14:textFill>
        </w:rPr>
        <w:t>的符合性分析</w:t>
      </w:r>
      <w:bookmarkEnd w:id="211"/>
    </w:p>
    <w:p>
      <w:pPr>
        <w:widowControl/>
        <w:adjustRightInd w:val="0"/>
        <w:snapToGrid w:val="0"/>
        <w:spacing w:line="360" w:lineRule="auto"/>
        <w:ind w:firstLine="480" w:firstLineChars="200"/>
        <w:rPr>
          <w:rFonts w:hint="default" w:ascii="Times New Roman" w:hAnsi="Times New Roman" w:eastAsia="宋体" w:cs="Times New Roman"/>
          <w:color w:val="000000" w:themeColor="text1"/>
          <w:kern w:val="0"/>
          <w:sz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lang w:val="en-US" w:eastAsia="zh-CN" w:bidi="ar"/>
          <w14:textFill>
            <w14:solidFill>
              <w14:schemeClr w14:val="tx1"/>
            </w14:solidFill>
          </w14:textFill>
        </w:rPr>
        <w:t>《四川省沱江流域综合规划环境影响报告书》由四川蜀禹水利水电工程设计有限公司于2019年7月编制完成，并于2019年8月21日取得《四川省生态环境厅关于印发&lt;沱江流域综合规划环境影响报告书&gt;审查意见的函》（川环建函[2019]56号）。</w:t>
      </w:r>
    </w:p>
    <w:p>
      <w:pPr>
        <w:widowControl/>
        <w:adjustRightInd w:val="0"/>
        <w:snapToGrid w:val="0"/>
        <w:spacing w:line="360" w:lineRule="auto"/>
        <w:ind w:firstLine="480" w:firstLineChars="200"/>
        <w:rPr>
          <w:rFonts w:hint="default" w:ascii="Times New Roman" w:hAnsi="Times New Roman" w:eastAsia="宋体" w:cs="Times New Roman"/>
          <w:color w:val="000000" w:themeColor="text1"/>
          <w:kern w:val="0"/>
          <w:sz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lang w:val="en-US" w:eastAsia="zh-CN" w:bidi="ar"/>
          <w14:textFill>
            <w14:solidFill>
              <w14:schemeClr w14:val="tx1"/>
            </w14:solidFill>
          </w14:textFill>
        </w:rPr>
        <w:t xml:space="preserve">报告书结论为：“在落实本次规划环评提出的优化调整建议与环境保护对策措施后，规划实施的环境影响可得到减缓；在不影响实现沱江流域及主要控制断面水环境保护目标的前提下，规划方案实施总体可行。 </w:t>
      </w:r>
    </w:p>
    <w:p>
      <w:pPr>
        <w:widowControl/>
        <w:adjustRightInd w:val="0"/>
        <w:snapToGrid w:val="0"/>
        <w:spacing w:line="360" w:lineRule="auto"/>
        <w:ind w:firstLine="480" w:firstLineChars="200"/>
        <w:rPr>
          <w:rFonts w:hint="default" w:ascii="Times New Roman" w:hAnsi="Times New Roman" w:eastAsia="宋体" w:cs="Times New Roman"/>
          <w:color w:val="000000" w:themeColor="text1"/>
          <w:kern w:val="0"/>
          <w:sz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lang w:val="en-US" w:eastAsia="zh-CN" w:bidi="ar"/>
          <w14:textFill>
            <w14:solidFill>
              <w14:schemeClr w14:val="tx1"/>
            </w14:solidFill>
          </w14:textFill>
        </w:rPr>
        <w:t xml:space="preserve">规划环评中对规划方案提出了优化调整建议：（1）水资源配制规划的优化调整建议；（2）防洪减灾规划优化调整建议；（3）灌溉规划优化调整建议；（4）水力发展规划；（5）航运规划。其中水资源配制规划的优化调整建议为：“《综合规划》提出的各市（州）用水总量不满足现行最严格的水资源管理制度，需对水资源配置规划方案进一步论证、优化。” </w:t>
      </w:r>
    </w:p>
    <w:p>
      <w:pPr>
        <w:widowControl/>
        <w:adjustRightInd w:val="0"/>
        <w:snapToGrid w:val="0"/>
        <w:spacing w:line="360" w:lineRule="auto"/>
        <w:ind w:firstLine="482" w:firstLineChars="200"/>
        <w:rPr>
          <w:rFonts w:hint="default" w:ascii="Times New Roman" w:hAnsi="Times New Roman" w:eastAsia="宋体" w:cs="Times New Roman"/>
          <w:color w:val="000000" w:themeColor="text1"/>
          <w:kern w:val="0"/>
          <w:sz w:val="24"/>
          <w:szCs w:val="18"/>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18"/>
          <w:lang w:val="en-US" w:eastAsia="zh-CN"/>
          <w14:textFill>
            <w14:solidFill>
              <w14:schemeClr w14:val="tx1"/>
            </w14:solidFill>
          </w14:textFill>
        </w:rPr>
        <w:t>本项目为灌区渠道整治工程，主要对现有渠道进行整治，不会改变原有渠道线路，取水量，不会影响沱江流域及主要控制断面水环境保护目标；因此，本项目的建设与</w:t>
      </w:r>
      <w:r>
        <w:rPr>
          <w:rFonts w:hint="default" w:ascii="Times New Roman" w:hAnsi="Times New Roman" w:eastAsia="宋体" w:cs="Times New Roman"/>
          <w:b/>
          <w:bCs/>
          <w:color w:val="000000" w:themeColor="text1"/>
          <w:kern w:val="0"/>
          <w:sz w:val="24"/>
          <w:szCs w:val="18"/>
          <w:lang w:val="en-US" w:eastAsia="zh-CN" w:bidi="ar-SA"/>
          <w14:textFill>
            <w14:solidFill>
              <w14:schemeClr w14:val="tx1"/>
            </w14:solidFill>
          </w14:textFill>
        </w:rPr>
        <w:t>《岷江流域综合规划环境影响报告书》及审查意见的相关要求相符。</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12" w:name="_Toc24234"/>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6</w:t>
      </w:r>
      <w:r>
        <w:rPr>
          <w:rFonts w:hint="eastAsia" w:ascii="Times New Roman" w:hAnsi="Times New Roman" w:cs="Times New Roman"/>
          <w:color w:val="000000" w:themeColor="text1"/>
          <w14:textFill>
            <w14:solidFill>
              <w14:schemeClr w14:val="tx1"/>
            </w14:solidFill>
          </w14:textFill>
        </w:rPr>
        <w:t>与《成都市“十四五”水务发展规划》符合性分析</w:t>
      </w:r>
      <w:bookmarkEnd w:id="212"/>
    </w:p>
    <w:p>
      <w:pPr>
        <w:widowControl/>
        <w:adjustRightInd w:val="0"/>
        <w:snapToGrid w:val="0"/>
        <w:spacing w:line="360" w:lineRule="auto"/>
        <w:ind w:firstLine="480" w:firstLineChars="200"/>
        <w:rPr>
          <w:rFonts w:hint="default" w:ascii="Times New Roman" w:hAnsi="Times New Roman" w:eastAsia="宋体" w:cs="Times New Roman"/>
          <w:color w:val="000000" w:themeColor="text1"/>
          <w:kern w:val="0"/>
          <w:sz w:val="24"/>
          <w:lang w:bidi="ar"/>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在规划任务第二点“建设节约、高效、合理的水资源体系”中提到要</w:t>
      </w:r>
      <w:r>
        <w:rPr>
          <w:rFonts w:hint="default" w:ascii="Times New Roman" w:hAnsi="Times New Roman" w:eastAsia="宋体" w:cs="Times New Roman"/>
          <w:b/>
          <w:bCs/>
          <w:color w:val="000000" w:themeColor="text1"/>
          <w:kern w:val="0"/>
          <w:sz w:val="24"/>
          <w:lang w:bidi="ar"/>
          <w14:textFill>
            <w14:solidFill>
              <w14:schemeClr w14:val="tx1"/>
            </w14:solidFill>
          </w14:textFill>
        </w:rPr>
        <w:t>持续推进灌区现代化建设</w:t>
      </w:r>
      <w:r>
        <w:rPr>
          <w:rFonts w:hint="default" w:ascii="Times New Roman" w:hAnsi="Times New Roman" w:eastAsia="宋体" w:cs="Times New Roman"/>
          <w:color w:val="000000" w:themeColor="text1"/>
          <w:kern w:val="0"/>
          <w:sz w:val="24"/>
          <w:lang w:bidi="ar"/>
          <w14:textFill>
            <w14:solidFill>
              <w14:schemeClr w14:val="tx1"/>
            </w14:solidFill>
          </w14:textFill>
        </w:rPr>
        <w:t>和深化农业水价综合改革。</w:t>
      </w:r>
      <w:r>
        <w:rPr>
          <w:rFonts w:hint="default" w:ascii="Times New Roman" w:hAnsi="Times New Roman" w:eastAsia="宋体" w:cs="Times New Roman"/>
          <w:b/>
          <w:bCs/>
          <w:color w:val="000000" w:themeColor="text1"/>
          <w:kern w:val="0"/>
          <w:sz w:val="24"/>
          <w:lang w:bidi="ar"/>
          <w14:textFill>
            <w14:solidFill>
              <w14:schemeClr w14:val="tx1"/>
            </w14:solidFill>
          </w14:textFill>
        </w:rPr>
        <w:t>继续推进都江堰、九龙滩、湔江堰等大中型灌区现代化建设，在灌区安装配套计量设施、组建用水合作组织、实现灌区干支渠及部分斗渠计量，建设灌区现代化管理市级信息化平台，实现区域灌溉用水实时计量、随时调度</w:t>
      </w:r>
      <w:r>
        <w:rPr>
          <w:rFonts w:hint="default" w:ascii="Times New Roman" w:hAnsi="Times New Roman" w:eastAsia="宋体" w:cs="Times New Roman"/>
          <w:color w:val="000000" w:themeColor="text1"/>
          <w:kern w:val="0"/>
          <w:sz w:val="24"/>
          <w:lang w:bidi="ar"/>
          <w14:textFill>
            <w14:solidFill>
              <w14:schemeClr w14:val="tx1"/>
            </w14:solidFill>
          </w14:textFill>
        </w:rPr>
        <w:t>。</w:t>
      </w:r>
    </w:p>
    <w:p>
      <w:pPr>
        <w:widowControl/>
        <w:adjustRightInd w:val="0"/>
        <w:snapToGrid w:val="0"/>
        <w:spacing w:line="360" w:lineRule="auto"/>
        <w:ind w:firstLine="480" w:firstLineChars="200"/>
        <w:rPr>
          <w:rFonts w:hint="default" w:ascii="Times New Roman" w:hAnsi="Times New Roman" w:eastAsia="宋体" w:cs="Times New Roman"/>
          <w:color w:val="000000" w:themeColor="text1"/>
          <w:kern w:val="0"/>
          <w:sz w:val="24"/>
          <w:lang w:bidi="ar"/>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在规划任务第三点“建设健康、和谐、持续的水生态体系”中提到加快推进全域绿道蓝网建设，着力打造城市“绿肺”，增强保水能力。一是配合开展全域“一轴两山三环七带”天府绿道体系建设。二是加快构建“天府蓝网”整体骨架，以一环路内老城水网渠系为“一核”，</w:t>
      </w:r>
      <w:r>
        <w:rPr>
          <w:rFonts w:hint="default" w:ascii="Times New Roman" w:hAnsi="Times New Roman" w:eastAsia="宋体" w:cs="Times New Roman"/>
          <w:b/>
          <w:bCs/>
          <w:color w:val="000000" w:themeColor="text1"/>
          <w:kern w:val="0"/>
          <w:sz w:val="24"/>
          <w:lang w:bidi="ar"/>
          <w14:textFill>
            <w14:solidFill>
              <w14:schemeClr w14:val="tx1"/>
            </w14:solidFill>
          </w14:textFill>
        </w:rPr>
        <w:t>锦城公园水网体系为“一环”</w:t>
      </w:r>
      <w:r>
        <w:rPr>
          <w:rFonts w:hint="default" w:ascii="Times New Roman" w:hAnsi="Times New Roman" w:eastAsia="宋体" w:cs="Times New Roman"/>
          <w:color w:val="000000" w:themeColor="text1"/>
          <w:kern w:val="0"/>
          <w:sz w:val="24"/>
          <w:lang w:bidi="ar"/>
          <w14:textFill>
            <w14:solidFill>
              <w14:schemeClr w14:val="tx1"/>
            </w14:solidFill>
          </w14:textFill>
        </w:rPr>
        <w:t>，人文锦江、生态岷江和未来沱江为“三江”，九条引领片区发展的主要水系轴线为“九带”，叠加一、二、三级蓝网，构建城市段、田园段、风景段、生态段四类“天府蓝网”场景。</w:t>
      </w:r>
    </w:p>
    <w:p>
      <w:pPr>
        <w:widowControl/>
        <w:adjustRightInd w:val="0"/>
        <w:snapToGrid w:val="0"/>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在规划任务第五点“建设智慧、创新、现代的水务管理体系”中提到要</w:t>
      </w:r>
      <w:r>
        <w:rPr>
          <w:rFonts w:hint="default" w:ascii="Times New Roman" w:hAnsi="Times New Roman" w:eastAsia="宋体" w:cs="Times New Roman"/>
          <w:b/>
          <w:bCs/>
          <w:color w:val="000000" w:themeColor="text1"/>
          <w:kern w:val="0"/>
          <w:sz w:val="24"/>
          <w:lang w:bidi="ar"/>
          <w14:textFill>
            <w14:solidFill>
              <w14:schemeClr w14:val="tx1"/>
            </w14:solidFill>
          </w14:textFill>
        </w:rPr>
        <w:t>优化智慧水务系统，建设智慧水务综合管理平台</w:t>
      </w:r>
      <w:r>
        <w:rPr>
          <w:rFonts w:hint="default" w:ascii="Times New Roman" w:hAnsi="Times New Roman" w:eastAsia="宋体" w:cs="Times New Roman"/>
          <w:color w:val="000000" w:themeColor="text1"/>
          <w:kern w:val="0"/>
          <w:sz w:val="24"/>
          <w:lang w:bidi="ar"/>
          <w14:textFill>
            <w14:solidFill>
              <w14:schemeClr w14:val="tx1"/>
            </w14:solidFill>
          </w14:textFill>
        </w:rPr>
        <w:t>，推动“供排净治”一体化发展。</w:t>
      </w:r>
    </w:p>
    <w:p>
      <w:pPr>
        <w:widowControl/>
        <w:adjustRightInd w:val="0"/>
        <w:snapToGrid w:val="0"/>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在规划任务第六点“建设多样、自信、繁荣的水文化体系”中提到要结合中小河流治理、河湖水系连通、水美乡村建设、水土保持生态建设、</w:t>
      </w:r>
      <w:r>
        <w:rPr>
          <w:rFonts w:hint="default" w:ascii="Times New Roman" w:hAnsi="Times New Roman" w:eastAsia="宋体" w:cs="Times New Roman"/>
          <w:b/>
          <w:bCs/>
          <w:color w:val="000000" w:themeColor="text1"/>
          <w:kern w:val="0"/>
          <w:sz w:val="24"/>
          <w:lang w:bidi="ar"/>
          <w14:textFill>
            <w14:solidFill>
              <w14:schemeClr w14:val="tx1"/>
            </w14:solidFill>
          </w14:textFill>
        </w:rPr>
        <w:t>大中型灌区现代化改造等工程</w:t>
      </w:r>
      <w:r>
        <w:rPr>
          <w:rFonts w:hint="default" w:ascii="Times New Roman" w:hAnsi="Times New Roman" w:eastAsia="宋体" w:cs="Times New Roman"/>
          <w:color w:val="000000" w:themeColor="text1"/>
          <w:kern w:val="0"/>
          <w:sz w:val="24"/>
          <w:lang w:bidi="ar"/>
          <w14:textFill>
            <w14:solidFill>
              <w14:schemeClr w14:val="tx1"/>
            </w14:solidFill>
          </w14:textFill>
        </w:rPr>
        <w:t>，建设三岔湖、东安湖等一批集水利科普、滨水游憩、宗教文化、运动休闲、生态度假、商贸旅游等多功能于一体的水利风景区。</w:t>
      </w:r>
    </w:p>
    <w:p>
      <w:pPr>
        <w:pStyle w:val="22"/>
        <w:adjustRightInd w:val="0"/>
        <w:snapToGrid w:val="0"/>
        <w:spacing w:after="0" w:line="360" w:lineRule="auto"/>
        <w:ind w:left="0" w:leftChars="0"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本项目为渠道整治工程，项目的建设有利于灌区现代化建设，优化智慧水务系统，改善水环境面貌等；因此，本项目与《成都市“十四五”水务发展规划》相符。</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13" w:name="_Toc3049"/>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7</w:t>
      </w:r>
      <w:r>
        <w:rPr>
          <w:rFonts w:hint="eastAsia" w:ascii="Times New Roman" w:hAnsi="Times New Roman" w:cs="Times New Roman"/>
          <w:color w:val="000000" w:themeColor="text1"/>
          <w14:textFill>
            <w14:solidFill>
              <w14:schemeClr w14:val="tx1"/>
            </w14:solidFill>
          </w14:textFill>
        </w:rPr>
        <w:t>与《龙泉花果山风景名胜区总体规划(2022-2035年)》符合性分析</w:t>
      </w:r>
      <w:bookmarkEnd w:id="213"/>
    </w:p>
    <w:p>
      <w:pPr>
        <w:pStyle w:val="14"/>
        <w:spacing w:line="360" w:lineRule="auto"/>
        <w:ind w:firstLine="480" w:firstLineChars="200"/>
        <w:rPr>
          <w:rFonts w:hint="eastAsia"/>
          <w:color w:val="000000" w:themeColor="text1"/>
          <w:szCs w:val="21"/>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根据四川省人民政府2022年5月11号发布的“四川省人民政府《关于龙泉花果山风景名胜区总体规划（2022-2035年）的批复》”，川府函〔2022〕104号文件，该规划已取得法定批复。</w:t>
      </w:r>
    </w:p>
    <w:p>
      <w:pPr>
        <w:pStyle w:val="14"/>
        <w:spacing w:line="360" w:lineRule="auto"/>
        <w:ind w:firstLine="48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本项目南五、南六支渠位于龙泉花果山风景名胜区三级保护区（控制建设范围）范围内，根据规划：</w:t>
      </w:r>
    </w:p>
    <w:p>
      <w:pPr>
        <w:pStyle w:val="14"/>
        <w:spacing w:line="360" w:lineRule="auto"/>
        <w:ind w:firstLine="48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级保护区可维持原有土地利用方式与形态。根据不同区域的主导功能合理安排旅游服务设施和相关建设，区内建设应控制建设功能、建设规模、建设强度、建筑高度和形式等，与风景环境相协调。应编制详细规划，并依据详细规划合理安排旅游服务设施，有序引导各项建设活动及村庄建设。详细规划必须符合总体规划，建设风貌必须与风景环境相协调，基础工程设施等功能应有利于风景名胜区的保护和运营，基础工程设施必须符合相关技术规范和满足环保要求。</w:t>
      </w:r>
    </w:p>
    <w:p>
      <w:pPr>
        <w:pStyle w:val="14"/>
        <w:numPr>
          <w:ilvl w:val="0"/>
          <w:numId w:val="2"/>
        </w:numPr>
        <w:spacing w:line="360" w:lineRule="auto"/>
        <w:ind w:firstLine="48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区内的村庄协调区可接纳从一级保护区、二级保护区疏解的居民，禁止风景区外人口迁入。可对区内村庄进行合理调整置换建设用地，安排旅游设施。</w:t>
      </w:r>
    </w:p>
    <w:p>
      <w:pPr>
        <w:pStyle w:val="14"/>
        <w:numPr>
          <w:ilvl w:val="0"/>
          <w:numId w:val="2"/>
        </w:numPr>
        <w:spacing w:line="360" w:lineRule="auto"/>
        <w:ind w:firstLine="48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区内的旅游服务区建设应统筹用地规划，优化建设布局，保持山体余脉、河流水系、田园绿地自然要素，</w:t>
      </w:r>
    </w:p>
    <w:p>
      <w:pPr>
        <w:pStyle w:val="14"/>
        <w:spacing w:line="360" w:lineRule="auto"/>
        <w:ind w:firstLine="48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（3）区内的风景游览区以开展风景游览、欣赏为主要功能，可根据游览需要开展景点、游步道及必要的游览服务设施建设。</w:t>
      </w:r>
    </w:p>
    <w:p>
      <w:pPr>
        <w:pStyle w:val="14"/>
        <w:spacing w:line="360" w:lineRule="auto"/>
        <w:ind w:firstLine="48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（4）不得安排污染环境和破坏景观的项目，已经存在的应采取措施限期进行调整、改造或拆除。</w:t>
      </w:r>
    </w:p>
    <w:p>
      <w:pPr>
        <w:pStyle w:val="14"/>
        <w:spacing w:line="360" w:lineRule="auto"/>
        <w:ind w:firstLine="48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（5）严格执行长江经济带负面清单管理制度。</w:t>
      </w:r>
    </w:p>
    <w:p>
      <w:pPr>
        <w:pStyle w:val="14"/>
        <w:spacing w:line="360" w:lineRule="auto"/>
        <w:ind w:firstLine="482" w:firstLineChars="200"/>
        <w:rPr>
          <w:rFonts w:hint="eastAsia"/>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本项目仅南五</w:t>
      </w:r>
      <w:r>
        <w:rPr>
          <w:rFonts w:hint="eastAsia"/>
          <w:b/>
          <w:bCs/>
          <w:color w:val="000000" w:themeColor="text1"/>
          <w:szCs w:val="21"/>
          <w:lang w:val="en-US" w:eastAsia="zh-CN"/>
          <w14:textFill>
            <w14:solidFill>
              <w14:schemeClr w14:val="tx1"/>
            </w14:solidFill>
          </w14:textFill>
        </w:rPr>
        <w:t>支渠起点至下游约2.037km</w:t>
      </w:r>
      <w:r>
        <w:rPr>
          <w:rFonts w:hint="eastAsia"/>
          <w:b/>
          <w:bCs/>
          <w:color w:val="000000" w:themeColor="text1"/>
          <w:szCs w:val="21"/>
          <w14:textFill>
            <w14:solidFill>
              <w14:schemeClr w14:val="tx1"/>
            </w14:solidFill>
          </w14:textFill>
        </w:rPr>
        <w:t>、南六支渠</w:t>
      </w:r>
      <w:r>
        <w:rPr>
          <w:rFonts w:hint="eastAsia"/>
          <w:b/>
          <w:bCs/>
          <w:color w:val="000000" w:themeColor="text1"/>
          <w:szCs w:val="21"/>
          <w:lang w:val="en-US" w:eastAsia="zh-CN"/>
          <w14:textFill>
            <w14:solidFill>
              <w14:schemeClr w14:val="tx1"/>
            </w14:solidFill>
          </w14:textFill>
        </w:rPr>
        <w:t>起点至下游约0.6km</w:t>
      </w:r>
      <w:r>
        <w:rPr>
          <w:rFonts w:hint="eastAsia"/>
          <w:b/>
          <w:bCs/>
          <w:color w:val="000000" w:themeColor="text1"/>
          <w:szCs w:val="21"/>
          <w14:textFill>
            <w14:solidFill>
              <w14:schemeClr w14:val="tx1"/>
            </w14:solidFill>
          </w14:textFill>
        </w:rPr>
        <w:t>位于龙泉花果山风景名胜区三级保护区范围内，为渠道改造项目，仅在原有渠道内进行改造，不改变保护区内河流水系，属于非污染类项目；施工结束后对原有植被进</w:t>
      </w:r>
      <w:r>
        <w:rPr>
          <w:rFonts w:hint="eastAsia"/>
          <w:b/>
          <w:bCs/>
          <w:color w:val="000000" w:themeColor="text1"/>
          <w:szCs w:val="21"/>
          <w:lang w:val="en-US" w:eastAsia="zh-CN"/>
          <w14:textFill>
            <w14:solidFill>
              <w14:schemeClr w14:val="tx1"/>
            </w14:solidFill>
          </w14:textFill>
        </w:rPr>
        <w:t>行</w:t>
      </w:r>
      <w:r>
        <w:rPr>
          <w:rFonts w:hint="eastAsia"/>
          <w:b/>
          <w:bCs/>
          <w:color w:val="000000" w:themeColor="text1"/>
          <w:szCs w:val="21"/>
          <w14:textFill>
            <w14:solidFill>
              <w14:schemeClr w14:val="tx1"/>
            </w14:solidFill>
          </w14:textFill>
        </w:rPr>
        <w:t>恢复，不会破坏原有景观</w:t>
      </w:r>
      <w:r>
        <w:rPr>
          <w:rFonts w:hint="eastAsia"/>
          <w:b/>
          <w:bCs/>
          <w:color w:val="000000" w:themeColor="text1"/>
          <w:szCs w:val="21"/>
          <w:lang w:eastAsia="zh-CN"/>
          <w14:textFill>
            <w14:solidFill>
              <w14:schemeClr w14:val="tx1"/>
            </w14:solidFill>
          </w14:textFill>
        </w:rPr>
        <w:t>；</w:t>
      </w:r>
      <w:r>
        <w:rPr>
          <w:rFonts w:hint="eastAsia"/>
          <w:b/>
          <w:bCs/>
          <w:color w:val="000000" w:themeColor="text1"/>
          <w:szCs w:val="21"/>
          <w:lang w:val="en-US" w:eastAsia="zh-CN"/>
          <w14:textFill>
            <w14:solidFill>
              <w14:schemeClr w14:val="tx1"/>
            </w14:solidFill>
          </w14:textFill>
        </w:rPr>
        <w:t>风景名胜区内不涉弃渣场、堆料场等，施工时尽量利用现有道路，并根据实际情况设临时便道</w:t>
      </w:r>
      <w:r>
        <w:rPr>
          <w:rFonts w:hint="eastAsia"/>
          <w:b/>
          <w:bCs/>
          <w:color w:val="000000" w:themeColor="text1"/>
          <w:szCs w:val="21"/>
          <w14:textFill>
            <w14:solidFill>
              <w14:schemeClr w14:val="tx1"/>
            </w14:solidFill>
          </w14:textFill>
        </w:rPr>
        <w:t>。</w:t>
      </w:r>
    </w:p>
    <w:p>
      <w:pPr>
        <w:pStyle w:val="14"/>
        <w:spacing w:line="360" w:lineRule="auto"/>
        <w:ind w:firstLine="482" w:firstLineChars="200"/>
        <w:rPr>
          <w:rFonts w:hint="eastAsia"/>
          <w:b/>
          <w:bCs/>
          <w:color w:val="000000" w:themeColor="text1"/>
          <w:szCs w:val="21"/>
          <w14:textFill>
            <w14:solidFill>
              <w14:schemeClr w14:val="tx1"/>
            </w14:solidFill>
          </w14:textFill>
        </w:rPr>
      </w:pPr>
      <w:r>
        <w:rPr>
          <w:rFonts w:hint="eastAsia"/>
          <w:b/>
          <w:bCs/>
          <w:color w:val="000000" w:themeColor="text1"/>
          <w:szCs w:val="21"/>
          <w:lang w:val="en-US" w:eastAsia="zh-CN"/>
          <w14:textFill>
            <w14:solidFill>
              <w14:schemeClr w14:val="tx1"/>
            </w14:solidFill>
          </w14:textFill>
        </w:rPr>
        <w:t>根据成都市公园城市建设管理局《关于同意成都市环城生态区农田综合整治及农业灌区设施建设项目灌区水利设施建设（二标段）选址方案的批复》（成公园城市函〔2024〕91号）：项目与风景名胜区规</w:t>
      </w:r>
      <w:r>
        <w:rPr>
          <w:rFonts w:hint="eastAsia"/>
          <w:b/>
          <w:bCs/>
          <w:color w:val="000000" w:themeColor="text1"/>
          <w:szCs w:val="21"/>
          <w14:textFill>
            <w14:solidFill>
              <w14:schemeClr w14:val="tx1"/>
            </w14:solidFill>
          </w14:textFill>
        </w:rPr>
        <w:t>划的管控要求无明显冲突，我局同意该项目在龙泉花果山风景名胜区三级保护区内的选址方案。</w:t>
      </w:r>
    </w:p>
    <w:p>
      <w:pPr>
        <w:pStyle w:val="14"/>
        <w:spacing w:line="360" w:lineRule="auto"/>
        <w:ind w:firstLine="482" w:firstLineChars="200"/>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故本项目的建设与成都市龙泉花果山风景名胜区总体规划（2022-2035）</w:t>
      </w:r>
      <w:r>
        <w:rPr>
          <w:rFonts w:hint="eastAsia"/>
          <w:b/>
          <w:bCs/>
          <w:color w:val="000000" w:themeColor="text1"/>
          <w:szCs w:val="21"/>
          <w:lang w:val="en-US" w:eastAsia="zh-CN"/>
          <w14:textFill>
            <w14:solidFill>
              <w14:schemeClr w14:val="tx1"/>
            </w14:solidFill>
          </w14:textFill>
        </w:rPr>
        <w:t>要求不冲突</w:t>
      </w:r>
      <w:r>
        <w:rPr>
          <w:rFonts w:hint="eastAsia"/>
          <w:b/>
          <w:bCs/>
          <w:color w:val="000000" w:themeColor="text1"/>
          <w:szCs w:val="21"/>
          <w14:textFill>
            <w14:solidFill>
              <w14:schemeClr w14:val="tx1"/>
            </w14:solidFill>
          </w14:textFill>
        </w:rPr>
        <w:t>。</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14" w:name="_Toc11001"/>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8</w:t>
      </w:r>
      <w:r>
        <w:rPr>
          <w:rFonts w:hint="eastAsia" w:ascii="Times New Roman" w:hAnsi="Times New Roman" w:cs="Times New Roman"/>
          <w:color w:val="000000" w:themeColor="text1"/>
          <w14:textFill>
            <w14:solidFill>
              <w14:schemeClr w14:val="tx1"/>
            </w14:solidFill>
          </w14:textFill>
        </w:rPr>
        <w:t>与《风景名胜区管理条例》、《四川省风景名胜区管理条例》符合性分析</w:t>
      </w:r>
      <w:bookmarkEnd w:id="214"/>
    </w:p>
    <w:p>
      <w:pPr>
        <w:pStyle w:val="127"/>
        <w:adjustRightInd w:val="0"/>
        <w:spacing w:line="240" w:lineRule="auto"/>
        <w:ind w:firstLine="0" w:firstLineChars="0"/>
        <w:jc w:val="center"/>
        <w:rPr>
          <w:rFonts w:eastAsia="黑体"/>
          <w:color w:val="000000" w:themeColor="text1"/>
          <w:szCs w:val="24"/>
          <w14:textFill>
            <w14:solidFill>
              <w14:schemeClr w14:val="tx1"/>
            </w14:solidFill>
          </w14:textFill>
        </w:rPr>
      </w:pPr>
      <w:r>
        <w:rPr>
          <w:rFonts w:eastAsia="黑体"/>
          <w:color w:val="000000" w:themeColor="text1"/>
          <w:szCs w:val="24"/>
          <w14:textFill>
            <w14:solidFill>
              <w14:schemeClr w14:val="tx1"/>
            </w14:solidFill>
          </w14:textFill>
        </w:rPr>
        <w:t>表1</w:t>
      </w:r>
      <w:r>
        <w:rPr>
          <w:rFonts w:hint="eastAsia" w:eastAsia="黑体"/>
          <w:color w:val="000000" w:themeColor="text1"/>
          <w:szCs w:val="24"/>
          <w14:textFill>
            <w14:solidFill>
              <w14:schemeClr w14:val="tx1"/>
            </w14:solidFill>
          </w14:textFill>
        </w:rPr>
        <w:t>.8-1</w:t>
      </w:r>
      <w:r>
        <w:rPr>
          <w:rFonts w:eastAsia="黑体"/>
          <w:color w:val="000000" w:themeColor="text1"/>
          <w:szCs w:val="24"/>
          <w14:textFill>
            <w14:solidFill>
              <w14:schemeClr w14:val="tx1"/>
            </w14:solidFill>
          </w14:textFill>
        </w:rPr>
        <w:t>本项目与《</w:t>
      </w:r>
      <w:r>
        <w:rPr>
          <w:rFonts w:hint="eastAsia" w:eastAsia="黑体"/>
          <w:color w:val="000000" w:themeColor="text1"/>
          <w:szCs w:val="24"/>
          <w14:textFill>
            <w14:solidFill>
              <w14:schemeClr w14:val="tx1"/>
            </w14:solidFill>
          </w14:textFill>
        </w:rPr>
        <w:t>四川省风景名胜区</w:t>
      </w:r>
      <w:r>
        <w:rPr>
          <w:rFonts w:eastAsia="黑体"/>
          <w:color w:val="000000" w:themeColor="text1"/>
          <w:szCs w:val="24"/>
          <w14:textFill>
            <w14:solidFill>
              <w14:schemeClr w14:val="tx1"/>
            </w14:solidFill>
          </w14:textFill>
        </w:rPr>
        <w:t>》符合性分析</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0"/>
        <w:gridCol w:w="5054"/>
        <w:gridCol w:w="1617"/>
        <w:gridCol w:w="7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Align w:val="center"/>
          </w:tcPr>
          <w:p>
            <w:pPr>
              <w:keepNext w:val="0"/>
              <w:keepLines w:val="0"/>
              <w:suppressLineNumbers w:val="0"/>
              <w:adjustRightInd w:val="0"/>
              <w:snapToGrid w:val="0"/>
              <w:spacing w:before="0" w:beforeAutospacing="0" w:after="0" w:afterAutospacing="0"/>
              <w:ind w:left="0" w:right="0"/>
              <w:jc w:val="both"/>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类别</w:t>
            </w:r>
          </w:p>
        </w:tc>
        <w:tc>
          <w:tcPr>
            <w:tcW w:w="2966" w:type="pct"/>
            <w:vAlign w:val="center"/>
          </w:tcPr>
          <w:p>
            <w:pPr>
              <w:keepNext w:val="0"/>
              <w:keepLines w:val="0"/>
              <w:suppressLineNumbers w:val="0"/>
              <w:adjustRightInd w:val="0"/>
              <w:snapToGrid w:val="0"/>
              <w:spacing w:before="0" w:beforeAutospacing="0" w:after="0" w:afterAutospacing="0"/>
              <w:ind w:left="0" w:right="0"/>
              <w:jc w:val="both"/>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条例内容</w:t>
            </w:r>
          </w:p>
        </w:tc>
        <w:tc>
          <w:tcPr>
            <w:tcW w:w="949"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本项目情况</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《风景名胜区管理条例》</w:t>
            </w: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第二十四条风景名胜区内的景观和自然环境，应当根据可持续发展的原则，严格保护，不得破坏或者随意改变。</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风景名胜区管理机构应当建立健全风景名胜资源保护的各项管理制度。</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风景名胜区内的居民和游览者应当保护风景名胜区的景物、水体、林草植被、野生动物和各项设施。</w:t>
            </w:r>
          </w:p>
        </w:tc>
        <w:tc>
          <w:tcPr>
            <w:tcW w:w="949"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本项目为灌区改造项目，属于可持续发展项目</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第二十六条在风景名胜区内禁止进行下列活动：</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(一)开山、采石、开矿、开荒、修坟立碑等破坏景观、植被和地形地貌的活动；</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(二)修建储存爆炸性、易燃性、放射性、毒害性、腐蚀性物品的设施，</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(三)在景物或者设施上刻划、涂污；</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(四)乱扔垃圾。</w:t>
            </w:r>
          </w:p>
        </w:tc>
        <w:tc>
          <w:tcPr>
            <w:tcW w:w="949"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七条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949"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第二十八条在风景名胜区内从事本条例第二十六条、第二十七条禁止范围以外的建设活动，应当经风景名胜区管理机构审核后，依照有关法律、法规的规定办理审批手续。</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在国家级风景名胜区内修建缆车、索道等重大建设工程，项目的选址方案应当报省、自治区人民政府建设主管部门和直辖市人民政府风景名胜区主管部门核准。</w:t>
            </w:r>
          </w:p>
        </w:tc>
        <w:tc>
          <w:tcPr>
            <w:tcW w:w="949"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项目已取得</w:t>
            </w:r>
            <w:r>
              <w:rPr>
                <w:rFonts w:hint="eastAsia"/>
                <w:color w:val="000000" w:themeColor="text1"/>
                <w14:textFill>
                  <w14:solidFill>
                    <w14:schemeClr w14:val="tx1"/>
                  </w14:solidFill>
                </w14:textFill>
              </w:rPr>
              <w:t>成都市公园城市建设管理局准入批复</w:t>
            </w:r>
            <w:r>
              <w:rPr>
                <w:rFonts w:hint="eastAsia"/>
                <w:color w:val="000000" w:themeColor="text1"/>
                <w:lang w:eastAsia="zh-CN"/>
                <w14:textFill>
                  <w14:solidFill>
                    <w14:schemeClr w14:val="tx1"/>
                  </w14:solidFill>
                </w14:textFill>
              </w:rPr>
              <w:t>（成公园城市函〔2024〕91号）</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第二十九条在风景名胜区内进行下列活动，应当经风景名胜区管理机构审核后，依照有关法律、法规的规定报有关主管部门批准：</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(一)设置、张贴商业广告；</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(二)举办大型游乐等活动；(三)改变水资源、水环境自然状态的活动；</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(四)其他影响生态和景观的活动。</w:t>
            </w:r>
          </w:p>
        </w:tc>
        <w:tc>
          <w:tcPr>
            <w:tcW w:w="949" w:type="pct"/>
            <w:vAlign w:val="center"/>
          </w:tcPr>
          <w:p>
            <w:pPr>
              <w:keepNext w:val="0"/>
              <w:keepLines w:val="0"/>
              <w:suppressLineNumbers w:val="0"/>
              <w:snapToGrid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项目已取得</w:t>
            </w:r>
            <w:r>
              <w:rPr>
                <w:rFonts w:hint="eastAsia"/>
                <w:color w:val="000000" w:themeColor="text1"/>
                <w14:textFill>
                  <w14:solidFill>
                    <w14:schemeClr w14:val="tx1"/>
                  </w14:solidFill>
                </w14:textFill>
              </w:rPr>
              <w:t>成都市公园城市建设管理局准入批复</w:t>
            </w:r>
            <w:r>
              <w:rPr>
                <w:rFonts w:hint="eastAsia"/>
                <w:color w:val="000000" w:themeColor="text1"/>
                <w:lang w:eastAsia="zh-CN"/>
                <w14:textFill>
                  <w14:solidFill>
                    <w14:schemeClr w14:val="tx1"/>
                  </w14:solidFill>
                </w14:textFill>
              </w:rPr>
              <w:t>（成公园城市函〔2024〕91号）</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第三十条风景名胜区内的建设项目应当符合风景名胜区规划，并与景观相协调，不得破坏景观、污染环境、妨碍游览。</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在风景名胜区内进行建设活动的，建设单位、施工单位应当制定污染防治和水土保持方案，并采取有效措施，保护好周围景物、水体、林草植被、野生动物资源和地形地貌。</w:t>
            </w:r>
          </w:p>
        </w:tc>
        <w:tc>
          <w:tcPr>
            <w:tcW w:w="949"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评价要求，项目建设前须取得龙泉公园管理局准入批复</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《四川省风景名胜区管理条例》</w:t>
            </w: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第二十二条禁止在风景名胜区内设立各类开发区，禁止在核心景区内建设宾馆、招待所、培训中心、疗养院以及与风景名胜资源保护无关的其他建筑物、构筑物…</w:t>
            </w:r>
          </w:p>
        </w:tc>
        <w:tc>
          <w:tcPr>
            <w:tcW w:w="949"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第二十七条在风景名胜区内禁止进行下列活动：</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（一）超过风景名胜区总体规划确定的容量接待游客；</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(二)非法占用风景名胜区土地；</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(三)从事开山、采石、挖砂取土、围湖造田、掘矿开荒、修坟立碑等改变地貌和破坏环境、景观的活动；</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(四)采伐、毁坏古树名木；</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(五)在景观景物及公共设施上擅自涂写刻画；</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(六)在禁火区域内吸烟、生火；</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(七)猎捕、伤害各类野生动物；</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(八)攀折树、竹、花、草；</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(九)向水域或者陆地乱扔废弃物；</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(十)敞放牲畜，违法放牧；</w:t>
            </w:r>
          </w:p>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(十一)其他损坏景观、生态和环境卫生等行为。</w:t>
            </w:r>
          </w:p>
        </w:tc>
        <w:tc>
          <w:tcPr>
            <w:tcW w:w="949"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第二十八条风景名胜区内的河溪、湖泊应当按风景名胜区规划要求进行保护、整修，禁止任何单位和个人擅自改变水系自然环境现状。</w:t>
            </w:r>
          </w:p>
        </w:tc>
        <w:tc>
          <w:tcPr>
            <w:tcW w:w="949"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本项目为渠道改造项目，在原有渠道内进行，不会改变水系自然环境现状</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三十条风景名胜区内禁止修建储本项目不属于禁止建存或者输送爆炸性、易燃性、放射性、设的设施和破坏景毒害性、腐蚀性物品等危险品的设施，或者其他破坏景观、污染环境、妨碍游览和危害风景名胜览和危害风景名胜区生态、公共安全的建筑物和构筑物。</w:t>
            </w:r>
          </w:p>
        </w:tc>
        <w:tc>
          <w:tcPr>
            <w:tcW w:w="949"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8" w:type="pct"/>
            <w:vMerge w:val="continue"/>
            <w:vAlign w:val="center"/>
          </w:tcPr>
          <w:p>
            <w:pPr>
              <w:keepNext w:val="0"/>
              <w:keepLines w:val="0"/>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p>
        </w:tc>
        <w:tc>
          <w:tcPr>
            <w:tcW w:w="2966" w:type="pct"/>
            <w:vAlign w:val="center"/>
          </w:tcPr>
          <w:p>
            <w:pPr>
              <w:keepNext w:val="0"/>
              <w:keepLines w:val="0"/>
              <w:widowControl/>
              <w:suppressLineNumbers w:val="0"/>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第三十四条(三)省级风景名胜区规划的其他建设项目，其选址和设计方案，应当由风景名胜区管理机构提出审核意见，报市(州)人民政府审核批准。</w:t>
            </w:r>
          </w:p>
        </w:tc>
        <w:tc>
          <w:tcPr>
            <w:tcW w:w="949"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项目已取得</w:t>
            </w:r>
            <w:r>
              <w:rPr>
                <w:rFonts w:hint="eastAsia"/>
                <w:color w:val="000000" w:themeColor="text1"/>
                <w14:textFill>
                  <w14:solidFill>
                    <w14:schemeClr w14:val="tx1"/>
                  </w14:solidFill>
                </w14:textFill>
              </w:rPr>
              <w:t>成都市公园城市建设管理局准入批复</w:t>
            </w:r>
            <w:r>
              <w:rPr>
                <w:rFonts w:hint="eastAsia"/>
                <w:color w:val="000000" w:themeColor="text1"/>
                <w:lang w:eastAsia="zh-CN"/>
                <w14:textFill>
                  <w14:solidFill>
                    <w14:schemeClr w14:val="tx1"/>
                  </w14:solidFill>
                </w14:textFill>
              </w:rPr>
              <w:t>（成公园城市函〔2024〕91号）</w:t>
            </w:r>
          </w:p>
        </w:tc>
        <w:tc>
          <w:tcPr>
            <w:tcW w:w="456"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pPr>
        <w:adjustRightInd w:val="0"/>
        <w:snapToGrid w:val="0"/>
        <w:spacing w:line="360" w:lineRule="auto"/>
        <w:ind w:firstLine="480" w:firstLineChars="200"/>
        <w:rPr>
          <w:color w:val="000000" w:themeColor="text1"/>
          <w:sz w:val="24"/>
          <w:szCs w:val="20"/>
          <w14:textFill>
            <w14:solidFill>
              <w14:schemeClr w14:val="tx1"/>
            </w14:solidFill>
          </w14:textFill>
        </w:rPr>
      </w:pPr>
      <w:r>
        <w:rPr>
          <w:rFonts w:hint="eastAsia"/>
          <w:color w:val="000000" w:themeColor="text1"/>
          <w:sz w:val="24"/>
          <w:szCs w:val="20"/>
          <w14:textFill>
            <w14:solidFill>
              <w14:schemeClr w14:val="tx1"/>
            </w14:solidFill>
          </w14:textFill>
        </w:rPr>
        <w:t>本项目已于2024年</w:t>
      </w:r>
      <w:r>
        <w:rPr>
          <w:rFonts w:hint="eastAsia"/>
          <w:color w:val="000000" w:themeColor="text1"/>
          <w:sz w:val="24"/>
          <w:szCs w:val="20"/>
          <w:lang w:val="en-US" w:eastAsia="zh-CN"/>
          <w14:textFill>
            <w14:solidFill>
              <w14:schemeClr w14:val="tx1"/>
            </w14:solidFill>
          </w14:textFill>
        </w:rPr>
        <w:t>6</w:t>
      </w:r>
      <w:r>
        <w:rPr>
          <w:rFonts w:hint="eastAsia"/>
          <w:color w:val="000000" w:themeColor="text1"/>
          <w:sz w:val="24"/>
          <w:szCs w:val="20"/>
          <w14:textFill>
            <w14:solidFill>
              <w14:schemeClr w14:val="tx1"/>
            </w14:solidFill>
          </w14:textFill>
        </w:rPr>
        <w:t>月</w:t>
      </w:r>
      <w:r>
        <w:rPr>
          <w:rFonts w:hint="eastAsia"/>
          <w:color w:val="000000" w:themeColor="text1"/>
          <w:sz w:val="24"/>
          <w:szCs w:val="20"/>
          <w:lang w:val="en-US" w:eastAsia="zh-CN"/>
          <w14:textFill>
            <w14:solidFill>
              <w14:schemeClr w14:val="tx1"/>
            </w14:solidFill>
          </w14:textFill>
        </w:rPr>
        <w:t>27日</w:t>
      </w:r>
      <w:r>
        <w:rPr>
          <w:rFonts w:hint="eastAsia" w:ascii="Times New Roman" w:hAnsi="Times New Roman" w:cs="Times New Roman"/>
          <w:color w:val="000000" w:themeColor="text1"/>
          <w:sz w:val="24"/>
          <w:szCs w:val="20"/>
          <w14:textFill>
            <w14:solidFill>
              <w14:schemeClr w14:val="tx1"/>
            </w14:solidFill>
          </w14:textFill>
        </w:rPr>
        <w:t>取得成都市公园城市建设管理局</w:t>
      </w:r>
      <w:r>
        <w:rPr>
          <w:rFonts w:hint="eastAsia" w:ascii="Times New Roman" w:hAnsi="Times New Roman" w:cs="Times New Roman"/>
          <w:color w:val="000000" w:themeColor="text1"/>
          <w:sz w:val="24"/>
          <w:szCs w:val="20"/>
          <w:lang w:eastAsia="zh-CN"/>
          <w14:textFill>
            <w14:solidFill>
              <w14:schemeClr w14:val="tx1"/>
            </w14:solidFill>
          </w14:textFill>
        </w:rPr>
        <w:t>《关于同意成都市环城生态区农田综合整治及农业灌区设施建设项目灌区水利设施建设（二标段）选址方案的批复》</w:t>
      </w:r>
      <w:r>
        <w:rPr>
          <w:rFonts w:hint="eastAsia" w:ascii="Times New Roman" w:hAnsi="Times New Roman" w:cs="Times New Roman"/>
          <w:color w:val="000000" w:themeColor="text1"/>
          <w:sz w:val="24"/>
          <w:szCs w:val="20"/>
          <w14:textFill>
            <w14:solidFill>
              <w14:schemeClr w14:val="tx1"/>
            </w14:solidFill>
          </w14:textFill>
        </w:rPr>
        <w:t>。综上，本项目与《风景</w:t>
      </w:r>
      <w:r>
        <w:rPr>
          <w:color w:val="000000" w:themeColor="text1"/>
          <w:sz w:val="24"/>
          <w:szCs w:val="20"/>
          <w14:textFill>
            <w14:solidFill>
              <w14:schemeClr w14:val="tx1"/>
            </w14:solidFill>
          </w14:textFill>
        </w:rPr>
        <w:t>名胜区管理条例》、《四川省风景名胜区管理条例》</w:t>
      </w:r>
      <w:r>
        <w:rPr>
          <w:rFonts w:hint="eastAsia"/>
          <w:color w:val="000000" w:themeColor="text1"/>
          <w:sz w:val="24"/>
          <w:szCs w:val="20"/>
          <w14:textFill>
            <w14:solidFill>
              <w14:schemeClr w14:val="tx1"/>
            </w14:solidFill>
          </w14:textFill>
        </w:rPr>
        <w:t>相符。</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15" w:name="_Toc9751"/>
      <w:r>
        <w:rPr>
          <w:rFonts w:hint="eastAsia"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val="en-US" w:eastAsia="zh-CN"/>
          <w14:textFill>
            <w14:solidFill>
              <w14:schemeClr w14:val="tx1"/>
            </w14:solidFill>
          </w14:textFill>
        </w:rPr>
        <w:t>9</w:t>
      </w:r>
      <w:r>
        <w:rPr>
          <w:rFonts w:hint="eastAsia" w:ascii="Times New Roman" w:hAnsi="Times New Roman" w:cs="Times New Roman"/>
          <w:color w:val="000000" w:themeColor="text1"/>
          <w14:textFill>
            <w14:solidFill>
              <w14:schemeClr w14:val="tx1"/>
            </w14:solidFill>
          </w14:textFill>
        </w:rPr>
        <w:t>与《四川省饮用水水源保护管理条例》、《成都市饮用水水源保护条例》符合性分析</w:t>
      </w:r>
      <w:bookmarkEnd w:id="215"/>
    </w:p>
    <w:p>
      <w:pPr>
        <w:pStyle w:val="127"/>
        <w:adjustRightInd w:val="0"/>
        <w:snapToGrid w:val="0"/>
        <w:spacing w:line="360" w:lineRule="auto"/>
        <w:ind w:firstLine="480"/>
        <w:rPr>
          <w:color w:val="000000" w:themeColor="text1"/>
          <w14:textFill>
            <w14:solidFill>
              <w14:schemeClr w14:val="tx1"/>
            </w14:solidFill>
          </w14:textFill>
        </w:rPr>
      </w:pPr>
      <w:bookmarkStart w:id="216" w:name="_Toc70496236"/>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渠段属于东风渠下游，其中</w:t>
      </w:r>
      <w:r>
        <w:rPr>
          <w:rFonts w:hint="eastAsia"/>
          <w:color w:val="000000" w:themeColor="text1"/>
          <w14:textFill>
            <w14:solidFill>
              <w14:schemeClr w14:val="tx1"/>
            </w14:solidFill>
          </w14:textFill>
        </w:rPr>
        <w:t>南五支渠起点至下游约11m、南六支渠起点至下游约20m位于成都市龙泉驿区东风渠、东干渠麻石桥集中式饮用水水源保护区准保护区陆域保护范围内</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准保护区内渠段宽度约1m，在准保护区内占地面积约31m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，项目</w:t>
      </w:r>
      <w:r>
        <w:rPr>
          <w:rFonts w:hint="eastAsia"/>
          <w:color w:val="000000" w:themeColor="text1"/>
          <w14:textFill>
            <w14:solidFill>
              <w14:schemeClr w14:val="tx1"/>
            </w14:solidFill>
          </w14:textFill>
        </w:rPr>
        <w:t>仅</w:t>
      </w:r>
      <w:r>
        <w:rPr>
          <w:rFonts w:hint="eastAsia"/>
          <w:color w:val="000000" w:themeColor="text1"/>
          <w:lang w:val="en-US" w:eastAsia="zh-CN"/>
          <w14:textFill>
            <w14:solidFill>
              <w14:schemeClr w14:val="tx1"/>
            </w14:solidFill>
          </w14:textFill>
        </w:rPr>
        <w:t>在准保护区内</w:t>
      </w:r>
      <w:r>
        <w:rPr>
          <w:rFonts w:hint="eastAsia"/>
          <w:color w:val="000000" w:themeColor="text1"/>
          <w14:textFill>
            <w14:solidFill>
              <w14:schemeClr w14:val="tx1"/>
            </w14:solidFill>
          </w14:textFill>
        </w:rPr>
        <w:t>进行衬砌、清淤等工程。</w:t>
      </w:r>
    </w:p>
    <w:p>
      <w:pPr>
        <w:pStyle w:val="127"/>
        <w:adjustRightInd w:val="0"/>
        <w:snapToGrid w:val="0"/>
        <w:spacing w:line="36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根据《四川省饮用水水源保护管理条例》（2019年9月26日修订）关于地表水饮用水源的保护规定，对项目与饮用水水源保护区相容性分析如下。</w:t>
      </w:r>
    </w:p>
    <w:p>
      <w:pPr>
        <w:pStyle w:val="127"/>
        <w:spacing w:line="240" w:lineRule="auto"/>
        <w:ind w:firstLine="0" w:firstLineChars="0"/>
        <w:jc w:val="center"/>
        <w:rPr>
          <w:rFonts w:eastAsia="黑体"/>
          <w:color w:val="000000" w:themeColor="text1"/>
          <w:szCs w:val="24"/>
          <w14:textFill>
            <w14:solidFill>
              <w14:schemeClr w14:val="tx1"/>
            </w14:solidFill>
          </w14:textFill>
        </w:rPr>
      </w:pPr>
      <w:r>
        <w:rPr>
          <w:rFonts w:eastAsia="黑体"/>
          <w:color w:val="000000" w:themeColor="text1"/>
          <w:szCs w:val="24"/>
          <w14:textFill>
            <w14:solidFill>
              <w14:schemeClr w14:val="tx1"/>
            </w14:solidFill>
          </w14:textFill>
        </w:rPr>
        <w:t>表1</w:t>
      </w:r>
      <w:r>
        <w:rPr>
          <w:rFonts w:hint="eastAsia" w:eastAsia="黑体"/>
          <w:color w:val="000000" w:themeColor="text1"/>
          <w:szCs w:val="24"/>
          <w14:textFill>
            <w14:solidFill>
              <w14:schemeClr w14:val="tx1"/>
            </w14:solidFill>
          </w14:textFill>
        </w:rPr>
        <w:t>.8</w:t>
      </w:r>
      <w:r>
        <w:rPr>
          <w:rFonts w:eastAsia="黑体"/>
          <w:color w:val="000000" w:themeColor="text1"/>
          <w:szCs w:val="24"/>
          <w14:textFill>
            <w14:solidFill>
              <w14:schemeClr w14:val="tx1"/>
            </w14:solidFill>
          </w14:textFill>
        </w:rPr>
        <w:t>-</w:t>
      </w:r>
      <w:r>
        <w:rPr>
          <w:rFonts w:hint="eastAsia" w:eastAsia="黑体"/>
          <w:color w:val="000000" w:themeColor="text1"/>
          <w:szCs w:val="24"/>
          <w14:textFill>
            <w14:solidFill>
              <w14:schemeClr w14:val="tx1"/>
            </w14:solidFill>
          </w14:textFill>
        </w:rPr>
        <w:t>2</w:t>
      </w:r>
      <w:r>
        <w:rPr>
          <w:rFonts w:eastAsia="黑体"/>
          <w:color w:val="000000" w:themeColor="text1"/>
          <w:szCs w:val="24"/>
          <w14:textFill>
            <w14:solidFill>
              <w14:schemeClr w14:val="tx1"/>
            </w14:solidFill>
          </w14:textFill>
        </w:rPr>
        <w:t>项目与《四川省饮用水水源保护管理条例》符合性分析</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4381"/>
        <w:gridCol w:w="1776"/>
        <w:gridCol w:w="8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3473" w:type="pct"/>
            <w:gridSpan w:val="2"/>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b/>
                <w:color w:val="000000" w:themeColor="text1"/>
                <w:sz w:val="21"/>
                <w14:textFill>
                  <w14:solidFill>
                    <w14:schemeClr w14:val="tx1"/>
                  </w14:solidFill>
                </w14:textFill>
              </w:rPr>
              <w:t>《四川省饮用水水源保护管理条例》要求</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color w:val="000000" w:themeColor="text1"/>
                <w:sz w:val="21"/>
                <w14:textFill>
                  <w14:solidFill>
                    <w14:schemeClr w14:val="tx1"/>
                  </w14:solidFill>
                </w14:textFill>
              </w:rPr>
            </w:pPr>
            <w:r>
              <w:rPr>
                <w:rFonts w:hint="default"/>
                <w:b/>
                <w:color w:val="000000" w:themeColor="text1"/>
                <w:sz w:val="21"/>
                <w14:textFill>
                  <w14:solidFill>
                    <w14:schemeClr w14:val="tx1"/>
                  </w14:solidFill>
                </w14:textFill>
              </w:rPr>
              <w:t>本项目情况</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color w:val="000000" w:themeColor="text1"/>
                <w:sz w:val="21"/>
                <w14:textFill>
                  <w14:solidFill>
                    <w14:schemeClr w14:val="tx1"/>
                  </w14:solidFill>
                </w14:textFill>
              </w:rPr>
            </w:pPr>
            <w:r>
              <w:rPr>
                <w:rFonts w:hint="default"/>
                <w:b/>
                <w:color w:val="000000" w:themeColor="text1"/>
                <w:sz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2" w:type="pct"/>
            <w:vMerge w:val="restar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kern w:val="0"/>
                <w14:textFill>
                  <w14:solidFill>
                    <w14:schemeClr w14:val="tx1"/>
                  </w14:solidFill>
                </w14:textFill>
              </w:rPr>
              <w:t>第十</w:t>
            </w:r>
            <w:r>
              <w:rPr>
                <w:rFonts w:hint="eastAsia"/>
                <w:color w:val="000000" w:themeColor="text1"/>
                <w:kern w:val="0"/>
                <w14:textFill>
                  <w14:solidFill>
                    <w14:schemeClr w14:val="tx1"/>
                  </w14:solidFill>
                </w14:textFill>
              </w:rPr>
              <w:t>七</w:t>
            </w:r>
            <w:r>
              <w:rPr>
                <w:rFonts w:hint="default"/>
                <w:color w:val="000000" w:themeColor="text1"/>
                <w:kern w:val="0"/>
                <w14:textFill>
                  <w14:solidFill>
                    <w14:schemeClr w14:val="tx1"/>
                  </w14:solidFill>
                </w14:textFill>
              </w:rPr>
              <w:t>条、地表水饮用水水源</w:t>
            </w:r>
            <w:r>
              <w:rPr>
                <w:rFonts w:hint="eastAsia"/>
                <w:color w:val="000000" w:themeColor="text1"/>
                <w:kern w:val="0"/>
                <w14:textFill>
                  <w14:solidFill>
                    <w14:schemeClr w14:val="tx1"/>
                  </w14:solidFill>
                </w14:textFill>
              </w:rPr>
              <w:t>准</w:t>
            </w:r>
            <w:r>
              <w:rPr>
                <w:rFonts w:hint="default"/>
                <w:color w:val="000000" w:themeColor="text1"/>
                <w:kern w:val="0"/>
                <w14:textFill>
                  <w14:solidFill>
                    <w14:schemeClr w14:val="tx1"/>
                  </w14:solidFill>
                </w14:textFill>
              </w:rPr>
              <w:t>保护区内遵守规定</w:t>
            </w: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（一）禁止新建、扩建对水体污染严重的建设项目；改建建设项目，不得增加排污量；</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项目属于</w:t>
            </w:r>
            <w:r>
              <w:rPr>
                <w:rFonts w:hint="eastAsia"/>
                <w:color w:val="000000" w:themeColor="text1"/>
                <w:sz w:val="21"/>
                <w:szCs w:val="21"/>
                <w14:textFill>
                  <w14:solidFill>
                    <w14:schemeClr w14:val="tx1"/>
                  </w14:solidFill>
                </w14:textFill>
              </w:rPr>
              <w:t>渠道改造项目</w:t>
            </w: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本项目</w:t>
            </w:r>
            <w:r>
              <w:rPr>
                <w:rFonts w:hint="default"/>
                <w:color w:val="000000" w:themeColor="text1"/>
                <w:sz w:val="21"/>
                <w:szCs w:val="21"/>
                <w14:textFill>
                  <w14:solidFill>
                    <w14:schemeClr w14:val="tx1"/>
                  </w14:solidFill>
                </w14:textFill>
              </w:rPr>
              <w:t>不在水源保护区内排污</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（二）禁止向水体排放油类、酸液、碱液或者有毒废液；</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本项目</w:t>
            </w:r>
            <w:r>
              <w:rPr>
                <w:rFonts w:hint="default"/>
                <w:color w:val="000000" w:themeColor="text1"/>
                <w:sz w:val="21"/>
                <w:szCs w:val="21"/>
                <w14:textFill>
                  <w14:solidFill>
                    <w14:schemeClr w14:val="tx1"/>
                  </w14:solidFill>
                </w14:textFill>
              </w:rPr>
              <w:t>不在水源保护区内排污</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（三）禁止在水体清洗装贮过油类或者有毒污染物的车辆和容器，</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（四）禁止向水体排放、倾倒废水、含病原体的污水、放射性固体废物；</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（五）禁止向水体排放、倾倒工业废渣、城镇垃圾和医疗垃圾等其他废弃物；</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（六）禁止将含有汞、镉、砷、铬、铅、氰化物、黄磷等的可溶性剧毒废渣向水体排放、倾倒或者直接埋入地下；</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（七）禁止船舶向水体倾倒垃圾或者排放含油污水、生活污水；</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（八）禁止设置易溶性、有毒有害废弃物和危险废物的暂存和转运场所；禁止设置生活垃圾和工业固体废物的处置场所，生活垃圾转运站和工业固体废物暂存场所应当设置防护设施；</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项目生活垃圾由环卫部门统一清运处置</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九）禁止通行装载剧毒化学品或者危险废物的船舶、车辆。装载其他危险品的船舶、车辆确需驶入饮用水水源保护区内的，应当在驶入该区域的二十四小时前向当地海事管理机构或者公安机关交通管理部门报告，配备防止污染物散落、溢流、渗漏的设施设备，指定专人保障危险品运输安全；</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（十）禁止进行可能严重影响饮用水水源水质的矿产勘查、开采等活动；</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02" w:type="pct"/>
            <w:vMerge w:val="continue"/>
            <w:vAlign w:val="center"/>
          </w:tcPr>
          <w:p>
            <w:pPr>
              <w:keepNext w:val="0"/>
              <w:keepLines w:val="0"/>
              <w:suppressLineNumbers w:val="0"/>
              <w:spacing w:before="0" w:beforeAutospacing="0" w:after="0" w:afterAutospacing="0"/>
              <w:ind w:left="0" w:right="0"/>
              <w:rPr>
                <w:rFonts w:hint="default"/>
                <w:color w:val="000000" w:themeColor="text1"/>
                <w:kern w:val="0"/>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（十一）禁止非更新性、非抚育性采伐和破坏饮用水水源涵养林、护岸林和其他植被</w:t>
            </w:r>
            <w:r>
              <w:rPr>
                <w:rFonts w:hint="default"/>
                <w:color w:val="000000" w:themeColor="text1"/>
                <w:sz w:val="21"/>
                <w14:textFill>
                  <w14:solidFill>
                    <w14:schemeClr w14:val="tx1"/>
                  </w14:solidFill>
                </w14:textFill>
              </w:rPr>
              <w:t>；</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14:textFill>
                  <w14:solidFill>
                    <w14:schemeClr w14:val="tx1"/>
                  </w14:solidFill>
                </w14:textFill>
              </w:rPr>
              <w:t>本项目</w:t>
            </w:r>
            <w:r>
              <w:rPr>
                <w:rFonts w:hint="eastAsia"/>
                <w:color w:val="000000" w:themeColor="text1"/>
                <w:sz w:val="21"/>
                <w:szCs w:val="21"/>
                <w14:textFill>
                  <w14:solidFill>
                    <w14:schemeClr w14:val="tx1"/>
                  </w14:solidFill>
                </w14:textFill>
              </w:rPr>
              <w:t>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473" w:type="pct"/>
            <w:gridSpan w:val="2"/>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b/>
                <w:color w:val="000000" w:themeColor="text1"/>
                <w:sz w:val="21"/>
                <w14:textFill>
                  <w14:solidFill>
                    <w14:schemeClr w14:val="tx1"/>
                  </w14:solidFill>
                </w14:textFill>
              </w:rPr>
              <w:t>《成都市饮用水水源保护条例》要求</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本项目情况</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902" w:type="pct"/>
            <w:vMerge w:val="restar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kern w:val="0"/>
                <w14:textFill>
                  <w14:solidFill>
                    <w14:schemeClr w14:val="tx1"/>
                  </w14:solidFill>
                </w14:textFill>
              </w:rPr>
              <w:t>第十七条禁止在地表水饮用水水源准保护区内从事下列活动</w:t>
            </w: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（一）设置工业企业、集中式污水处理厂或者规模化养殖场的排污口；</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szCs w:val="21"/>
                <w14:textFill>
                  <w14:solidFill>
                    <w14:schemeClr w14:val="tx1"/>
                  </w14:solidFill>
                </w14:textFill>
              </w:rPr>
              <w:t>项目属于</w:t>
            </w:r>
            <w:r>
              <w:rPr>
                <w:rFonts w:hint="eastAsia"/>
                <w:color w:val="000000" w:themeColor="text1"/>
                <w:sz w:val="21"/>
                <w:szCs w:val="21"/>
                <w14:textFill>
                  <w14:solidFill>
                    <w14:schemeClr w14:val="tx1"/>
                  </w14:solidFill>
                </w14:textFill>
              </w:rPr>
              <w:t>渠道改造项目</w:t>
            </w:r>
            <w:r>
              <w:rPr>
                <w:rFonts w:hint="default"/>
                <w:color w:val="000000" w:themeColor="text1"/>
                <w:sz w:val="21"/>
                <w:szCs w:val="21"/>
                <w14:textFill>
                  <w14:solidFill>
                    <w14:schemeClr w14:val="tx1"/>
                  </w14:solidFill>
                </w14:textFill>
              </w:rPr>
              <w:t>，不在水源保护区内排污</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02" w:type="pct"/>
            <w:vMerge w:val="continue"/>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（二）新建、扩建对水体污染严重的建设项目，改建增加排污量的建设项目；</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本项目不涉及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02" w:type="pct"/>
            <w:vMerge w:val="continue"/>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（三）置化工原料、矿物油类及有毒有害矿产品的贮存场所；</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本项目不涉及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02" w:type="pct"/>
            <w:vMerge w:val="continue"/>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（四）堆放、倾倒或者填埋粉煤灰、工业废弃物、生活垃圾、医疗废弃物、放射性物品等固体废物，或者设置相关的堆放场所和转运场所；</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本项目不涉及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02" w:type="pct"/>
            <w:vMerge w:val="continue"/>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（五）在水体清洗装贮过油类或者有毒有害污染物的车辆、容器；</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本项目不涉及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02" w:type="pct"/>
            <w:vMerge w:val="continue"/>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（六）向水体排放含重金属、病原体、油类、酸碱类污水、放射性废水等有毒有害物质；</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本项目不涉及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02" w:type="pct"/>
            <w:vMerge w:val="continue"/>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（七）可能严重影响饮用水水源水质的矿产勘查、开采活动；</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本项目不涉及</w:t>
            </w: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02" w:type="pct"/>
            <w:vMerge w:val="continue"/>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2571" w:type="pct"/>
            <w:vAlign w:val="center"/>
          </w:tcPr>
          <w:p>
            <w:pPr>
              <w:pStyle w:val="127"/>
              <w:keepNext w:val="0"/>
              <w:keepLines w:val="0"/>
              <w:suppressLineNumbers w:val="0"/>
              <w:spacing w:before="0" w:beforeAutospacing="0" w:after="0" w:afterAutospacing="0" w:line="240" w:lineRule="auto"/>
              <w:ind w:left="0" w:right="0" w:firstLine="0" w:firstLineChars="0"/>
              <w:rPr>
                <w:rFonts w:hint="default"/>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（八）法律、法规禁止的其他行为。</w:t>
            </w:r>
          </w:p>
        </w:tc>
        <w:tc>
          <w:tcPr>
            <w:tcW w:w="1042"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p>
        </w:tc>
        <w:tc>
          <w:tcPr>
            <w:tcW w:w="484" w:type="pct"/>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14:textFill>
                  <w14:solidFill>
                    <w14:schemeClr w14:val="tx1"/>
                  </w14:solidFill>
                </w14:textFill>
              </w:rPr>
            </w:pPr>
            <w:r>
              <w:rPr>
                <w:rFonts w:hint="default"/>
                <w:color w:val="000000" w:themeColor="text1"/>
                <w:sz w:val="21"/>
                <w14:textFill>
                  <w14:solidFill>
                    <w14:schemeClr w14:val="tx1"/>
                  </w14:solidFill>
                </w14:textFill>
              </w:rPr>
              <w:t>符合</w:t>
            </w:r>
          </w:p>
        </w:tc>
      </w:tr>
    </w:tbl>
    <w:p>
      <w:pPr>
        <w:adjustRightInd/>
        <w:snapToGrid w:val="0"/>
        <w:spacing w:line="360" w:lineRule="auto"/>
        <w:ind w:firstLine="480" w:firstLineChars="200"/>
        <w:contextualSpacing/>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综上，本项目与《四川省饮用水水源保护管理条例》、《成都市饮用水水源保护条例》相符。</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17" w:name="_Toc1475"/>
      <w:r>
        <w:rPr>
          <w:rFonts w:hint="eastAsia" w:ascii="Times New Roman" w:hAnsi="Times New Roman" w:cs="Times New Roman"/>
          <w:color w:val="000000" w:themeColor="text1"/>
          <w14:textFill>
            <w14:solidFill>
              <w14:schemeClr w14:val="tx1"/>
            </w14:solidFill>
          </w14:textFill>
        </w:rPr>
        <w:t>1.8.</w:t>
      </w:r>
      <w:bookmarkEnd w:id="216"/>
      <w:r>
        <w:rPr>
          <w:rFonts w:hint="eastAsia" w:ascii="Times New Roman" w:hAnsi="Times New Roman" w:cs="Times New Roman"/>
          <w:color w:val="000000" w:themeColor="text1"/>
          <w:lang w:val="en-US" w:eastAsia="zh-CN"/>
          <w14:textFill>
            <w14:solidFill>
              <w14:schemeClr w14:val="tx1"/>
            </w14:solidFill>
          </w14:textFill>
        </w:rPr>
        <w:t>10</w:t>
      </w:r>
      <w:r>
        <w:rPr>
          <w:rFonts w:hint="eastAsia" w:ascii="Times New Roman" w:hAnsi="Times New Roman" w:cs="Times New Roman"/>
          <w:color w:val="000000" w:themeColor="text1"/>
          <w14:textFill>
            <w14:solidFill>
              <w14:schemeClr w14:val="tx1"/>
            </w14:solidFill>
          </w14:textFill>
        </w:rPr>
        <w:t>与《四川省、重庆市长江经济带发展负面清单实施细则》（试行、2022年版）的通知的符合性分析</w:t>
      </w:r>
      <w:bookmarkEnd w:id="217"/>
    </w:p>
    <w:p>
      <w:pPr>
        <w:snapToGrid w:val="0"/>
        <w:spacing w:line="360" w:lineRule="auto"/>
        <w:ind w:firstLine="480" w:firstLineChars="200"/>
        <w:contextualSpacing/>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2022年8月25日，四川省推动长江经济带发展领导小组办公室、重庆市推动长江经济带发展领导小组办公室关于印发《四川省、重庆市长江经济带发展负面清单实施细则（试行，2022年版）》的通知，其符合性分析见下表。</w:t>
      </w:r>
    </w:p>
    <w:p>
      <w:pPr>
        <w:pStyle w:val="127"/>
        <w:adjustRightInd w:val="0"/>
        <w:spacing w:line="240" w:lineRule="auto"/>
        <w:ind w:firstLine="0" w:firstLineChars="0"/>
        <w:jc w:val="center"/>
        <w:rPr>
          <w:rFonts w:eastAsia="黑体"/>
          <w:color w:val="000000" w:themeColor="text1"/>
          <w:szCs w:val="24"/>
          <w14:textFill>
            <w14:solidFill>
              <w14:schemeClr w14:val="tx1"/>
            </w14:solidFill>
          </w14:textFill>
        </w:rPr>
      </w:pPr>
      <w:r>
        <w:rPr>
          <w:rFonts w:eastAsia="黑体"/>
          <w:color w:val="000000" w:themeColor="text1"/>
          <w:szCs w:val="24"/>
          <w14:textFill>
            <w14:solidFill>
              <w14:schemeClr w14:val="tx1"/>
            </w14:solidFill>
          </w14:textFill>
        </w:rPr>
        <w:t>表1</w:t>
      </w:r>
      <w:r>
        <w:rPr>
          <w:rFonts w:hint="eastAsia" w:eastAsia="黑体"/>
          <w:color w:val="000000" w:themeColor="text1"/>
          <w:szCs w:val="24"/>
          <w14:textFill>
            <w14:solidFill>
              <w14:schemeClr w14:val="tx1"/>
            </w14:solidFill>
          </w14:textFill>
        </w:rPr>
        <w:t>.8-3</w:t>
      </w:r>
      <w:r>
        <w:rPr>
          <w:rFonts w:eastAsia="黑体"/>
          <w:color w:val="000000" w:themeColor="text1"/>
          <w:szCs w:val="24"/>
          <w14:textFill>
            <w14:solidFill>
              <w14:schemeClr w14:val="tx1"/>
            </w14:solidFill>
          </w14:textFill>
        </w:rPr>
        <w:t>本项目与《</w:t>
      </w:r>
      <w:r>
        <w:rPr>
          <w:rFonts w:hint="eastAsia" w:eastAsia="黑体"/>
          <w:color w:val="000000" w:themeColor="text1"/>
          <w:szCs w:val="24"/>
          <w14:textFill>
            <w14:solidFill>
              <w14:schemeClr w14:val="tx1"/>
            </w14:solidFill>
          </w14:textFill>
        </w:rPr>
        <w:t>四川省、重庆市长江经济带发展负面清单实施细则</w:t>
      </w:r>
      <w:r>
        <w:rPr>
          <w:rFonts w:eastAsia="黑体"/>
          <w:color w:val="000000" w:themeColor="text1"/>
          <w:szCs w:val="24"/>
          <w14:textFill>
            <w14:solidFill>
              <w14:schemeClr w14:val="tx1"/>
            </w14:solidFill>
          </w14:textFill>
        </w:rPr>
        <w:t>》符合性分析</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4701"/>
        <w:gridCol w:w="2347"/>
        <w:gridCol w:w="7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序号</w:t>
            </w:r>
          </w:p>
        </w:tc>
        <w:tc>
          <w:tcPr>
            <w:tcW w:w="2758"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四川省长江经济带发展负面清单内容</w:t>
            </w:r>
          </w:p>
        </w:tc>
        <w:tc>
          <w:tcPr>
            <w:tcW w:w="1377"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本项目情况</w:t>
            </w:r>
          </w:p>
        </w:tc>
        <w:tc>
          <w:tcPr>
            <w:tcW w:w="463"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2758"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禁止在自然保护区核心区、缓冲区的岸线和河段范围内投资建设旅游和生产经营项目。自然保护区的内部未分区的，依照核心区和缓冲区的规定管控。</w:t>
            </w:r>
          </w:p>
        </w:tc>
        <w:tc>
          <w:tcPr>
            <w:tcW w:w="1377" w:type="pct"/>
            <w:vMerge w:val="restar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bCs/>
                <w:color w:val="000000" w:themeColor="text1"/>
                <w14:textFill>
                  <w14:solidFill>
                    <w14:schemeClr w14:val="tx1"/>
                  </w14:solidFill>
                </w14:textFill>
              </w:rPr>
              <w:t>本项目不涉及自然保护区，南五、南六支渠位于龙泉花果山风景名胜区保护范围内，但项目仅为渠道整改，有利于改善保护区内农田、植物灌溉条件；施工期做好相关保护措施，对</w:t>
            </w:r>
            <w:r>
              <w:rPr>
                <w:rFonts w:hint="eastAsia" w:cs="宋体"/>
                <w:color w:val="000000" w:themeColor="text1"/>
                <w:kern w:val="0"/>
                <w:lang w:bidi="ar"/>
                <w14:textFill>
                  <w14:solidFill>
                    <w14:schemeClr w14:val="tx1"/>
                  </w14:solidFill>
                </w14:textFill>
              </w:rPr>
              <w:t>风景名胜区影响不大</w:t>
            </w:r>
            <w:r>
              <w:rPr>
                <w:rFonts w:hint="eastAsia"/>
                <w:bCs/>
                <w:color w:val="000000" w:themeColor="text1"/>
                <w14:textFill>
                  <w14:solidFill>
                    <w14:schemeClr w14:val="tx1"/>
                  </w14:solidFill>
                </w14:textFill>
              </w:rPr>
              <w:t>。</w:t>
            </w: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2758"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禁止违反风景名胜区规划，在风景名胜区内设立各类开发区。禁止在风景名胜区核心景区的岸线和河段范围内建设宾馆、招待所、培训中心、疗养院以及与风景名胜资源保护无关的项目。</w:t>
            </w:r>
          </w:p>
        </w:tc>
        <w:tc>
          <w:tcPr>
            <w:tcW w:w="1377" w:type="pct"/>
            <w:vMerge w:val="continue"/>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3</w:t>
            </w:r>
          </w:p>
        </w:tc>
        <w:tc>
          <w:tcPr>
            <w:tcW w:w="2758"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禁止在饮用水水源准保护区的岸线和河段范围内新建、扩建对水体污染严重的建设项目，禁止改建增加排污量的建设项目。</w:t>
            </w:r>
          </w:p>
        </w:tc>
        <w:tc>
          <w:tcPr>
            <w:tcW w:w="1377" w:type="pct"/>
            <w:vMerge w:val="restar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本项目不在饮用水源保护区范围内。</w:t>
            </w: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4</w:t>
            </w:r>
          </w:p>
        </w:tc>
        <w:tc>
          <w:tcPr>
            <w:tcW w:w="2758"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饮用水水源二级保护区的岸线和河段范围内，除遵守准保护区规定外，禁止新建、改建、扩建排放污染物的投资建设项目；禁止从事对水体有污染的水产养殖等活动。</w:t>
            </w:r>
          </w:p>
        </w:tc>
        <w:tc>
          <w:tcPr>
            <w:tcW w:w="1377" w:type="pct"/>
            <w:vMerge w:val="continue"/>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5</w:t>
            </w:r>
          </w:p>
        </w:tc>
        <w:tc>
          <w:tcPr>
            <w:tcW w:w="2758"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1377" w:type="pct"/>
            <w:vMerge w:val="continue"/>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6</w:t>
            </w:r>
          </w:p>
        </w:tc>
        <w:tc>
          <w:tcPr>
            <w:tcW w:w="2758"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禁止在水产种质资源保护区岸线和河段范围内新建围湖造田、围湖造地或控沙采石等投资建设项目。</w:t>
            </w:r>
          </w:p>
        </w:tc>
        <w:tc>
          <w:tcPr>
            <w:tcW w:w="1377"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本项目不在水产种质资源保护区岸线和河段范围内。</w:t>
            </w: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7</w:t>
            </w:r>
          </w:p>
        </w:tc>
        <w:tc>
          <w:tcPr>
            <w:tcW w:w="2758" w:type="pct"/>
            <w:vAlign w:val="center"/>
          </w:tcPr>
          <w:p>
            <w:pPr>
              <w:keepNext w:val="0"/>
              <w:keepLines w:val="0"/>
              <w:widowControl/>
              <w:suppressLineNumbers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禁止在国家湿地公园的岸线和河段范围内开</w:t>
            </w:r>
            <w:r>
              <w:rPr>
                <w:rFonts w:hint="eastAsia" w:cs="宋体"/>
                <w:color w:val="000000" w:themeColor="text1"/>
                <w:kern w:val="0"/>
                <w:lang w:eastAsia="zh-CN" w:bidi="ar"/>
                <w14:textFill>
                  <w14:solidFill>
                    <w14:schemeClr w14:val="tx1"/>
                  </w14:solidFill>
                </w14:textFill>
              </w:rPr>
              <w:t>（</w:t>
            </w:r>
            <w:r>
              <w:rPr>
                <w:rFonts w:hint="eastAsia" w:cs="宋体"/>
                <w:color w:val="000000" w:themeColor="text1"/>
                <w:kern w:val="0"/>
                <w:lang w:bidi="ar"/>
                <w14:textFill>
                  <w14:solidFill>
                    <w14:schemeClr w14:val="tx1"/>
                  </w14:solidFill>
                </w14:textFill>
              </w:rPr>
              <w:t>围</w:t>
            </w:r>
            <w:r>
              <w:rPr>
                <w:rFonts w:hint="eastAsia" w:cs="宋体"/>
                <w:color w:val="000000" w:themeColor="text1"/>
                <w:kern w:val="0"/>
                <w:lang w:eastAsia="zh-CN" w:bidi="ar"/>
                <w14:textFill>
                  <w14:solidFill>
                    <w14:schemeClr w14:val="tx1"/>
                  </w14:solidFill>
                </w14:textFill>
              </w:rPr>
              <w:t>）</w:t>
            </w:r>
            <w:r>
              <w:rPr>
                <w:rFonts w:hint="eastAsia" w:cs="宋体"/>
                <w:color w:val="000000" w:themeColor="text1"/>
                <w:kern w:val="0"/>
                <w:lang w:bidi="ar"/>
                <w14:textFill>
                  <w14:solidFill>
                    <w14:schemeClr w14:val="tx1"/>
                  </w14:solidFill>
                </w14:textFill>
              </w:rPr>
              <w:t>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377"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本项目不在</w:t>
            </w:r>
            <w:r>
              <w:rPr>
                <w:rFonts w:hint="eastAsia" w:cs="宋体"/>
                <w:color w:val="000000" w:themeColor="text1"/>
                <w:kern w:val="0"/>
                <w:lang w:bidi="ar"/>
                <w14:textFill>
                  <w14:solidFill>
                    <w14:schemeClr w14:val="tx1"/>
                  </w14:solidFill>
                </w14:textFill>
              </w:rPr>
              <w:t>国家湿地公园的岸线和河段范围内。</w:t>
            </w: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8</w:t>
            </w:r>
          </w:p>
        </w:tc>
        <w:tc>
          <w:tcPr>
            <w:tcW w:w="2758" w:type="pct"/>
            <w:vAlign w:val="center"/>
          </w:tcPr>
          <w:p>
            <w:pPr>
              <w:keepNext w:val="0"/>
              <w:keepLines w:val="0"/>
              <w:widowControl/>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377"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本项目不属于</w:t>
            </w:r>
            <w:r>
              <w:rPr>
                <w:rFonts w:hint="eastAsia" w:cs="宋体"/>
                <w:color w:val="000000" w:themeColor="text1"/>
                <w:kern w:val="0"/>
                <w:lang w:bidi="ar"/>
                <w14:textFill>
                  <w14:solidFill>
                    <w14:schemeClr w14:val="tx1"/>
                  </w14:solidFill>
                </w14:textFill>
              </w:rPr>
              <w:t>法律法规和相关政策明令禁止的落后产能项目。</w:t>
            </w:r>
          </w:p>
        </w:tc>
        <w:tc>
          <w:tcPr>
            <w:tcW w:w="46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18" w:name="_Toc9689"/>
      <w:bookmarkStart w:id="219" w:name="_Toc6268"/>
      <w:bookmarkStart w:id="220" w:name="_Toc19642"/>
      <w:bookmarkStart w:id="221" w:name="_Toc2185"/>
      <w:bookmarkStart w:id="222" w:name="_Toc70496237"/>
      <w:bookmarkStart w:id="223" w:name="_Toc17618"/>
      <w:r>
        <w:rPr>
          <w:rFonts w:hint="eastAsia" w:ascii="Times New Roman" w:hAnsi="Times New Roman" w:cs="Times New Roman"/>
          <w:color w:val="000000" w:themeColor="text1"/>
          <w14:textFill>
            <w14:solidFill>
              <w14:schemeClr w14:val="tx1"/>
            </w14:solidFill>
          </w14:textFill>
        </w:rPr>
        <w:t>1.8.1</w:t>
      </w:r>
      <w:r>
        <w:rPr>
          <w:rFonts w:hint="eastAsia" w:ascii="Times New Roman" w:hAnsi="Times New Roman"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与《中华人民共和国河道管理条例》的符合性分析</w:t>
      </w:r>
      <w:bookmarkEnd w:id="218"/>
    </w:p>
    <w:p>
      <w:pPr>
        <w:pStyle w:val="127"/>
        <w:adjustRightInd w:val="0"/>
        <w:spacing w:line="240" w:lineRule="auto"/>
        <w:ind w:firstLine="0" w:firstLineChars="0"/>
        <w:jc w:val="center"/>
        <w:rPr>
          <w:rFonts w:eastAsia="黑体"/>
          <w:color w:val="000000" w:themeColor="text1"/>
          <w:szCs w:val="24"/>
          <w14:textFill>
            <w14:solidFill>
              <w14:schemeClr w14:val="tx1"/>
            </w14:solidFill>
          </w14:textFill>
        </w:rPr>
      </w:pPr>
      <w:r>
        <w:rPr>
          <w:rFonts w:hint="eastAsia" w:eastAsia="黑体"/>
          <w:color w:val="000000" w:themeColor="text1"/>
          <w:szCs w:val="24"/>
          <w14:textFill>
            <w14:solidFill>
              <w14:schemeClr w14:val="tx1"/>
            </w14:solidFill>
          </w14:textFill>
        </w:rPr>
        <w:t>表1.8-4与《中华人民共和国河道管理条例》的符合性分析</w:t>
      </w:r>
    </w:p>
    <w:tbl>
      <w:tblPr>
        <w:tblStyle w:val="38"/>
        <w:tblW w:w="494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72"/>
        <w:gridCol w:w="3730"/>
        <w:gridCol w:w="2267"/>
        <w:gridCol w:w="14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75" w:type="dxa"/>
            <w:vAlign w:val="center"/>
          </w:tcPr>
          <w:p>
            <w:pPr>
              <w:pStyle w:val="37"/>
              <w:keepNext w:val="0"/>
              <w:keepLines w:val="0"/>
              <w:suppressLineNumbers w:val="0"/>
              <w:spacing w:before="0" w:beforeAutospacing="0" w:after="0" w:afterAutospacing="0" w:line="240" w:lineRule="auto"/>
              <w:ind w:left="0" w:leftChars="0" w:right="0" w:firstLine="0" w:firstLineChars="0"/>
              <w:jc w:val="center"/>
              <w:rPr>
                <w:rFonts w:hint="default"/>
                <w:b/>
                <w:color w:val="000000" w:themeColor="text1"/>
                <w:kern w:val="0"/>
                <w:sz w:val="21"/>
                <w:szCs w:val="21"/>
                <w14:textFill>
                  <w14:solidFill>
                    <w14:schemeClr w14:val="tx1"/>
                  </w14:solidFill>
                </w14:textFill>
              </w:rPr>
            </w:pPr>
            <w:r>
              <w:rPr>
                <w:rFonts w:hint="default"/>
                <w:b/>
                <w:color w:val="000000" w:themeColor="text1"/>
                <w:kern w:val="0"/>
                <w:sz w:val="21"/>
                <w:szCs w:val="21"/>
                <w14:textFill>
                  <w14:solidFill>
                    <w14:schemeClr w14:val="tx1"/>
                  </w14:solidFill>
                </w14:textFill>
              </w:rPr>
              <w:t>序号</w:t>
            </w:r>
          </w:p>
        </w:tc>
        <w:tc>
          <w:tcPr>
            <w:tcW w:w="3750" w:type="dxa"/>
            <w:vAlign w:val="center"/>
          </w:tcPr>
          <w:p>
            <w:pPr>
              <w:pStyle w:val="37"/>
              <w:keepNext w:val="0"/>
              <w:keepLines w:val="0"/>
              <w:suppressLineNumbers w:val="0"/>
              <w:spacing w:before="0" w:beforeAutospacing="0" w:after="0" w:afterAutospacing="0" w:line="240" w:lineRule="auto"/>
              <w:ind w:left="0" w:leftChars="0" w:right="0" w:firstLine="0" w:firstLineChars="0"/>
              <w:jc w:val="center"/>
              <w:rPr>
                <w:rFonts w:hint="default"/>
                <w:b/>
                <w:color w:val="000000" w:themeColor="text1"/>
                <w:kern w:val="0"/>
                <w:sz w:val="21"/>
                <w:szCs w:val="21"/>
                <w14:textFill>
                  <w14:solidFill>
                    <w14:schemeClr w14:val="tx1"/>
                  </w14:solidFill>
                </w14:textFill>
              </w:rPr>
            </w:pPr>
            <w:r>
              <w:rPr>
                <w:rFonts w:hint="default"/>
                <w:b/>
                <w:color w:val="000000" w:themeColor="text1"/>
                <w:kern w:val="0"/>
                <w:sz w:val="21"/>
                <w:szCs w:val="21"/>
                <w14:textFill>
                  <w14:solidFill>
                    <w14:schemeClr w14:val="tx1"/>
                  </w14:solidFill>
                </w14:textFill>
              </w:rPr>
              <w:t>管控要求</w:t>
            </w:r>
          </w:p>
        </w:tc>
        <w:tc>
          <w:tcPr>
            <w:tcW w:w="2279" w:type="dxa"/>
            <w:vAlign w:val="center"/>
          </w:tcPr>
          <w:p>
            <w:pPr>
              <w:pStyle w:val="37"/>
              <w:keepNext w:val="0"/>
              <w:keepLines w:val="0"/>
              <w:suppressLineNumbers w:val="0"/>
              <w:spacing w:before="0" w:beforeAutospacing="0" w:after="0" w:afterAutospacing="0" w:line="240" w:lineRule="auto"/>
              <w:ind w:left="0" w:leftChars="0" w:right="0" w:firstLine="0" w:firstLineChars="0"/>
              <w:jc w:val="center"/>
              <w:rPr>
                <w:rFonts w:hint="default"/>
                <w:b/>
                <w:color w:val="000000" w:themeColor="text1"/>
                <w:kern w:val="0"/>
                <w:sz w:val="21"/>
                <w:szCs w:val="21"/>
                <w14:textFill>
                  <w14:solidFill>
                    <w14:schemeClr w14:val="tx1"/>
                  </w14:solidFill>
                </w14:textFill>
              </w:rPr>
            </w:pPr>
            <w:r>
              <w:rPr>
                <w:rFonts w:hint="default"/>
                <w:b/>
                <w:color w:val="000000" w:themeColor="text1"/>
                <w:kern w:val="0"/>
                <w:sz w:val="21"/>
                <w:szCs w:val="21"/>
                <w14:textFill>
                  <w14:solidFill>
                    <w14:schemeClr w14:val="tx1"/>
                  </w14:solidFill>
                </w14:textFill>
              </w:rPr>
              <w:t>本项目情况</w:t>
            </w:r>
          </w:p>
        </w:tc>
        <w:tc>
          <w:tcPr>
            <w:tcW w:w="1455" w:type="dxa"/>
            <w:vAlign w:val="center"/>
          </w:tcPr>
          <w:p>
            <w:pPr>
              <w:pStyle w:val="37"/>
              <w:keepNext w:val="0"/>
              <w:keepLines w:val="0"/>
              <w:suppressLineNumbers w:val="0"/>
              <w:spacing w:before="0" w:beforeAutospacing="0" w:after="0" w:afterAutospacing="0" w:line="240" w:lineRule="auto"/>
              <w:ind w:left="0" w:leftChars="0" w:right="0" w:firstLine="0" w:firstLineChars="0"/>
              <w:jc w:val="center"/>
              <w:rPr>
                <w:rFonts w:hint="default"/>
                <w:b/>
                <w:color w:val="000000" w:themeColor="text1"/>
                <w:kern w:val="0"/>
                <w:sz w:val="21"/>
                <w:szCs w:val="21"/>
                <w14:textFill>
                  <w14:solidFill>
                    <w14:schemeClr w14:val="tx1"/>
                  </w14:solidFill>
                </w14:textFill>
              </w:rPr>
            </w:pPr>
            <w:r>
              <w:rPr>
                <w:rFonts w:hint="default"/>
                <w:b/>
                <w:color w:val="000000" w:themeColor="text1"/>
                <w:kern w:val="0"/>
                <w:sz w:val="21"/>
                <w:szCs w:val="21"/>
                <w14:textFill>
                  <w14:solidFill>
                    <w14:schemeClr w14:val="tx1"/>
                  </w14:solidFill>
                </w14:textFill>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75" w:type="dxa"/>
            <w:vAlign w:val="center"/>
          </w:tcPr>
          <w:p>
            <w:pPr>
              <w:keepNext w:val="0"/>
              <w:keepLines w:val="0"/>
              <w:widowControl/>
              <w:suppressLineNumbers w:val="0"/>
              <w:snapToGrid w:val="0"/>
              <w:spacing w:before="0" w:beforeAutospacing="0" w:after="0" w:afterAutospacing="0"/>
              <w:ind w:left="0" w:right="0"/>
              <w:jc w:val="center"/>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1</w:t>
            </w:r>
          </w:p>
        </w:tc>
        <w:tc>
          <w:tcPr>
            <w:tcW w:w="3750" w:type="dxa"/>
            <w:vAlign w:val="center"/>
          </w:tcPr>
          <w:p>
            <w:pPr>
              <w:keepNext w:val="0"/>
              <w:keepLines w:val="0"/>
              <w:widowControl/>
              <w:suppressLineNumbers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第十条河道的整治与建设，应当服从流域综合规划，符合国家规定的防洪标准、通航标准和其他有关技术要求，维护堤防安全，保持河势稳定和行洪、航运通畅。</w:t>
            </w:r>
          </w:p>
        </w:tc>
        <w:tc>
          <w:tcPr>
            <w:tcW w:w="2279" w:type="dxa"/>
            <w:vAlign w:val="center"/>
          </w:tcPr>
          <w:p>
            <w:pPr>
              <w:keepNext w:val="0"/>
              <w:keepLines w:val="0"/>
              <w:widowControl/>
              <w:suppressLineNumbers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本项目位于为灌溉及排</w:t>
            </w:r>
            <w:r>
              <w:rPr>
                <w:rFonts w:hint="eastAsia" w:cs="宋体"/>
                <w:color w:val="000000" w:themeColor="text1"/>
                <w:kern w:val="0"/>
                <w:lang w:val="en-US" w:eastAsia="zh-CN" w:bidi="ar"/>
                <w14:textFill>
                  <w14:solidFill>
                    <w14:schemeClr w14:val="tx1"/>
                  </w14:solidFill>
                </w14:textFill>
              </w:rPr>
              <w:t>涝</w:t>
            </w:r>
            <w:r>
              <w:rPr>
                <w:rFonts w:hint="eastAsia" w:cs="宋体"/>
                <w:color w:val="000000" w:themeColor="text1"/>
                <w:kern w:val="0"/>
                <w:lang w:bidi="ar"/>
                <w14:textFill>
                  <w14:solidFill>
                    <w14:schemeClr w14:val="tx1"/>
                  </w14:solidFill>
                </w14:textFill>
              </w:rPr>
              <w:t>渠道整治以及新建排涝渠工程符合国家规定的防洪标准，保持河势稳定，本项目不涉及通航。</w:t>
            </w:r>
          </w:p>
        </w:tc>
        <w:tc>
          <w:tcPr>
            <w:tcW w:w="1455" w:type="dxa"/>
            <w:vAlign w:val="center"/>
          </w:tcPr>
          <w:p>
            <w:pPr>
              <w:keepNext w:val="0"/>
              <w:keepLines w:val="0"/>
              <w:widowControl/>
              <w:suppressLineNumbers w:val="0"/>
              <w:snapToGrid w:val="0"/>
              <w:spacing w:before="0" w:beforeAutospacing="0" w:after="0" w:afterAutospacing="0"/>
              <w:ind w:left="0" w:right="0"/>
              <w:jc w:val="center"/>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75" w:type="dxa"/>
            <w:vAlign w:val="center"/>
          </w:tcPr>
          <w:p>
            <w:pPr>
              <w:keepNext w:val="0"/>
              <w:keepLines w:val="0"/>
              <w:widowControl/>
              <w:suppressLineNumbers w:val="0"/>
              <w:snapToGrid w:val="0"/>
              <w:spacing w:before="0" w:beforeAutospacing="0" w:after="0" w:afterAutospacing="0"/>
              <w:ind w:left="0" w:right="0"/>
              <w:jc w:val="center"/>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2</w:t>
            </w:r>
          </w:p>
        </w:tc>
        <w:tc>
          <w:tcPr>
            <w:tcW w:w="3750" w:type="dxa"/>
            <w:vAlign w:val="center"/>
          </w:tcPr>
          <w:p>
            <w:pPr>
              <w:keepNext w:val="0"/>
              <w:keepLines w:val="0"/>
              <w:widowControl/>
              <w:suppressLineNumbers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第十八条河道清淤和加固堤防取土以及按照防洪规划进行河道整治需要占用的土地，由当地人民政府调剂解决。</w:t>
            </w:r>
          </w:p>
          <w:p>
            <w:pPr>
              <w:keepNext w:val="0"/>
              <w:keepLines w:val="0"/>
              <w:widowControl/>
              <w:suppressLineNumbers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因修建水库、整治河道所增加的可利用土地，属于国家所有，可以由县级以上人民政府用于移民安置和河道整治工程。</w:t>
            </w:r>
          </w:p>
        </w:tc>
        <w:tc>
          <w:tcPr>
            <w:tcW w:w="2279" w:type="dxa"/>
            <w:vAlign w:val="center"/>
          </w:tcPr>
          <w:p>
            <w:pPr>
              <w:keepNext w:val="0"/>
              <w:keepLines w:val="0"/>
              <w:widowControl/>
              <w:suppressLineNumbers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本项目属于整治过程中涉及渠道清淤，占地范围内不涉及移民安置。</w:t>
            </w:r>
          </w:p>
        </w:tc>
        <w:tc>
          <w:tcPr>
            <w:tcW w:w="1455" w:type="dxa"/>
            <w:vAlign w:val="center"/>
          </w:tcPr>
          <w:p>
            <w:pPr>
              <w:keepNext w:val="0"/>
              <w:keepLines w:val="0"/>
              <w:widowControl/>
              <w:suppressLineNumbers w:val="0"/>
              <w:snapToGrid w:val="0"/>
              <w:spacing w:before="0" w:beforeAutospacing="0" w:after="0" w:afterAutospacing="0"/>
              <w:ind w:left="0" w:right="0"/>
              <w:jc w:val="center"/>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符合</w:t>
            </w:r>
          </w:p>
        </w:tc>
      </w:tr>
    </w:tbl>
    <w:p>
      <w:pPr>
        <w:pStyle w:val="131"/>
        <w:adjustRightInd w:val="0"/>
        <w:snapToGrid w:val="0"/>
        <w:spacing w:line="360" w:lineRule="auto"/>
        <w:ind w:firstLine="482" w:firstLineChars="200"/>
        <w:contextualSpacing/>
        <w:jc w:val="both"/>
        <w:rPr>
          <w:b/>
          <w:color w:val="000000" w:themeColor="text1"/>
          <w:sz w:val="24"/>
          <w:szCs w:val="24"/>
          <w14:textFill>
            <w14:solidFill>
              <w14:schemeClr w14:val="tx1"/>
            </w14:solidFill>
          </w14:textFill>
        </w:rPr>
      </w:pPr>
      <w:r>
        <w:rPr>
          <w:rFonts w:hint="eastAsia"/>
          <w:b/>
          <w:color w:val="000000" w:themeColor="text1"/>
          <w:sz w:val="24"/>
          <w:szCs w:val="24"/>
          <w14:textFill>
            <w14:solidFill>
              <w14:schemeClr w14:val="tx1"/>
            </w14:solidFill>
          </w14:textFill>
        </w:rPr>
        <w:t>本项目符合《中华人民共和国河道管理条例》中相关规定。</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24" w:name="_Toc12724"/>
      <w:r>
        <w:rPr>
          <w:rFonts w:hint="eastAsia" w:ascii="Times New Roman" w:hAnsi="Times New Roman" w:cs="Times New Roman"/>
          <w:color w:val="000000" w:themeColor="text1"/>
          <w14:textFill>
            <w14:solidFill>
              <w14:schemeClr w14:val="tx1"/>
            </w14:solidFill>
          </w14:textFill>
        </w:rPr>
        <w:t>1.8.1</w:t>
      </w:r>
      <w:r>
        <w:rPr>
          <w:rFonts w:hint="eastAsia" w:ascii="Times New Roman" w:hAnsi="Times New Roman" w:cs="Times New Roman"/>
          <w:color w:val="000000" w:themeColor="text1"/>
          <w:lang w:val="en-US" w:eastAsia="zh-CN"/>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与水污染防治法律法规政策及生态环境保护规划的符合性分析</w:t>
      </w:r>
      <w:bookmarkEnd w:id="224"/>
    </w:p>
    <w:p>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本项目与水污染防治有关法律法规政策及生态环境保护规划的符合性分析详见下表：</w:t>
      </w:r>
    </w:p>
    <w:p>
      <w:pPr>
        <w:pStyle w:val="132"/>
        <w:rPr>
          <w:rFonts w:ascii="Times New Roman"/>
          <w:b/>
          <w:bCs/>
          <w:color w:val="000000" w:themeColor="text1"/>
          <w:sz w:val="21"/>
          <w:szCs w:val="18"/>
          <w14:textFill>
            <w14:solidFill>
              <w14:schemeClr w14:val="tx1"/>
            </w14:solidFill>
          </w14:textFill>
        </w:rPr>
      </w:pPr>
      <w:r>
        <w:rPr>
          <w:rFonts w:hint="eastAsia" w:ascii="Times New Roman" w:hAnsi="Times New Roman" w:eastAsia="黑体" w:cs="Times New Roman"/>
          <w:color w:val="000000" w:themeColor="text1"/>
          <w:kern w:val="2"/>
          <w:sz w:val="24"/>
          <w:szCs w:val="24"/>
          <w14:textFill>
            <w14:solidFill>
              <w14:schemeClr w14:val="tx1"/>
            </w14:solidFill>
          </w14:textFill>
        </w:rPr>
        <w:t>表1.8-5与水污染防治有关法律法规政策及生态环境保护规划的符合性分析表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4866"/>
        <w:gridCol w:w="1135"/>
        <w:gridCol w:w="7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trPr>
        <w:tc>
          <w:tcPr>
            <w:tcW w:w="1011" w:type="pct"/>
            <w:vAlign w:val="center"/>
          </w:tcPr>
          <w:p>
            <w:pPr>
              <w:pStyle w:val="132"/>
              <w:keepNext w:val="0"/>
              <w:keepLines w:val="0"/>
              <w:suppressLineNumbers w:val="0"/>
              <w:spacing w:before="0" w:beforeAutospacing="0" w:after="0" w:afterAutospacing="0"/>
              <w:ind w:left="0" w:right="0"/>
              <w:rPr>
                <w:rFonts w:hint="default" w:ascii="Times New Roman"/>
                <w:b/>
                <w:iCs/>
                <w:color w:val="000000" w:themeColor="text1"/>
                <w:sz w:val="21"/>
                <w:szCs w:val="18"/>
                <w14:textFill>
                  <w14:solidFill>
                    <w14:schemeClr w14:val="tx1"/>
                  </w14:solidFill>
                </w14:textFill>
              </w:rPr>
            </w:pPr>
            <w:r>
              <w:rPr>
                <w:rFonts w:hint="default" w:ascii="Times New Roman" w:eastAsia="宋体"/>
                <w:b/>
                <w:iCs/>
                <w:color w:val="000000" w:themeColor="text1"/>
                <w:sz w:val="21"/>
                <w:szCs w:val="18"/>
                <w14:textFill>
                  <w14:solidFill>
                    <w14:schemeClr w14:val="tx1"/>
                  </w14:solidFill>
                </w14:textFill>
              </w:rPr>
              <w:t>法律法规政策及规划</w:t>
            </w:r>
          </w:p>
        </w:tc>
        <w:tc>
          <w:tcPr>
            <w:tcW w:w="2855" w:type="pct"/>
            <w:vAlign w:val="center"/>
          </w:tcPr>
          <w:p>
            <w:pPr>
              <w:pStyle w:val="132"/>
              <w:keepNext w:val="0"/>
              <w:keepLines w:val="0"/>
              <w:suppressLineNumbers w:val="0"/>
              <w:spacing w:before="0" w:beforeAutospacing="0" w:after="0" w:afterAutospacing="0"/>
              <w:ind w:left="0" w:right="0"/>
              <w:rPr>
                <w:rFonts w:hint="default" w:ascii="Times New Roman"/>
                <w:b/>
                <w:iCs/>
                <w:color w:val="000000" w:themeColor="text1"/>
                <w:sz w:val="21"/>
                <w:szCs w:val="18"/>
                <w14:textFill>
                  <w14:solidFill>
                    <w14:schemeClr w14:val="tx1"/>
                  </w14:solidFill>
                </w14:textFill>
              </w:rPr>
            </w:pPr>
            <w:r>
              <w:rPr>
                <w:rFonts w:hint="default" w:ascii="Times New Roman" w:eastAsia="宋体"/>
                <w:b/>
                <w:iCs/>
                <w:color w:val="000000" w:themeColor="text1"/>
                <w:sz w:val="21"/>
                <w:szCs w:val="18"/>
                <w14:textFill>
                  <w14:solidFill>
                    <w14:schemeClr w14:val="tx1"/>
                  </w14:solidFill>
                </w14:textFill>
              </w:rPr>
              <w:t>主要要求</w:t>
            </w:r>
          </w:p>
        </w:tc>
        <w:tc>
          <w:tcPr>
            <w:tcW w:w="666" w:type="pct"/>
            <w:vAlign w:val="center"/>
          </w:tcPr>
          <w:p>
            <w:pPr>
              <w:pStyle w:val="132"/>
              <w:keepNext w:val="0"/>
              <w:keepLines w:val="0"/>
              <w:suppressLineNumbers w:val="0"/>
              <w:spacing w:before="0" w:beforeAutospacing="0" w:after="0" w:afterAutospacing="0"/>
              <w:ind w:left="0" w:right="0"/>
              <w:rPr>
                <w:rFonts w:hint="default" w:ascii="Times New Roman"/>
                <w:b/>
                <w:iCs/>
                <w:color w:val="000000" w:themeColor="text1"/>
                <w:sz w:val="21"/>
                <w:szCs w:val="18"/>
                <w14:textFill>
                  <w14:solidFill>
                    <w14:schemeClr w14:val="tx1"/>
                  </w14:solidFill>
                </w14:textFill>
              </w:rPr>
            </w:pPr>
            <w:r>
              <w:rPr>
                <w:rFonts w:hint="default" w:ascii="Times New Roman" w:eastAsia="宋体"/>
                <w:b/>
                <w:iCs/>
                <w:color w:val="000000" w:themeColor="text1"/>
                <w:sz w:val="21"/>
                <w:szCs w:val="18"/>
                <w14:textFill>
                  <w14:solidFill>
                    <w14:schemeClr w14:val="tx1"/>
                  </w14:solidFill>
                </w14:textFill>
              </w:rPr>
              <w:t>本项目情况</w:t>
            </w:r>
          </w:p>
        </w:tc>
        <w:tc>
          <w:tcPr>
            <w:tcW w:w="467" w:type="pct"/>
            <w:vAlign w:val="center"/>
          </w:tcPr>
          <w:p>
            <w:pPr>
              <w:pStyle w:val="132"/>
              <w:keepNext w:val="0"/>
              <w:keepLines w:val="0"/>
              <w:suppressLineNumbers w:val="0"/>
              <w:spacing w:before="0" w:beforeAutospacing="0" w:after="0" w:afterAutospacing="0"/>
              <w:ind w:left="0" w:right="0"/>
              <w:rPr>
                <w:rFonts w:hint="default" w:ascii="Times New Roman"/>
                <w:b/>
                <w:iCs/>
                <w:color w:val="000000" w:themeColor="text1"/>
                <w:sz w:val="21"/>
                <w:szCs w:val="18"/>
                <w14:textFill>
                  <w14:solidFill>
                    <w14:schemeClr w14:val="tx1"/>
                  </w14:solidFill>
                </w14:textFill>
              </w:rPr>
            </w:pPr>
            <w:r>
              <w:rPr>
                <w:rFonts w:hint="default" w:ascii="Times New Roman" w:eastAsia="宋体"/>
                <w:b/>
                <w:iCs/>
                <w:color w:val="000000" w:themeColor="text1"/>
                <w:sz w:val="21"/>
                <w:szCs w:val="18"/>
                <w14:textFill>
                  <w14:solidFill>
                    <w14:schemeClr w14:val="tx1"/>
                  </w14:solidFill>
                </w14:textFill>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trPr>
        <w:tc>
          <w:tcPr>
            <w:tcW w:w="1011"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《中华人民共和国长江保护法》（</w:t>
            </w:r>
            <w:r>
              <w:rPr>
                <w:rFonts w:hint="default" w:ascii="Times New Roman"/>
                <w:bCs/>
                <w:color w:val="000000" w:themeColor="text1"/>
                <w:sz w:val="21"/>
                <w:szCs w:val="18"/>
                <w14:textFill>
                  <w14:solidFill>
                    <w14:schemeClr w14:val="tx1"/>
                  </w14:solidFill>
                </w14:textFill>
              </w:rPr>
              <w:t>2021</w:t>
            </w:r>
            <w:r>
              <w:rPr>
                <w:rFonts w:hint="default" w:ascii="Times New Roman" w:eastAsia="宋体"/>
                <w:bCs/>
                <w:color w:val="000000" w:themeColor="text1"/>
                <w:sz w:val="21"/>
                <w:szCs w:val="18"/>
                <w14:textFill>
                  <w14:solidFill>
                    <w14:schemeClr w14:val="tx1"/>
                  </w14:solidFill>
                </w14:textFill>
              </w:rPr>
              <w:t>年</w:t>
            </w:r>
            <w:r>
              <w:rPr>
                <w:rFonts w:hint="default" w:ascii="Times New Roman"/>
                <w:bCs/>
                <w:color w:val="000000" w:themeColor="text1"/>
                <w:sz w:val="21"/>
                <w:szCs w:val="18"/>
                <w14:textFill>
                  <w14:solidFill>
                    <w14:schemeClr w14:val="tx1"/>
                  </w14:solidFill>
                </w14:textFill>
              </w:rPr>
              <w:t>3</w:t>
            </w:r>
            <w:r>
              <w:rPr>
                <w:rFonts w:hint="default" w:ascii="Times New Roman" w:eastAsia="宋体"/>
                <w:bCs/>
                <w:color w:val="000000" w:themeColor="text1"/>
                <w:sz w:val="21"/>
                <w:szCs w:val="18"/>
                <w14:textFill>
                  <w14:solidFill>
                    <w14:schemeClr w14:val="tx1"/>
                  </w14:solidFill>
                </w14:textFill>
              </w:rPr>
              <w:t>月</w:t>
            </w:r>
            <w:r>
              <w:rPr>
                <w:rFonts w:hint="default" w:ascii="Times New Roman"/>
                <w:bCs/>
                <w:color w:val="000000" w:themeColor="text1"/>
                <w:sz w:val="21"/>
                <w:szCs w:val="18"/>
                <w14:textFill>
                  <w14:solidFill>
                    <w14:schemeClr w14:val="tx1"/>
                  </w14:solidFill>
                </w14:textFill>
              </w:rPr>
              <w:t>1</w:t>
            </w:r>
            <w:r>
              <w:rPr>
                <w:rFonts w:hint="default" w:ascii="Times New Roman" w:eastAsia="宋体"/>
                <w:bCs/>
                <w:color w:val="000000" w:themeColor="text1"/>
                <w:sz w:val="21"/>
                <w:szCs w:val="18"/>
                <w14:textFill>
                  <w14:solidFill>
                    <w14:schemeClr w14:val="tx1"/>
                  </w14:solidFill>
                </w14:textFill>
              </w:rPr>
              <w:t>日起施行）</w:t>
            </w:r>
          </w:p>
        </w:tc>
        <w:tc>
          <w:tcPr>
            <w:tcW w:w="2855" w:type="pct"/>
            <w:vAlign w:val="center"/>
          </w:tcPr>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bCs/>
                <w:color w:val="000000" w:themeColor="text1"/>
                <w:sz w:val="21"/>
                <w:szCs w:val="18"/>
                <w14:textFill>
                  <w14:solidFill>
                    <w14:schemeClr w14:val="tx1"/>
                  </w14:solidFill>
                </w14:textFill>
              </w:rPr>
              <w:t>1</w:t>
            </w:r>
            <w:r>
              <w:rPr>
                <w:rFonts w:hint="default" w:ascii="Times New Roman" w:eastAsia="宋体"/>
                <w:bCs/>
                <w:color w:val="000000" w:themeColor="text1"/>
                <w:sz w:val="21"/>
                <w:szCs w:val="18"/>
                <w14:textFill>
                  <w14:solidFill>
                    <w14:schemeClr w14:val="tx1"/>
                  </w14:solidFill>
                </w14:textFill>
              </w:rPr>
              <w:t>、禁止在长江干支流岸线一公里范围内新建、扩建化工园区和化工项目。禁止在长江干流岸线三公里范围内和重要支流岸线一公里范围内新建、改建、扩建尾矿库；但是以提升安全、生态环境保护水平为目的改建除外。</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bCs/>
                <w:color w:val="000000" w:themeColor="text1"/>
                <w:sz w:val="21"/>
                <w:szCs w:val="18"/>
                <w14:textFill>
                  <w14:solidFill>
                    <w14:schemeClr w14:val="tx1"/>
                  </w14:solidFill>
                </w14:textFill>
              </w:rPr>
              <w:t>2</w:t>
            </w:r>
            <w:r>
              <w:rPr>
                <w:rFonts w:hint="default" w:ascii="Times New Roman" w:eastAsia="宋体"/>
                <w:bCs/>
                <w:color w:val="000000" w:themeColor="text1"/>
                <w:sz w:val="21"/>
                <w:szCs w:val="18"/>
                <w14:textFill>
                  <w14:solidFill>
                    <w14:schemeClr w14:val="tx1"/>
                  </w14:solidFill>
                </w14:textFill>
              </w:rPr>
              <w:t>、禁止在长江流域河湖管理范围内倾倒、填埋、堆放、弃置、处理固体废物。长江流域县级以上地方人民政府应当加强对固体废物非法转移和倾倒的联防联控。</w:t>
            </w:r>
          </w:p>
        </w:tc>
        <w:tc>
          <w:tcPr>
            <w:tcW w:w="666"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本项目属于</w:t>
            </w:r>
            <w:r>
              <w:rPr>
                <w:rFonts w:hint="eastAsia" w:ascii="Times New Roman" w:eastAsia="宋体"/>
                <w:bCs/>
                <w:color w:val="000000" w:themeColor="text1"/>
                <w:sz w:val="21"/>
                <w:szCs w:val="18"/>
                <w14:textFill>
                  <w14:solidFill>
                    <w14:schemeClr w14:val="tx1"/>
                  </w14:solidFill>
                </w14:textFill>
              </w:rPr>
              <w:t>灌区渠道改造和新建排涝渠工程，</w:t>
            </w:r>
            <w:r>
              <w:rPr>
                <w:rFonts w:hint="default" w:ascii="Times New Roman" w:eastAsia="宋体"/>
                <w:bCs/>
                <w:color w:val="000000" w:themeColor="text1"/>
                <w:sz w:val="21"/>
                <w:szCs w:val="18"/>
                <w14:textFill>
                  <w14:solidFill>
                    <w14:schemeClr w14:val="tx1"/>
                  </w14:solidFill>
                </w14:textFill>
              </w:rPr>
              <w:t>不属于化工项目</w:t>
            </w:r>
          </w:p>
        </w:tc>
        <w:tc>
          <w:tcPr>
            <w:tcW w:w="467"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trPr>
        <w:tc>
          <w:tcPr>
            <w:tcW w:w="1011"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《中华人民共和国水污染防治法》（</w:t>
            </w:r>
            <w:r>
              <w:rPr>
                <w:rFonts w:hint="default" w:ascii="Times New Roman"/>
                <w:bCs/>
                <w:color w:val="000000" w:themeColor="text1"/>
                <w:sz w:val="21"/>
                <w:szCs w:val="18"/>
                <w14:textFill>
                  <w14:solidFill>
                    <w14:schemeClr w14:val="tx1"/>
                  </w14:solidFill>
                </w14:textFill>
              </w:rPr>
              <w:t>2017</w:t>
            </w:r>
            <w:r>
              <w:rPr>
                <w:rFonts w:hint="default" w:ascii="Times New Roman" w:eastAsia="宋体"/>
                <w:bCs/>
                <w:color w:val="000000" w:themeColor="text1"/>
                <w:sz w:val="21"/>
                <w:szCs w:val="18"/>
                <w14:textFill>
                  <w14:solidFill>
                    <w14:schemeClr w14:val="tx1"/>
                  </w14:solidFill>
                </w14:textFill>
              </w:rPr>
              <w:t>年修正）</w:t>
            </w:r>
          </w:p>
        </w:tc>
        <w:tc>
          <w:tcPr>
            <w:tcW w:w="2855" w:type="pct"/>
            <w:vAlign w:val="center"/>
          </w:tcPr>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排放工业废水的企业应当采取有效措施，收集和处理产生的全部废水，防止污染环境。含有毒有害水污染物的工业废水应当分类收集和处理，不得稀释排放。</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向污水集中处理设施排放工业废水的，应当按照国家有关规定进行预处理，达到集中处理设施处理工艺要求后方可排放。</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国家禁止新建不符合国家产业政策的小型造纸、制革、印染、染料、炼焦、炼硫、炼砷、炼汞、炼油、电镀、农药、石棉、水泥、玻璃、钢铁、火电以及其他严重污染水环境的生产项目。</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企业应当采用原材料利用效率高、污染物排放量少的清洁工艺，并加强管理，减少水污染物的产生。</w:t>
            </w:r>
          </w:p>
        </w:tc>
        <w:tc>
          <w:tcPr>
            <w:tcW w:w="666"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本项目属于堤防建设及清淤工程，属于非污染生态类项目。</w:t>
            </w:r>
          </w:p>
        </w:tc>
        <w:tc>
          <w:tcPr>
            <w:tcW w:w="467"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trPr>
        <w:tc>
          <w:tcPr>
            <w:tcW w:w="1011"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《国务院关于印发水污染防治行动计划的通知》（国发</w:t>
            </w:r>
            <w:r>
              <w:rPr>
                <w:rFonts w:hint="eastAsia" w:ascii="Times New Roman" w:eastAsia="宋体"/>
                <w:bCs/>
                <w:color w:val="000000" w:themeColor="text1"/>
                <w:sz w:val="21"/>
                <w:szCs w:val="18"/>
                <w:lang w:eastAsia="zh-CN"/>
                <w14:textFill>
                  <w14:solidFill>
                    <w14:schemeClr w14:val="tx1"/>
                  </w14:solidFill>
                </w14:textFill>
              </w:rPr>
              <w:t>〔</w:t>
            </w:r>
            <w:r>
              <w:rPr>
                <w:rFonts w:hint="default" w:ascii="Times New Roman"/>
                <w:bCs/>
                <w:color w:val="000000" w:themeColor="text1"/>
                <w:sz w:val="21"/>
                <w:szCs w:val="18"/>
                <w14:textFill>
                  <w14:solidFill>
                    <w14:schemeClr w14:val="tx1"/>
                  </w14:solidFill>
                </w14:textFill>
              </w:rPr>
              <w:t>2015</w:t>
            </w:r>
            <w:r>
              <w:rPr>
                <w:rFonts w:hint="default" w:ascii="Times New Roman" w:eastAsia="宋体"/>
                <w:bCs/>
                <w:color w:val="000000" w:themeColor="text1"/>
                <w:sz w:val="21"/>
                <w:szCs w:val="18"/>
                <w14:textFill>
                  <w14:solidFill>
                    <w14:schemeClr w14:val="tx1"/>
                  </w14:solidFill>
                </w14:textFill>
              </w:rPr>
              <w:t>〕</w:t>
            </w:r>
            <w:r>
              <w:rPr>
                <w:rFonts w:hint="default" w:ascii="Times New Roman"/>
                <w:bCs/>
                <w:color w:val="000000" w:themeColor="text1"/>
                <w:sz w:val="21"/>
                <w:szCs w:val="18"/>
                <w14:textFill>
                  <w14:solidFill>
                    <w14:schemeClr w14:val="tx1"/>
                  </w14:solidFill>
                </w14:textFill>
              </w:rPr>
              <w:t>17</w:t>
            </w:r>
            <w:r>
              <w:rPr>
                <w:rFonts w:hint="default" w:ascii="Times New Roman" w:eastAsia="宋体"/>
                <w:bCs/>
                <w:color w:val="000000" w:themeColor="text1"/>
                <w:sz w:val="21"/>
                <w:szCs w:val="18"/>
                <w14:textFill>
                  <w14:solidFill>
                    <w14:schemeClr w14:val="tx1"/>
                  </w14:solidFill>
                </w14:textFill>
              </w:rPr>
              <w:t>号）</w:t>
            </w:r>
          </w:p>
        </w:tc>
        <w:tc>
          <w:tcPr>
            <w:tcW w:w="2855" w:type="pct"/>
            <w:vAlign w:val="center"/>
          </w:tcPr>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（一）狠抓工业污染防治</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专项整治十大重点行业。制定造纸、焦化、氮肥、有色金属、印染、农副食品加工、原料药制造、制革、农药、电镀等行业专项治理方案，实施清洁化改造。新建、改建、扩建上述行业建设项目实行主要污染物排放等量或减量置换。</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（五）调整产业结构</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严格环境准入。根据流域水质目标和主体功能区规划要求，明确区域环境准入条件，细化功能分区，实施差别化环境准入政策。建立水资源、水环境承载能力监测评价体系，实行承载能力监测预警，已超过承载能力的地区要实施水污染物削减方案，加快调整发展规划和产业结构。</w:t>
            </w:r>
          </w:p>
        </w:tc>
        <w:tc>
          <w:tcPr>
            <w:tcW w:w="666" w:type="pct"/>
            <w:vMerge w:val="restar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本项目不属于造纸、焦化、氮肥、有色金属、印染、农副食品加工、原料药制造、制革、农药、电镀等行业。项目地表水属于达标区</w:t>
            </w:r>
          </w:p>
        </w:tc>
        <w:tc>
          <w:tcPr>
            <w:tcW w:w="467" w:type="pct"/>
            <w:vMerge w:val="restar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trPr>
        <w:tc>
          <w:tcPr>
            <w:tcW w:w="1011" w:type="pct"/>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w:t>
            </w:r>
            <w:r>
              <w:rPr>
                <w:rFonts w:hint="default" w:ascii="Times New Roman"/>
                <w:bCs/>
                <w:color w:val="000000" w:themeColor="text1"/>
                <w:sz w:val="21"/>
                <w:szCs w:val="18"/>
                <w14:textFill>
                  <w14:solidFill>
                    <w14:schemeClr w14:val="tx1"/>
                  </w14:solidFill>
                </w14:textFill>
              </w:rPr>
              <w:t>&lt;</w:t>
            </w:r>
            <w:r>
              <w:rPr>
                <w:rFonts w:hint="default" w:ascii="Times New Roman" w:eastAsia="宋体"/>
                <w:bCs/>
                <w:color w:val="000000" w:themeColor="text1"/>
                <w:sz w:val="21"/>
                <w:szCs w:val="18"/>
                <w14:textFill>
                  <w14:solidFill>
                    <w14:schemeClr w14:val="tx1"/>
                  </w14:solidFill>
                </w14:textFill>
              </w:rPr>
              <w:t>水污染防治行动计划</w:t>
            </w:r>
            <w:r>
              <w:rPr>
                <w:rFonts w:hint="default" w:ascii="Times New Roman"/>
                <w:bCs/>
                <w:color w:val="000000" w:themeColor="text1"/>
                <w:sz w:val="21"/>
                <w:szCs w:val="18"/>
                <w14:textFill>
                  <w14:solidFill>
                    <w14:schemeClr w14:val="tx1"/>
                  </w14:solidFill>
                </w14:textFill>
              </w:rPr>
              <w:t>&gt;</w:t>
            </w:r>
            <w:r>
              <w:rPr>
                <w:rFonts w:hint="default" w:ascii="Times New Roman" w:eastAsia="宋体"/>
                <w:bCs/>
                <w:color w:val="000000" w:themeColor="text1"/>
                <w:sz w:val="21"/>
                <w:szCs w:val="18"/>
                <w14:textFill>
                  <w14:solidFill>
                    <w14:schemeClr w14:val="tx1"/>
                  </w14:solidFill>
                </w14:textFill>
              </w:rPr>
              <w:t>四川省工作方案》（川府发</w:t>
            </w:r>
            <w:r>
              <w:rPr>
                <w:rFonts w:hint="default" w:ascii="Times New Roman"/>
                <w:bCs/>
                <w:color w:val="000000" w:themeColor="text1"/>
                <w:sz w:val="21"/>
                <w:szCs w:val="18"/>
                <w14:textFill>
                  <w14:solidFill>
                    <w14:schemeClr w14:val="tx1"/>
                  </w14:solidFill>
                </w14:textFill>
              </w:rPr>
              <w:t>59</w:t>
            </w:r>
            <w:r>
              <w:rPr>
                <w:rFonts w:hint="default" w:ascii="Times New Roman" w:eastAsia="宋体"/>
                <w:bCs/>
                <w:color w:val="000000" w:themeColor="text1"/>
                <w:sz w:val="21"/>
                <w:szCs w:val="18"/>
                <w14:textFill>
                  <w14:solidFill>
                    <w14:schemeClr w14:val="tx1"/>
                  </w14:solidFill>
                </w14:textFill>
              </w:rPr>
              <w:t>号）</w:t>
            </w:r>
          </w:p>
        </w:tc>
        <w:tc>
          <w:tcPr>
            <w:tcW w:w="2855" w:type="pct"/>
            <w:vAlign w:val="center"/>
          </w:tcPr>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（一）狠抓工业污染防治</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bCs/>
                <w:color w:val="000000" w:themeColor="text1"/>
                <w:sz w:val="21"/>
                <w:szCs w:val="18"/>
                <w14:textFill>
                  <w14:solidFill>
                    <w14:schemeClr w14:val="tx1"/>
                  </w14:solidFill>
                </w14:textFill>
              </w:rPr>
              <w:t>2</w:t>
            </w:r>
            <w:r>
              <w:rPr>
                <w:rFonts w:hint="default" w:ascii="Times New Roman" w:eastAsia="宋体"/>
                <w:bCs/>
                <w:color w:val="000000" w:themeColor="text1"/>
                <w:sz w:val="21"/>
                <w:szCs w:val="18"/>
                <w14:textFill>
                  <w14:solidFill>
                    <w14:schemeClr w14:val="tx1"/>
                  </w14:solidFill>
                </w14:textFill>
              </w:rPr>
              <w:t>专项整治“</w:t>
            </w:r>
            <w:r>
              <w:rPr>
                <w:rFonts w:hint="default" w:ascii="Times New Roman"/>
                <w:bCs/>
                <w:color w:val="000000" w:themeColor="text1"/>
                <w:sz w:val="21"/>
                <w:szCs w:val="18"/>
                <w14:textFill>
                  <w14:solidFill>
                    <w14:schemeClr w14:val="tx1"/>
                  </w14:solidFill>
                </w14:textFill>
              </w:rPr>
              <w:t>10+1</w:t>
            </w:r>
            <w:r>
              <w:rPr>
                <w:rFonts w:hint="default" w:ascii="Times New Roman" w:eastAsia="宋体"/>
                <w:bCs/>
                <w:color w:val="000000" w:themeColor="text1"/>
                <w:sz w:val="21"/>
                <w:szCs w:val="18"/>
                <w14:textFill>
                  <w14:solidFill>
                    <w14:schemeClr w14:val="tx1"/>
                  </w14:solidFill>
                </w14:textFill>
              </w:rPr>
              <w:t>”重点行业。环境保护、经济和信息化部门联合制定造纸、焦化、氮肥、有色金属、印染、农副食品加工、原料药制造、制革、农药、电镀和磷化工等行业专项治理方案并组织实施；新建、改建、扩建上述行业的建设项目执行氨氮、化学需氧量等量或减量置换。</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（五）调整产业结构</w:t>
            </w:r>
          </w:p>
          <w:p>
            <w:pPr>
              <w:pStyle w:val="132"/>
              <w:keepNext w:val="0"/>
              <w:keepLines w:val="0"/>
              <w:suppressLineNumbers w:val="0"/>
              <w:spacing w:before="0" w:beforeAutospacing="0" w:after="0" w:afterAutospacing="0"/>
              <w:ind w:left="0" w:right="0"/>
              <w:jc w:val="both"/>
              <w:rPr>
                <w:rFonts w:hint="default" w:ascii="Times New Roman"/>
                <w:b/>
                <w:bCs/>
                <w:color w:val="000000" w:themeColor="text1"/>
                <w:sz w:val="21"/>
                <w:szCs w:val="18"/>
                <w14:textFill>
                  <w14:solidFill>
                    <w14:schemeClr w14:val="tx1"/>
                  </w14:solidFill>
                </w14:textFill>
              </w:rPr>
            </w:pPr>
            <w:r>
              <w:rPr>
                <w:rFonts w:hint="default" w:ascii="Times New Roman" w:eastAsia="宋体"/>
                <w:bCs/>
                <w:color w:val="000000" w:themeColor="text1"/>
                <w:sz w:val="21"/>
                <w:szCs w:val="18"/>
                <w14:textFill>
                  <w14:solidFill>
                    <w14:schemeClr w14:val="tx1"/>
                  </w14:solidFill>
                </w14:textFill>
              </w:rPr>
              <w:t>17.严格环境准入。环境保护部门按照流域水质目标、区域功能划分、容量总量核定的“三位一体”环境准入要求，进一步细化准入条件，严格准入标准，强化分类指导；执行规划环境影响评价、项目环境影响评价以及流域、区域水环境质量和水污染物减排绩效挂钩制度；逐步建立水环境承载能力监测评价体系，对已超过水环境承载能力的地方，由各地制定并组织实施水环境质量达标方案。</w:t>
            </w:r>
          </w:p>
        </w:tc>
        <w:tc>
          <w:tcPr>
            <w:tcW w:w="666" w:type="pct"/>
            <w:vMerge w:val="continue"/>
            <w:vAlign w:val="center"/>
          </w:tcPr>
          <w:p>
            <w:pPr>
              <w:pStyle w:val="132"/>
              <w:keepNext w:val="0"/>
              <w:keepLines w:val="0"/>
              <w:suppressLineNumbers w:val="0"/>
              <w:spacing w:before="0" w:beforeAutospacing="0" w:after="0" w:afterAutospacing="0"/>
              <w:ind w:left="0" w:right="0"/>
              <w:jc w:val="left"/>
              <w:rPr>
                <w:rFonts w:hint="default" w:ascii="Times New Roman"/>
                <w:b/>
                <w:bCs/>
                <w:color w:val="000000" w:themeColor="text1"/>
                <w:sz w:val="21"/>
                <w:szCs w:val="18"/>
                <w14:textFill>
                  <w14:solidFill>
                    <w14:schemeClr w14:val="tx1"/>
                  </w14:solidFill>
                </w14:textFill>
              </w:rPr>
            </w:pPr>
          </w:p>
        </w:tc>
        <w:tc>
          <w:tcPr>
            <w:tcW w:w="467" w:type="pct"/>
            <w:vMerge w:val="continue"/>
            <w:vAlign w:val="center"/>
          </w:tcPr>
          <w:p>
            <w:pPr>
              <w:pStyle w:val="132"/>
              <w:keepNext w:val="0"/>
              <w:keepLines w:val="0"/>
              <w:suppressLineNumbers w:val="0"/>
              <w:spacing w:before="0" w:beforeAutospacing="0" w:after="0" w:afterAutospacing="0"/>
              <w:ind w:left="0" w:right="0"/>
              <w:rPr>
                <w:rFonts w:hint="default" w:ascii="Times New Roman"/>
                <w:b/>
                <w:bCs/>
                <w:color w:val="000000" w:themeColor="text1"/>
                <w:sz w:val="21"/>
                <w:szCs w:val="18"/>
                <w14:textFill>
                  <w14:solidFill>
                    <w14:schemeClr w14:val="tx1"/>
                  </w14:solidFill>
                </w14:textFill>
              </w:rPr>
            </w:pPr>
          </w:p>
        </w:tc>
      </w:tr>
    </w:tbl>
    <w:p>
      <w:pPr>
        <w:rPr>
          <w:color w:val="000000" w:themeColor="text1"/>
          <w14:textFill>
            <w14:solidFill>
              <w14:schemeClr w14:val="tx1"/>
            </w14:solidFill>
          </w14:textFill>
        </w:rPr>
      </w:pP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25" w:name="_Toc3452"/>
      <w:r>
        <w:rPr>
          <w:rFonts w:hint="eastAsia" w:ascii="Times New Roman" w:hAnsi="Times New Roman" w:cs="Times New Roman"/>
          <w:color w:val="000000" w:themeColor="text1"/>
          <w14:textFill>
            <w14:solidFill>
              <w14:schemeClr w14:val="tx1"/>
            </w14:solidFill>
          </w14:textFill>
        </w:rPr>
        <w:t>1.8.1</w:t>
      </w:r>
      <w:r>
        <w:rPr>
          <w:rFonts w:hint="eastAsia" w:ascii="Times New Roman" w:hAnsi="Times New Roman"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与《成都市环城生态区保护条例》的符合性分析</w:t>
      </w:r>
      <w:bookmarkEnd w:id="225"/>
    </w:p>
    <w:p>
      <w:pPr>
        <w:pStyle w:val="127"/>
        <w:adjustRightInd w:val="0"/>
        <w:spacing w:line="240" w:lineRule="auto"/>
        <w:ind w:firstLine="0" w:firstLineChars="0"/>
        <w:jc w:val="center"/>
        <w:rPr>
          <w:color w:val="000000" w:themeColor="text1"/>
          <w14:textFill>
            <w14:solidFill>
              <w14:schemeClr w14:val="tx1"/>
            </w14:solidFill>
          </w14:textFill>
        </w:rPr>
      </w:pPr>
      <w:r>
        <w:rPr>
          <w:rFonts w:eastAsia="黑体"/>
          <w:color w:val="000000" w:themeColor="text1"/>
          <w:szCs w:val="24"/>
          <w14:textFill>
            <w14:solidFill>
              <w14:schemeClr w14:val="tx1"/>
            </w14:solidFill>
          </w14:textFill>
        </w:rPr>
        <w:t>表1</w:t>
      </w:r>
      <w:r>
        <w:rPr>
          <w:rFonts w:hint="eastAsia" w:eastAsia="黑体"/>
          <w:color w:val="000000" w:themeColor="text1"/>
          <w:szCs w:val="24"/>
          <w14:textFill>
            <w14:solidFill>
              <w14:schemeClr w14:val="tx1"/>
            </w14:solidFill>
          </w14:textFill>
        </w:rPr>
        <w:t>.8-6</w:t>
      </w:r>
      <w:r>
        <w:rPr>
          <w:rFonts w:eastAsia="黑体"/>
          <w:color w:val="000000" w:themeColor="text1"/>
          <w:szCs w:val="24"/>
          <w14:textFill>
            <w14:solidFill>
              <w14:schemeClr w14:val="tx1"/>
            </w14:solidFill>
          </w14:textFill>
        </w:rPr>
        <w:t>本项目与《</w:t>
      </w:r>
      <w:r>
        <w:rPr>
          <w:rFonts w:hint="eastAsia" w:eastAsia="黑体"/>
          <w:color w:val="000000" w:themeColor="text1"/>
          <w:szCs w:val="24"/>
          <w14:textFill>
            <w14:solidFill>
              <w14:schemeClr w14:val="tx1"/>
            </w14:solidFill>
          </w14:textFill>
        </w:rPr>
        <w:t>成都市环城生态区保护</w:t>
      </w:r>
      <w:r>
        <w:rPr>
          <w:rFonts w:eastAsia="黑体"/>
          <w:color w:val="000000" w:themeColor="text1"/>
          <w:szCs w:val="24"/>
          <w14:textFill>
            <w14:solidFill>
              <w14:schemeClr w14:val="tx1"/>
            </w14:solidFill>
          </w14:textFill>
        </w:rPr>
        <w:t>》符合性分析</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5"/>
        <w:gridCol w:w="4134"/>
        <w:gridCol w:w="3031"/>
        <w:gridCol w:w="6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序号</w:t>
            </w:r>
          </w:p>
        </w:tc>
        <w:tc>
          <w:tcPr>
            <w:tcW w:w="2425"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四川省长江经济带发展负面清单内容</w:t>
            </w:r>
          </w:p>
        </w:tc>
        <w:tc>
          <w:tcPr>
            <w:tcW w:w="1778"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本项目情况</w:t>
            </w:r>
          </w:p>
        </w:tc>
        <w:tc>
          <w:tcPr>
            <w:tcW w:w="393"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vAlign w:val="center"/>
          </w:tcPr>
          <w:p>
            <w:pPr>
              <w:keepNext w:val="0"/>
              <w:keepLines w:val="0"/>
              <w:widowControl/>
              <w:suppressLineNumbers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1</w:t>
            </w:r>
          </w:p>
        </w:tc>
        <w:tc>
          <w:tcPr>
            <w:tcW w:w="2425" w:type="pct"/>
            <w:vAlign w:val="center"/>
          </w:tcPr>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第十一条环城生态区土地利用专项规划由市土地行政主管部门会同市人民政府其他相关部门和有关区县人民政府，根据环城生态区总体规划和土地利用总体规划编制，报市人民政府批准。</w:t>
            </w:r>
          </w:p>
        </w:tc>
        <w:tc>
          <w:tcPr>
            <w:tcW w:w="1778" w:type="pct"/>
            <w:vAlign w:val="center"/>
          </w:tcPr>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本项目</w:t>
            </w:r>
            <w:r>
              <w:rPr>
                <w:rFonts w:hint="eastAsia" w:cs="宋体"/>
                <w:color w:val="000000" w:themeColor="text1"/>
                <w:kern w:val="0"/>
                <w:lang w:val="en-US" w:eastAsia="zh-CN" w:bidi="ar"/>
                <w14:textFill>
                  <w14:solidFill>
                    <w14:schemeClr w14:val="tx1"/>
                  </w14:solidFill>
                </w14:textFill>
              </w:rPr>
              <w:t>不涉及</w:t>
            </w:r>
            <w:r>
              <w:rPr>
                <w:rFonts w:hint="eastAsia" w:cs="宋体"/>
                <w:color w:val="000000" w:themeColor="text1"/>
                <w:kern w:val="0"/>
                <w:lang w:bidi="ar"/>
                <w14:textFill>
                  <w14:solidFill>
                    <w14:schemeClr w14:val="tx1"/>
                  </w14:solidFill>
                </w14:textFill>
              </w:rPr>
              <w:t>占用</w:t>
            </w:r>
            <w:r>
              <w:rPr>
                <w:rFonts w:hint="eastAsia" w:cs="宋体"/>
                <w:color w:val="000000" w:themeColor="text1"/>
                <w:kern w:val="0"/>
                <w:lang w:val="en-US" w:eastAsia="zh-CN" w:bidi="ar"/>
                <w14:textFill>
                  <w14:solidFill>
                    <w14:schemeClr w14:val="tx1"/>
                  </w14:solidFill>
                </w14:textFill>
              </w:rPr>
              <w:t>基本农田、</w:t>
            </w:r>
            <w:r>
              <w:rPr>
                <w:rFonts w:hint="eastAsia" w:cs="宋体"/>
                <w:color w:val="000000" w:themeColor="text1"/>
                <w:kern w:val="0"/>
                <w:lang w:bidi="ar"/>
                <w14:textFill>
                  <w14:solidFill>
                    <w14:schemeClr w14:val="tx1"/>
                  </w14:solidFill>
                </w14:textFill>
              </w:rPr>
              <w:t>耕地、林地、以及水利设施用地；占用耕地部分拟纳入环城生态区“耕地进出平衡”方案。环评要求，</w:t>
            </w:r>
            <w:r>
              <w:rPr>
                <w:rFonts w:hint="eastAsia" w:cs="宋体"/>
                <w:color w:val="000000" w:themeColor="text1"/>
                <w:kern w:val="0"/>
                <w:lang w:val="en-US" w:eastAsia="zh-CN" w:bidi="ar"/>
                <w14:textFill>
                  <w14:solidFill>
                    <w14:schemeClr w14:val="tx1"/>
                  </w14:solidFill>
                </w14:textFill>
              </w:rPr>
              <w:t>项目</w:t>
            </w:r>
            <w:r>
              <w:rPr>
                <w:rFonts w:hint="eastAsia" w:cs="宋体"/>
                <w:color w:val="000000" w:themeColor="text1"/>
                <w:kern w:val="0"/>
                <w:lang w:bidi="ar"/>
                <w14:textFill>
                  <w14:solidFill>
                    <w14:schemeClr w14:val="tx1"/>
                  </w14:solidFill>
                </w14:textFill>
              </w:rPr>
              <w:t>涉及占用耕地部分未完成“耕地进出平衡”之前，不得开工建设</w:t>
            </w:r>
            <w:r>
              <w:rPr>
                <w:rFonts w:hint="eastAsia" w:cs="宋体"/>
                <w:color w:val="000000" w:themeColor="text1"/>
                <w:kern w:val="0"/>
                <w:lang w:eastAsia="zh-CN" w:bidi="ar"/>
                <w14:textFill>
                  <w14:solidFill>
                    <w14:schemeClr w14:val="tx1"/>
                  </w14:solidFill>
                </w14:textFill>
              </w:rPr>
              <w:t>；</w:t>
            </w:r>
            <w:r>
              <w:rPr>
                <w:rFonts w:hint="eastAsia" w:cs="宋体"/>
                <w:color w:val="000000" w:themeColor="text1"/>
                <w:kern w:val="0"/>
                <w:lang w:val="en-US" w:eastAsia="zh-CN" w:bidi="ar"/>
                <w14:textFill>
                  <w14:solidFill>
                    <w14:schemeClr w14:val="tx1"/>
                  </w14:solidFill>
                </w14:textFill>
              </w:rPr>
              <w:t>涉及林地部分在取得林地手续之前不得开工</w:t>
            </w:r>
            <w:r>
              <w:rPr>
                <w:rFonts w:hint="eastAsia" w:cs="宋体"/>
                <w:color w:val="000000" w:themeColor="text1"/>
                <w:kern w:val="0"/>
                <w:lang w:bidi="ar"/>
                <w14:textFill>
                  <w14:solidFill>
                    <w14:schemeClr w14:val="tx1"/>
                  </w14:solidFill>
                </w14:textFill>
              </w:rPr>
              <w:t>。</w:t>
            </w:r>
          </w:p>
        </w:tc>
        <w:tc>
          <w:tcPr>
            <w:tcW w:w="39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2" w:type="pct"/>
            <w:vAlign w:val="center"/>
          </w:tcPr>
          <w:p>
            <w:pPr>
              <w:keepNext w:val="0"/>
              <w:keepLines w:val="0"/>
              <w:widowControl/>
              <w:suppressLineNumbers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2</w:t>
            </w:r>
          </w:p>
        </w:tc>
        <w:tc>
          <w:tcPr>
            <w:tcW w:w="2425" w:type="pct"/>
            <w:vAlign w:val="center"/>
          </w:tcPr>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第二十三条任何单位和个人在环城生态区内进行下列建设活动，应当向市城乡规划行政主管部门申请办理规划审批手续：</w:t>
            </w:r>
          </w:p>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　　（一）建筑物工程；</w:t>
            </w:r>
          </w:p>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　　（二）道路、桥梁、管线、管沟等各类市政设施工程；</w:t>
            </w:r>
          </w:p>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　　（三）广场、停车场建设；</w:t>
            </w:r>
          </w:p>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　　（四）地下空间开发和利用工程；</w:t>
            </w:r>
          </w:p>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　　（五）法律、法规规定的其他需要履行规划审批手续的建设工程项目。</w:t>
            </w:r>
          </w:p>
          <w:p>
            <w:pPr>
              <w:keepNext w:val="0"/>
              <w:keepLines w:val="0"/>
              <w:widowControl/>
              <w:suppressLineNumbers w:val="0"/>
              <w:adjustRightInd w:val="0"/>
              <w:snapToGrid w:val="0"/>
              <w:spacing w:before="0" w:beforeAutospacing="0" w:after="0" w:afterAutospacing="0"/>
              <w:ind w:left="0" w:right="0"/>
              <w:rPr>
                <w:rFonts w:hint="default"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　　在环城生态区内进行绿地、水体等生态项目建设的，应当依法报经有关行政主管部门批准。</w:t>
            </w:r>
          </w:p>
        </w:tc>
        <w:tc>
          <w:tcPr>
            <w:tcW w:w="1778" w:type="pct"/>
            <w:vAlign w:val="center"/>
          </w:tcPr>
          <w:p>
            <w:pPr>
              <w:keepNext w:val="0"/>
              <w:keepLines w:val="0"/>
              <w:suppressLineNumbers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p>
        </w:tc>
        <w:tc>
          <w:tcPr>
            <w:tcW w:w="393"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pPr>
        <w:pStyle w:val="3"/>
        <w:spacing w:line="360" w:lineRule="auto"/>
        <w:ind w:left="0" w:firstLine="640"/>
        <w:rPr>
          <w:rFonts w:eastAsia="黑体"/>
          <w:color w:val="000000" w:themeColor="text1"/>
          <w14:textFill>
            <w14:solidFill>
              <w14:schemeClr w14:val="tx1"/>
            </w14:solidFill>
          </w14:textFill>
        </w:rPr>
      </w:pPr>
      <w:bookmarkStart w:id="226" w:name="_Toc28937"/>
      <w:r>
        <w:rPr>
          <w:rFonts w:eastAsia="黑体"/>
          <w:color w:val="000000" w:themeColor="text1"/>
          <w14:textFill>
            <w14:solidFill>
              <w14:schemeClr w14:val="tx1"/>
            </w14:solidFill>
          </w14:textFill>
        </w:rPr>
        <w:t>1.9与“三线一单”符合性分析</w:t>
      </w:r>
      <w:bookmarkEnd w:id="219"/>
      <w:bookmarkEnd w:id="220"/>
      <w:bookmarkEnd w:id="221"/>
      <w:bookmarkEnd w:id="222"/>
      <w:bookmarkEnd w:id="223"/>
      <w:bookmarkEnd w:id="226"/>
    </w:p>
    <w:p>
      <w:pPr>
        <w:pStyle w:val="14"/>
        <w:spacing w:line="360" w:lineRule="auto"/>
        <w:ind w:firstLine="480" w:firstLineChars="200"/>
        <w:rPr>
          <w:bCs/>
          <w:color w:val="000000" w:themeColor="text1"/>
          <w14:textFill>
            <w14:solidFill>
              <w14:schemeClr w14:val="tx1"/>
            </w14:solidFill>
          </w14:textFill>
        </w:rPr>
      </w:pPr>
      <w:r>
        <w:rPr>
          <w:bCs/>
          <w:color w:val="000000" w:themeColor="text1"/>
          <w14:textFill>
            <w14:solidFill>
              <w14:schemeClr w14:val="tx1"/>
            </w14:solidFill>
          </w14:textFill>
        </w:rPr>
        <w:t>四川省生态环境厅办公室于2021年12月27日发布了&lt;关于印发《产业园区规划环评“三线一单”符合性分析技术要点》和《项目环评“三线一单”符合性分析技术要点（试行）》的通知&gt;（川环办函[2021]469号），根据文件要求，建设项目不在产业园区内或位于产业园区内但产业园区规划环境影响评价未开展园区与“三线一单”符合性分析，则项目环评需首先明确建设项目所属的“三线一单”环境管控单元类别，并说明该单元的基本情况。再根据项目所在地所述环境管控单元的生态环境准入清单，从空间布局、污染物排放管控、环境风险防控、资源开发效率四个维度，论述项目的符合性。</w:t>
      </w:r>
    </w:p>
    <w:p>
      <w:pPr>
        <w:pStyle w:val="14"/>
        <w:spacing w:line="360" w:lineRule="auto"/>
        <w:ind w:firstLine="482" w:firstLineChars="200"/>
        <w:jc w:val="both"/>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1、工程涉及管控单元</w:t>
      </w:r>
    </w:p>
    <w:p>
      <w:pPr>
        <w:widowControl/>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根据《长江经济带战略环境评价四川省</w:t>
      </w:r>
      <w:r>
        <w:rPr>
          <w:color w:val="000000" w:themeColor="text1"/>
          <w:sz w:val="24"/>
          <w:szCs w:val="24"/>
          <w14:textFill>
            <w14:solidFill>
              <w14:schemeClr w14:val="tx1"/>
            </w14:solidFill>
          </w14:textFill>
        </w:rPr>
        <w:t>成都市“三线一单”生态环境分区管控优化完善研究报告》及四川省政务服务网的“三线一单”符合性分</w:t>
      </w:r>
      <w:r>
        <w:rPr>
          <w:rFonts w:hint="eastAsia"/>
          <w:color w:val="000000" w:themeColor="text1"/>
          <w:sz w:val="24"/>
          <w:szCs w:val="24"/>
          <w14:textFill>
            <w14:solidFill>
              <w14:schemeClr w14:val="tx1"/>
            </w14:solidFill>
          </w14:textFill>
        </w:rPr>
        <w:t>析模块，本项目涉及管控单元如下：</w:t>
      </w:r>
    </w:p>
    <w:p>
      <w:pPr>
        <w:widowControl/>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①南五支渠、南六支渠</w:t>
      </w:r>
    </w:p>
    <w:p>
      <w:pPr>
        <w:widowControl/>
        <w:ind w:firstLine="480" w:firstLineChars="200"/>
        <w:jc w:val="center"/>
        <w:rPr>
          <w:color w:val="000000" w:themeColor="text1"/>
          <w:sz w:val="24"/>
          <w:szCs w:val="24"/>
          <w14:textFill>
            <w14:solidFill>
              <w14:schemeClr w14:val="tx1"/>
            </w14:solidFill>
          </w14:textFill>
        </w:rPr>
      </w:pPr>
      <w:r>
        <w:rPr>
          <w:rFonts w:hint="eastAsia" w:eastAsia="黑体"/>
          <w:color w:val="000000" w:themeColor="text1"/>
          <w:sz w:val="24"/>
          <w:szCs w:val="24"/>
          <w14:textFill>
            <w14:solidFill>
              <w14:schemeClr w14:val="tx1"/>
            </w14:solidFill>
          </w14:textFill>
        </w:rPr>
        <w:t>表1.9-1南五、南六支渠涉及管控单元及管控类别</w:t>
      </w:r>
    </w:p>
    <w:tbl>
      <w:tblPr>
        <w:tblStyle w:val="38"/>
        <w:tblW w:w="493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2"/>
        <w:gridCol w:w="1934"/>
        <w:gridCol w:w="669"/>
        <w:gridCol w:w="1028"/>
        <w:gridCol w:w="1256"/>
        <w:gridCol w:w="1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081"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环境管控单元编码</w:t>
            </w:r>
          </w:p>
        </w:tc>
        <w:tc>
          <w:tcPr>
            <w:tcW w:w="1151"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环境管控单元名称</w:t>
            </w:r>
          </w:p>
        </w:tc>
        <w:tc>
          <w:tcPr>
            <w:tcW w:w="400"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所属市</w:t>
            </w:r>
          </w:p>
        </w:tc>
        <w:tc>
          <w:tcPr>
            <w:tcW w:w="613"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所属区县</w:t>
            </w:r>
          </w:p>
        </w:tc>
        <w:tc>
          <w:tcPr>
            <w:tcW w:w="748"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准入清单类型</w:t>
            </w:r>
          </w:p>
        </w:tc>
        <w:tc>
          <w:tcPr>
            <w:tcW w:w="1004"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YS5101121130009</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生态优先保护区（一般生态空间）09</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生态空间分区</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生态空间分区一般生态空间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ZH51011210001</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环城生态区</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环境管控单元</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环境综合管控单元优先保护单元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YS5101121130014</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生态优先保护区（一般生态空间）14</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生态空间分区</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生态空间分区一般生态空间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YS5101121310001</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龙泉花果山风景名胜区</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大气环境管控分区</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大气环境优先保护区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YS5101122220002</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西江河-龙泉驿区-西河天平-控制单元</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水环境管控分区</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水环境城镇生活污染重点管控区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YS5101122540001</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龙泉驿区高污染燃料禁燃区</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自然资源管控分区</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高污染燃料禁燃区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YS5101122550001</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龙泉驿区自然资源重点管控区</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自然资源管控分区</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自然资源重点管控区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2" w:hRule="atLeast"/>
          <w:jc w:val="center"/>
        </w:trPr>
        <w:tc>
          <w:tcPr>
            <w:tcW w:w="108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ZH51011210002</w:t>
            </w:r>
          </w:p>
        </w:tc>
        <w:tc>
          <w:tcPr>
            <w:tcW w:w="1151"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花果山风景名胜区、四川龙泉湖自然保护区、龙泉驿区东风渠东干渠麻石桥水源保护区、龙泉驿水一厂宝狮湖饮用水源地、石盘水库、成都市龙泉驿区东风渠、东干渠麻石桥集中式饮、龙泉山城市森林公园、龙泉驿区自来水二厂集中式饮用水水源保护区</w:t>
            </w:r>
          </w:p>
        </w:tc>
        <w:tc>
          <w:tcPr>
            <w:tcW w:w="40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成都市</w:t>
            </w:r>
          </w:p>
        </w:tc>
        <w:tc>
          <w:tcPr>
            <w:tcW w:w="61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龙泉驿区</w:t>
            </w:r>
          </w:p>
        </w:tc>
        <w:tc>
          <w:tcPr>
            <w:tcW w:w="748"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环境管控单元</w:t>
            </w:r>
          </w:p>
        </w:tc>
        <w:tc>
          <w:tcPr>
            <w:tcW w:w="1004"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环境综合管控单元优先保护单元</w:t>
            </w:r>
          </w:p>
        </w:tc>
      </w:tr>
    </w:tbl>
    <w:p>
      <w:pPr>
        <w:widowControl/>
        <w:spacing w:line="360" w:lineRule="auto"/>
        <w:jc w:val="both"/>
        <w:rPr>
          <w:color w:val="000000" w:themeColor="text1"/>
          <w:kern w:val="0"/>
          <w:sz w:val="24"/>
          <w:szCs w:val="20"/>
          <w14:textFill>
            <w14:solidFill>
              <w14:schemeClr w14:val="tx1"/>
            </w14:solidFill>
          </w14:textFill>
        </w:rPr>
      </w:pPr>
    </w:p>
    <w:p>
      <w:pPr>
        <w:widowControl/>
        <w:spacing w:line="360" w:lineRule="auto"/>
        <w:jc w:val="both"/>
        <w:rPr>
          <w:color w:val="000000" w:themeColor="text1"/>
          <w:kern w:val="0"/>
          <w:sz w:val="24"/>
          <w:szCs w:val="20"/>
          <w:lang w:val="zh-CN"/>
          <w14:textFill>
            <w14:solidFill>
              <w14:schemeClr w14:val="tx1"/>
            </w14:solidFill>
          </w14:textFill>
        </w:rPr>
      </w:pPr>
      <w:r>
        <w:rPr>
          <w:rFonts w:hint="eastAsia"/>
          <w:color w:val="000000" w:themeColor="text1"/>
          <w:kern w:val="0"/>
          <w:sz w:val="24"/>
          <w:szCs w:val="20"/>
          <w14:textFill>
            <w14:solidFill>
              <w14:schemeClr w14:val="tx1"/>
            </w14:solidFill>
          </w14:textFill>
        </w:rPr>
        <w:drawing>
          <wp:inline distT="0" distB="0" distL="114300" distR="114300">
            <wp:extent cx="5321935" cy="3919220"/>
            <wp:effectExtent l="0" t="0" r="12065" b="5080"/>
            <wp:docPr id="119" name="图片 1" descr="南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descr="南五"/>
                    <pic:cNvPicPr>
                      <a:picLocks noChangeAspect="1"/>
                    </pic:cNvPicPr>
                  </pic:nvPicPr>
                  <pic:blipFill>
                    <a:blip r:embed="rId27"/>
                    <a:srcRect l="468" t="2072" r="264" b="3146"/>
                    <a:stretch>
                      <a:fillRect/>
                    </a:stretch>
                  </pic:blipFill>
                  <pic:spPr>
                    <a:xfrm>
                      <a:off x="0" y="0"/>
                      <a:ext cx="5321935" cy="3919220"/>
                    </a:xfrm>
                    <a:prstGeom prst="rect">
                      <a:avLst/>
                    </a:prstGeom>
                    <a:noFill/>
                    <a:ln>
                      <a:noFill/>
                    </a:ln>
                  </pic:spPr>
                </pic:pic>
              </a:graphicData>
            </a:graphic>
          </wp:inline>
        </w:drawing>
      </w:r>
    </w:p>
    <w:p>
      <w:pPr>
        <w:spacing w:line="360" w:lineRule="auto"/>
        <w:ind w:firstLine="480" w:firstLineChars="200"/>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涉及管控单元图如下</w:t>
      </w:r>
      <w:r>
        <w:rPr>
          <w:rFonts w:ascii="Helvetica" w:hAnsi="Helvetica" w:eastAsia="Helvetica"/>
          <w:color w:val="000000" w:themeColor="text1"/>
          <w:sz w:val="24"/>
          <w:szCs w:val="24"/>
          <w14:textFill>
            <w14:solidFill>
              <w14:schemeClr w14:val="tx1"/>
            </w14:solidFill>
          </w14:textFill>
        </w:rPr>
        <w:t>（图中▼表示项目位置）</w:t>
      </w:r>
      <w:r>
        <w:rPr>
          <w:rFonts w:hint="eastAsia"/>
          <w:color w:val="000000" w:themeColor="text1"/>
          <w:sz w:val="24"/>
          <w:szCs w:val="24"/>
          <w14:textFill>
            <w14:solidFill>
              <w14:schemeClr w14:val="tx1"/>
            </w14:solidFill>
          </w14:textFill>
        </w:rPr>
        <w:t>：</w:t>
      </w:r>
    </w:p>
    <w:p>
      <w:pPr>
        <w:widowControl/>
        <w:spacing w:line="360" w:lineRule="auto"/>
        <w:jc w:val="both"/>
        <w:rPr>
          <w:color w:val="000000" w:themeColor="text1"/>
          <w:kern w:val="0"/>
          <w:sz w:val="24"/>
          <w:szCs w:val="20"/>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2992755</wp:posOffset>
                </wp:positionH>
                <wp:positionV relativeFrom="paragraph">
                  <wp:posOffset>1895475</wp:posOffset>
                </wp:positionV>
                <wp:extent cx="768350" cy="278765"/>
                <wp:effectExtent l="116840" t="254000" r="10160" b="19685"/>
                <wp:wrapNone/>
                <wp:docPr id="159" name="圆角矩形标注 159"/>
                <wp:cNvGraphicFramePr/>
                <a:graphic xmlns:a="http://schemas.openxmlformats.org/drawingml/2006/main">
                  <a:graphicData uri="http://schemas.microsoft.com/office/word/2010/wordprocessingShape">
                    <wps:wsp>
                      <wps:cNvSpPr/>
                      <wps:spPr>
                        <a:xfrm>
                          <a:off x="0" y="0"/>
                          <a:ext cx="768350" cy="278765"/>
                        </a:xfrm>
                        <a:prstGeom prst="wedgeRoundRectCallout">
                          <a:avLst>
                            <a:gd name="adj1" fmla="val -60991"/>
                            <a:gd name="adj2" fmla="val -132004"/>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南六支渠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5.65pt;margin-top:149.25pt;height:21.95pt;width:60.5pt;z-index:251706368;v-text-anchor:middle;mso-width-relative:page;mso-height-relative:page;" fillcolor="#FFFFFF [3212]" filled="t" stroked="t" coordsize="21600,21600" o:gfxdata="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AzcPddoAAAAL&#10;AQAADwAAAAAAAAABACAAAAAiAAAAZHJzL2Rvd25yZXYueG1sUEsBAhQAFAAAAAgAh07iQPkaQBbF&#10;AgAAlwUAAA4AAAAAAAAAAQAgAAAAKQEAAGRycy9lMm9Eb2MueG1sUEsFBgAAAAAGAAYAWQEAAGAG&#10;AAAAAA==&#10;" adj="-2374,-17713,14400">
                <v:fill on="t" focussize="0,0"/>
                <v:stroke weight="1pt" color="#000000 [3213]" miterlimit="8" joinstyle="miter"/>
                <v:imagedata o:title=""/>
                <o:lock v:ext="edit" aspectratio="f"/>
                <v:textbox>
                  <w:txbxContent>
                    <w:p>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南六支渠</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3065145</wp:posOffset>
                </wp:positionH>
                <wp:positionV relativeFrom="paragraph">
                  <wp:posOffset>858520</wp:posOffset>
                </wp:positionV>
                <wp:extent cx="768350" cy="278765"/>
                <wp:effectExtent l="208915" t="6350" r="13335" b="419735"/>
                <wp:wrapNone/>
                <wp:docPr id="158" name="圆角矩形标注 158"/>
                <wp:cNvGraphicFramePr/>
                <a:graphic xmlns:a="http://schemas.openxmlformats.org/drawingml/2006/main">
                  <a:graphicData uri="http://schemas.microsoft.com/office/word/2010/wordprocessingShape">
                    <wps:wsp>
                      <wps:cNvSpPr/>
                      <wps:spPr>
                        <a:xfrm>
                          <a:off x="4210050" y="6134735"/>
                          <a:ext cx="768350" cy="278765"/>
                        </a:xfrm>
                        <a:prstGeom prst="wedgeRoundRectCallout">
                          <a:avLst>
                            <a:gd name="adj1" fmla="val -72439"/>
                            <a:gd name="adj2" fmla="val 185307"/>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南五支渠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1.35pt;margin-top:67.6pt;height:21.95pt;width:60.5pt;z-index:251705344;v-text-anchor:middle;mso-width-relative:page;mso-height-relative:page;" fillcolor="#FFFFFF [3212]" filled="t" stroked="t" coordsize="21600,21600" o:gfxdata="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I02czPaAAAACwEAAA8AAAAAAAAAAQAgAAAAIgAAAGRycy9kb3ducmV2LnhtbFBLAQIUABQA&#10;AAAIAIdO4kC8jbQO0gIAAKIFAAAOAAAAAAAAAAEAIAAAACkBAABkcnMvZTJvRG9jLnhtbFBLBQYA&#10;AAAABgAGAFkBAABtBgAAAAA=&#10;" adj="-4847,50826,14400">
                <v:fill on="t" focussize="0,0"/>
                <v:stroke weight="1pt" color="#000000 [3213]" miterlimit="8" joinstyle="miter"/>
                <v:imagedata o:title=""/>
                <o:lock v:ext="edit" aspectratio="f"/>
                <v:textbox>
                  <w:txbxContent>
                    <w:p>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南五支渠</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2820670</wp:posOffset>
                </wp:positionH>
                <wp:positionV relativeFrom="paragraph">
                  <wp:posOffset>1597660</wp:posOffset>
                </wp:positionV>
                <wp:extent cx="106045" cy="76200"/>
                <wp:effectExtent l="5080" t="1905" r="22225" b="17145"/>
                <wp:wrapNone/>
                <wp:docPr id="157" name="任意多边形 157"/>
                <wp:cNvGraphicFramePr/>
                <a:graphic xmlns:a="http://schemas.openxmlformats.org/drawingml/2006/main">
                  <a:graphicData uri="http://schemas.microsoft.com/office/word/2010/wordprocessingShape">
                    <wps:wsp>
                      <wps:cNvSpPr/>
                      <wps:spPr>
                        <a:xfrm>
                          <a:off x="0" y="0"/>
                          <a:ext cx="106045" cy="76200"/>
                        </a:xfrm>
                        <a:custGeom>
                          <a:avLst/>
                          <a:gdLst>
                            <a:gd name="connisteX0" fmla="*/ 0 w 1534160"/>
                            <a:gd name="connsiteY0" fmla="*/ 215900 h 280670"/>
                            <a:gd name="connisteX1" fmla="*/ 175260 w 1534160"/>
                            <a:gd name="connsiteY1" fmla="*/ 155575 h 280670"/>
                            <a:gd name="connisteX2" fmla="*/ 220345 w 1534160"/>
                            <a:gd name="connsiteY2" fmla="*/ 155575 h 280670"/>
                            <a:gd name="connisteX3" fmla="*/ 260350 w 1534160"/>
                            <a:gd name="connsiteY3" fmla="*/ 200660 h 280670"/>
                            <a:gd name="connisteX4" fmla="*/ 320675 w 1534160"/>
                            <a:gd name="connsiteY4" fmla="*/ 255905 h 280670"/>
                            <a:gd name="connisteX5" fmla="*/ 396240 w 1534160"/>
                            <a:gd name="connsiteY5" fmla="*/ 280670 h 280670"/>
                            <a:gd name="connisteX6" fmla="*/ 455930 w 1534160"/>
                            <a:gd name="connsiteY6" fmla="*/ 250825 h 280670"/>
                            <a:gd name="connisteX7" fmla="*/ 541655 w 1534160"/>
                            <a:gd name="connsiteY7" fmla="*/ 190500 h 280670"/>
                            <a:gd name="connisteX8" fmla="*/ 616585 w 1534160"/>
                            <a:gd name="connsiteY8" fmla="*/ 190500 h 280670"/>
                            <a:gd name="connisteX9" fmla="*/ 791845 w 1534160"/>
                            <a:gd name="connsiteY9" fmla="*/ 190500 h 280670"/>
                            <a:gd name="connisteX10" fmla="*/ 1017905 w 1534160"/>
                            <a:gd name="connsiteY10" fmla="*/ 170815 h 280670"/>
                            <a:gd name="connisteX11" fmla="*/ 1158240 w 1534160"/>
                            <a:gd name="connsiteY11" fmla="*/ 165735 h 280670"/>
                            <a:gd name="connisteX12" fmla="*/ 1253490 w 1534160"/>
                            <a:gd name="connsiteY12" fmla="*/ 180975 h 280670"/>
                            <a:gd name="connisteX13" fmla="*/ 1373505 w 1534160"/>
                            <a:gd name="connsiteY13" fmla="*/ 190500 h 280670"/>
                            <a:gd name="connisteX14" fmla="*/ 1438910 w 1534160"/>
                            <a:gd name="connsiteY14" fmla="*/ 185420 h 280670"/>
                            <a:gd name="connisteX15" fmla="*/ 1478915 w 1534160"/>
                            <a:gd name="connsiteY15" fmla="*/ 95250 h 280670"/>
                            <a:gd name="connisteX16" fmla="*/ 1503680 w 1534160"/>
                            <a:gd name="connsiteY16" fmla="*/ 25400 h 280670"/>
                            <a:gd name="connisteX17" fmla="*/ 1534160 w 1534160"/>
                            <a:gd name="connsiteY17" fmla="*/ 0 h 2806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1534160" h="280670">
                              <a:moveTo>
                                <a:pt x="0" y="215900"/>
                              </a:moveTo>
                              <a:lnTo>
                                <a:pt x="175260" y="155575"/>
                              </a:lnTo>
                              <a:lnTo>
                                <a:pt x="220345" y="155575"/>
                              </a:lnTo>
                              <a:lnTo>
                                <a:pt x="260350" y="200660"/>
                              </a:lnTo>
                              <a:lnTo>
                                <a:pt x="320675" y="255905"/>
                              </a:lnTo>
                              <a:lnTo>
                                <a:pt x="396240" y="280670"/>
                              </a:lnTo>
                              <a:lnTo>
                                <a:pt x="455930" y="250825"/>
                              </a:lnTo>
                              <a:lnTo>
                                <a:pt x="541655" y="190500"/>
                              </a:lnTo>
                              <a:lnTo>
                                <a:pt x="616585" y="190500"/>
                              </a:lnTo>
                              <a:lnTo>
                                <a:pt x="791845" y="190500"/>
                              </a:lnTo>
                              <a:lnTo>
                                <a:pt x="1017905" y="170815"/>
                              </a:lnTo>
                              <a:lnTo>
                                <a:pt x="1158240" y="165735"/>
                              </a:lnTo>
                              <a:lnTo>
                                <a:pt x="1253490" y="180975"/>
                              </a:lnTo>
                              <a:lnTo>
                                <a:pt x="1373505" y="190500"/>
                              </a:lnTo>
                              <a:lnTo>
                                <a:pt x="1438910" y="185420"/>
                              </a:lnTo>
                              <a:lnTo>
                                <a:pt x="1478915" y="95250"/>
                              </a:lnTo>
                              <a:lnTo>
                                <a:pt x="1503680" y="25400"/>
                              </a:lnTo>
                              <a:lnTo>
                                <a:pt x="1534160" y="0"/>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2.1pt;margin-top:125.8pt;height:6pt;width:8.35pt;z-index:251704320;mso-width-relative:page;mso-height-relative:page;" filled="f" stroked="t" coordsize="1534160,280670" o:gfxdata="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" path="m0,215900l175260,155575,220345,155575,260350,200660,320675,255905,396240,280670,455930,250825,541655,190500,616585,190500,791845,190500,1017905,170815,1158240,165735,1253490,180975,1373505,190500,1438910,185420,1478915,95250,1503680,25400,1534160,0e">
                <v:path o:connectlocs="0,58615;12114,42237;15230,42237;17996,54477;22165,69476;27389,76200;31515,68097;37440,51719;42619,51719;54734,51719;70360,46375;80060,44995;86644,49133;94940,51719;99461,50340;102226,25859;103938,6895;106045,0" o:connectangles="0,0,0,0,0,0,0,0,0,0,0,0,0,0,0,0,0,0"/>
                <v:fill on="f" focussize="0,0"/>
                <v:stroke weight="1pt" color="#FF0000 [2404]"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2799715</wp:posOffset>
                </wp:positionH>
                <wp:positionV relativeFrom="paragraph">
                  <wp:posOffset>1530350</wp:posOffset>
                </wp:positionV>
                <wp:extent cx="99060" cy="81280"/>
                <wp:effectExtent l="635" t="5080" r="14605" b="8890"/>
                <wp:wrapNone/>
                <wp:docPr id="156" name="任意多边形 156"/>
                <wp:cNvGraphicFramePr/>
                <a:graphic xmlns:a="http://schemas.openxmlformats.org/drawingml/2006/main">
                  <a:graphicData uri="http://schemas.microsoft.com/office/word/2010/wordprocessingShape">
                    <wps:wsp>
                      <wps:cNvSpPr/>
                      <wps:spPr>
                        <a:xfrm>
                          <a:off x="0" y="0"/>
                          <a:ext cx="99060" cy="81280"/>
                        </a:xfrm>
                        <a:custGeom>
                          <a:avLst/>
                          <a:gdLst>
                            <a:gd name="connisteX0" fmla="*/ 0 w 1840230"/>
                            <a:gd name="connsiteY0" fmla="*/ 2070100 h 2105660"/>
                            <a:gd name="connisteX1" fmla="*/ 70485 w 1840230"/>
                            <a:gd name="connsiteY1" fmla="*/ 2055495 h 2105660"/>
                            <a:gd name="connisteX2" fmla="*/ 130175 w 1840230"/>
                            <a:gd name="connsiteY2" fmla="*/ 2075180 h 2105660"/>
                            <a:gd name="connisteX3" fmla="*/ 180340 w 1840230"/>
                            <a:gd name="connsiteY3" fmla="*/ 2105660 h 2105660"/>
                            <a:gd name="connisteX4" fmla="*/ 250825 w 1840230"/>
                            <a:gd name="connsiteY4" fmla="*/ 2100580 h 2105660"/>
                            <a:gd name="connisteX5" fmla="*/ 260985 w 1840230"/>
                            <a:gd name="connsiteY5" fmla="*/ 2014855 h 2105660"/>
                            <a:gd name="connisteX6" fmla="*/ 356235 w 1840230"/>
                            <a:gd name="connsiteY6" fmla="*/ 1979930 h 2105660"/>
                            <a:gd name="connisteX7" fmla="*/ 370840 w 1840230"/>
                            <a:gd name="connsiteY7" fmla="*/ 1924685 h 2105660"/>
                            <a:gd name="connisteX8" fmla="*/ 461645 w 1840230"/>
                            <a:gd name="connsiteY8" fmla="*/ 1849755 h 2105660"/>
                            <a:gd name="connisteX9" fmla="*/ 476250 w 1840230"/>
                            <a:gd name="connsiteY9" fmla="*/ 1779270 h 2105660"/>
                            <a:gd name="connisteX10" fmla="*/ 641985 w 1840230"/>
                            <a:gd name="connsiteY10" fmla="*/ 1513840 h 2105660"/>
                            <a:gd name="connisteX11" fmla="*/ 751840 w 1840230"/>
                            <a:gd name="connsiteY11" fmla="*/ 1383665 h 2105660"/>
                            <a:gd name="connisteX12" fmla="*/ 606425 w 1840230"/>
                            <a:gd name="connsiteY12" fmla="*/ 1217930 h 2105660"/>
                            <a:gd name="connisteX13" fmla="*/ 561340 w 1840230"/>
                            <a:gd name="connsiteY13" fmla="*/ 1057910 h 2105660"/>
                            <a:gd name="connisteX14" fmla="*/ 551815 w 1840230"/>
                            <a:gd name="connsiteY14" fmla="*/ 826770 h 2105660"/>
                            <a:gd name="connisteX15" fmla="*/ 697230 w 1840230"/>
                            <a:gd name="connsiteY15" fmla="*/ 826770 h 2105660"/>
                            <a:gd name="connisteX16" fmla="*/ 721995 w 1840230"/>
                            <a:gd name="connsiteY16" fmla="*/ 791845 h 2105660"/>
                            <a:gd name="connisteX17" fmla="*/ 732155 w 1840230"/>
                            <a:gd name="connsiteY17" fmla="*/ 656590 h 2105660"/>
                            <a:gd name="connisteX18" fmla="*/ 656590 w 1840230"/>
                            <a:gd name="connsiteY18" fmla="*/ 531495 h 2105660"/>
                            <a:gd name="connisteX19" fmla="*/ 626745 w 1840230"/>
                            <a:gd name="connsiteY19" fmla="*/ 421005 h 2105660"/>
                            <a:gd name="connisteX20" fmla="*/ 676910 w 1840230"/>
                            <a:gd name="connsiteY20" fmla="*/ 285750 h 2105660"/>
                            <a:gd name="connisteX21" fmla="*/ 706755 w 1840230"/>
                            <a:gd name="connsiteY21" fmla="*/ 210185 h 2105660"/>
                            <a:gd name="connisteX22" fmla="*/ 802005 w 1840230"/>
                            <a:gd name="connsiteY22" fmla="*/ 165100 h 2105660"/>
                            <a:gd name="connisteX23" fmla="*/ 867410 w 1840230"/>
                            <a:gd name="connsiteY23" fmla="*/ 190500 h 2105660"/>
                            <a:gd name="connisteX24" fmla="*/ 932815 w 1840230"/>
                            <a:gd name="connsiteY24" fmla="*/ 145415 h 2105660"/>
                            <a:gd name="connisteX25" fmla="*/ 1037590 w 1840230"/>
                            <a:gd name="connsiteY25" fmla="*/ 114935 h 2105660"/>
                            <a:gd name="connisteX26" fmla="*/ 1183005 w 1840230"/>
                            <a:gd name="connsiteY26" fmla="*/ 109855 h 2105660"/>
                            <a:gd name="connisteX27" fmla="*/ 1323340 w 1840230"/>
                            <a:gd name="connsiteY27" fmla="*/ 125095 h 2105660"/>
                            <a:gd name="connisteX28" fmla="*/ 1494155 w 1840230"/>
                            <a:gd name="connsiteY28" fmla="*/ 114935 h 2105660"/>
                            <a:gd name="connisteX29" fmla="*/ 1554480 w 1840230"/>
                            <a:gd name="connsiteY29" fmla="*/ 59690 h 2105660"/>
                            <a:gd name="connisteX30" fmla="*/ 1629410 w 1840230"/>
                            <a:gd name="connsiteY30" fmla="*/ 59690 h 2105660"/>
                            <a:gd name="connisteX31" fmla="*/ 1769745 w 1840230"/>
                            <a:gd name="connsiteY31" fmla="*/ 69850 h 2105660"/>
                            <a:gd name="connisteX32" fmla="*/ 1840230 w 1840230"/>
                            <a:gd name="connsiteY32" fmla="*/ 0 h 21056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Lst>
                          <a:rect l="l" t="t" r="r" b="b"/>
                          <a:pathLst>
                            <a:path w="1840230" h="2105660">
                              <a:moveTo>
                                <a:pt x="0" y="2070100"/>
                              </a:moveTo>
                              <a:lnTo>
                                <a:pt x="70485" y="2055495"/>
                              </a:lnTo>
                              <a:lnTo>
                                <a:pt x="130175" y="2075180"/>
                              </a:lnTo>
                              <a:lnTo>
                                <a:pt x="180340" y="2105660"/>
                              </a:lnTo>
                              <a:lnTo>
                                <a:pt x="250825" y="2100580"/>
                              </a:lnTo>
                              <a:lnTo>
                                <a:pt x="260985" y="2014855"/>
                              </a:lnTo>
                              <a:lnTo>
                                <a:pt x="356235" y="1979930"/>
                              </a:lnTo>
                              <a:lnTo>
                                <a:pt x="370840" y="1924685"/>
                              </a:lnTo>
                              <a:lnTo>
                                <a:pt x="461645" y="1849755"/>
                              </a:lnTo>
                              <a:lnTo>
                                <a:pt x="476250" y="1779270"/>
                              </a:lnTo>
                              <a:lnTo>
                                <a:pt x="641985" y="1513840"/>
                              </a:lnTo>
                              <a:lnTo>
                                <a:pt x="751840" y="1383665"/>
                              </a:lnTo>
                              <a:lnTo>
                                <a:pt x="606425" y="1217930"/>
                              </a:lnTo>
                              <a:lnTo>
                                <a:pt x="561340" y="1057910"/>
                              </a:lnTo>
                              <a:lnTo>
                                <a:pt x="551815" y="826770"/>
                              </a:lnTo>
                              <a:lnTo>
                                <a:pt x="697230" y="826770"/>
                              </a:lnTo>
                              <a:lnTo>
                                <a:pt x="721995" y="791845"/>
                              </a:lnTo>
                              <a:lnTo>
                                <a:pt x="732155" y="656590"/>
                              </a:lnTo>
                              <a:lnTo>
                                <a:pt x="656590" y="531495"/>
                              </a:lnTo>
                              <a:lnTo>
                                <a:pt x="626745" y="421005"/>
                              </a:lnTo>
                              <a:lnTo>
                                <a:pt x="676910" y="285750"/>
                              </a:lnTo>
                              <a:lnTo>
                                <a:pt x="706755" y="210185"/>
                              </a:lnTo>
                              <a:lnTo>
                                <a:pt x="802005" y="165100"/>
                              </a:lnTo>
                              <a:lnTo>
                                <a:pt x="867410" y="190500"/>
                              </a:lnTo>
                              <a:lnTo>
                                <a:pt x="932815" y="145415"/>
                              </a:lnTo>
                              <a:lnTo>
                                <a:pt x="1037590" y="114935"/>
                              </a:lnTo>
                              <a:lnTo>
                                <a:pt x="1183005" y="109855"/>
                              </a:lnTo>
                              <a:lnTo>
                                <a:pt x="1323340" y="125095"/>
                              </a:lnTo>
                              <a:lnTo>
                                <a:pt x="1494155" y="114935"/>
                              </a:lnTo>
                              <a:lnTo>
                                <a:pt x="1554480" y="59690"/>
                              </a:lnTo>
                              <a:lnTo>
                                <a:pt x="1629410" y="59690"/>
                              </a:lnTo>
                              <a:lnTo>
                                <a:pt x="1769745" y="69850"/>
                              </a:lnTo>
                              <a:lnTo>
                                <a:pt x="1840230" y="0"/>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0.45pt;margin-top:120.5pt;height:6.4pt;width:7.8pt;z-index:251703296;mso-width-relative:page;mso-height-relative:page;" filled="f" stroked="t" coordsize="1840230,2105660" o:gfxdata="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" path="m0,2070100l70485,2055495,130175,2075180,180340,2105660,250825,2100580,260985,2014855,356235,1979930,370840,1924685,461645,1849755,476250,1779270,641985,1513840,751840,1383665,606425,1217930,561340,1057910,551815,826770,697230,826770,721995,791845,732155,656590,656590,531495,626745,421005,676910,285750,706755,210185,802005,165100,867410,190500,932815,145415,1037590,114935,1183005,109855,1323340,125095,1494155,114935,1554480,59690,1629410,59690,1769745,69850,1840230,0e">
                <v:path o:connectlocs="0,79907;3794,79343;7007,80103;9707,81280;13501,81083;14048,77774;19176,76426;19962,74294;24850,71401;25636,68681;34558,58435;40471,53410;32643,47012;30217,40836;29704,31913;37532,31913;38865,30565;39412,25344;35344,20516;33737,16251;36438,11030;38044,8113;43172,6372;46692,7353;50213,5613;55853,4436;63681,4240;71235,4828;80430,4436;83678,2304;87711,2304;95265,2696;99060,0" o:connectangles="0,0,0,0,0,0,0,0,0,0,0,0,0,0,0,0,0,0,0,0,0,0,0,0,0,0,0,0,0,0,0,0,0"/>
                <v:fill on="f" focussize="0,0"/>
                <v:stroke weight="1pt" color="#FF0000 [2404]" miterlimit="8" joinstyle="miter"/>
                <v:imagedata o:title=""/>
                <o:lock v:ext="edit" aspectratio="f"/>
              </v:shape>
            </w:pict>
          </mc:Fallback>
        </mc:AlternateContent>
      </w:r>
      <w:r>
        <w:rPr>
          <w:rFonts w:ascii="Helvetica" w:hAnsi="Helvetica" w:eastAsia="Helvetica"/>
          <w:color w:val="000000" w:themeColor="text1"/>
          <w:sz w:val="28"/>
          <w:szCs w:val="24"/>
          <w14:textFill>
            <w14:solidFill>
              <w14:schemeClr w14:val="tx1"/>
            </w14:solidFill>
          </w14:textFill>
        </w:rPr>
        <w:drawing>
          <wp:inline distT="0" distB="0" distL="114300" distR="114300">
            <wp:extent cx="5276215" cy="3166110"/>
            <wp:effectExtent l="0" t="0" r="635" b="15240"/>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28"/>
                    <a:stretch>
                      <a:fillRect/>
                    </a:stretch>
                  </pic:blipFill>
                  <pic:spPr>
                    <a:xfrm>
                      <a:off x="0" y="0"/>
                      <a:ext cx="5276215" cy="3166110"/>
                    </a:xfrm>
                    <a:prstGeom prst="rect">
                      <a:avLst/>
                    </a:prstGeom>
                    <a:noFill/>
                    <a:ln>
                      <a:noFill/>
                    </a:ln>
                  </pic:spPr>
                </pic:pic>
              </a:graphicData>
            </a:graphic>
          </wp:inline>
        </w:drawing>
      </w:r>
    </w:p>
    <w:p>
      <w:pPr>
        <w:adjustRightInd w:val="0"/>
        <w:snapToGrid w:val="0"/>
        <w:spacing w:line="360" w:lineRule="auto"/>
        <w:jc w:val="center"/>
        <w:rPr>
          <w:rFonts w:eastAsia="黑体"/>
          <w:color w:val="000000" w:themeColor="text1"/>
          <w:sz w:val="24"/>
          <w:szCs w:val="24"/>
          <w14:textFill>
            <w14:solidFill>
              <w14:schemeClr w14:val="tx1"/>
            </w14:solidFill>
          </w14:textFill>
        </w:rPr>
      </w:pPr>
      <w:r>
        <w:rPr>
          <w:rFonts w:hint="eastAsia" w:eastAsia="黑体"/>
          <w:color w:val="000000" w:themeColor="text1"/>
          <w:sz w:val="24"/>
          <w:szCs w:val="24"/>
          <w14:textFill>
            <w14:solidFill>
              <w14:schemeClr w14:val="tx1"/>
            </w14:solidFill>
          </w14:textFill>
        </w:rPr>
        <w:t>图1.9-1南五、南六支渠与成都市管控单元位置关系图</w:t>
      </w:r>
    </w:p>
    <w:p>
      <w:pPr>
        <w:widowControl/>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sz w:val="24"/>
          <w:szCs w:val="24"/>
          <w14:textFill>
            <w14:solidFill>
              <w14:schemeClr w14:val="tx1"/>
            </w14:solidFill>
          </w14:textFill>
        </w:rPr>
        <w:t>②</w:t>
      </w:r>
      <w:r>
        <w:rPr>
          <w:rFonts w:hint="eastAsia"/>
          <w:color w:val="000000" w:themeColor="text1"/>
          <w:sz w:val="24"/>
          <w:szCs w:val="24"/>
          <w14:textFill>
            <w14:solidFill>
              <w14:schemeClr w14:val="tx1"/>
            </w14:solidFill>
          </w14:textFill>
        </w:rPr>
        <w:t>北支一渠（上）、董家堰补</w:t>
      </w:r>
      <w:r>
        <w:rPr>
          <w:rFonts w:hint="eastAsia"/>
          <w:color w:val="000000" w:themeColor="text1"/>
          <w:kern w:val="0"/>
          <w:sz w:val="24"/>
          <w:szCs w:val="20"/>
          <w14:textFill>
            <w14:solidFill>
              <w14:schemeClr w14:val="tx1"/>
            </w14:solidFill>
          </w14:textFill>
        </w:rPr>
        <w:t>水渠（上）、董家堰补水渠（下）</w:t>
      </w:r>
    </w:p>
    <w:p>
      <w:pPr>
        <w:widowControl/>
        <w:ind w:firstLine="480" w:firstLineChars="200"/>
        <w:jc w:val="center"/>
        <w:rPr>
          <w:color w:val="000000" w:themeColor="text1"/>
          <w:sz w:val="24"/>
          <w:szCs w:val="24"/>
          <w14:textFill>
            <w14:solidFill>
              <w14:schemeClr w14:val="tx1"/>
            </w14:solidFill>
          </w14:textFill>
        </w:rPr>
      </w:pPr>
      <w:r>
        <w:rPr>
          <w:rFonts w:hint="eastAsia" w:eastAsia="黑体"/>
          <w:color w:val="000000" w:themeColor="text1"/>
          <w:sz w:val="24"/>
          <w:szCs w:val="24"/>
          <w14:textFill>
            <w14:solidFill>
              <w14:schemeClr w14:val="tx1"/>
            </w14:solidFill>
          </w14:textFill>
        </w:rPr>
        <w:t>表1.9-2</w:t>
      </w:r>
      <w:r>
        <w:rPr>
          <w:rFonts w:hint="eastAsia" w:eastAsia="黑体"/>
          <w:color w:val="000000" w:themeColor="text1"/>
          <w:sz w:val="24"/>
          <w:szCs w:val="24"/>
          <w:lang w:val="en-US" w:eastAsia="zh-CN"/>
          <w14:textFill>
            <w14:solidFill>
              <w14:schemeClr w14:val="tx1"/>
            </w14:solidFill>
          </w14:textFill>
        </w:rPr>
        <w:t xml:space="preserve"> </w:t>
      </w:r>
      <w:r>
        <w:rPr>
          <w:rFonts w:hint="eastAsia" w:eastAsia="黑体"/>
          <w:color w:val="000000" w:themeColor="text1"/>
          <w:sz w:val="24"/>
          <w:szCs w:val="24"/>
          <w14:textFill>
            <w14:solidFill>
              <w14:schemeClr w14:val="tx1"/>
            </w14:solidFill>
          </w14:textFill>
        </w:rPr>
        <w:t>北支一渠（上）、董家堰补水渠（上、下）涉及管控单元及管控类别</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2"/>
        <w:gridCol w:w="1821"/>
        <w:gridCol w:w="826"/>
        <w:gridCol w:w="1045"/>
        <w:gridCol w:w="1137"/>
        <w:gridCol w:w="18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680"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环境管控单元编码</w:t>
            </w:r>
          </w:p>
        </w:tc>
        <w:tc>
          <w:tcPr>
            <w:tcW w:w="1149"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环境管控单元名称</w:t>
            </w:r>
          </w:p>
        </w:tc>
        <w:tc>
          <w:tcPr>
            <w:tcW w:w="565"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所属市</w:t>
            </w:r>
          </w:p>
        </w:tc>
        <w:tc>
          <w:tcPr>
            <w:tcW w:w="693"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所属区县</w:t>
            </w:r>
          </w:p>
        </w:tc>
        <w:tc>
          <w:tcPr>
            <w:tcW w:w="747"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准入清单类型</w:t>
            </w:r>
          </w:p>
        </w:tc>
        <w:tc>
          <w:tcPr>
            <w:tcW w:w="1163" w:type="pct"/>
            <w:vAlign w:val="center"/>
          </w:tcPr>
          <w:p>
            <w:pPr>
              <w:keepNext w:val="0"/>
              <w:keepLines w:val="0"/>
              <w:widowControl/>
              <w:suppressLineNumbers w:val="0"/>
              <w:wordWrap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8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YS5101141130019</w:t>
            </w:r>
          </w:p>
        </w:tc>
        <w:tc>
          <w:tcPr>
            <w:tcW w:w="1149"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生态优先保护区（一般生态空间）19</w:t>
            </w:r>
          </w:p>
        </w:tc>
        <w:tc>
          <w:tcPr>
            <w:tcW w:w="565"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成都市</w:t>
            </w:r>
          </w:p>
        </w:tc>
        <w:tc>
          <w:tcPr>
            <w:tcW w:w="69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w:t>
            </w:r>
          </w:p>
        </w:tc>
        <w:tc>
          <w:tcPr>
            <w:tcW w:w="747"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生态空间分区</w:t>
            </w:r>
          </w:p>
        </w:tc>
        <w:tc>
          <w:tcPr>
            <w:tcW w:w="116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生态空间分区一般生态空间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8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YS5101142220002</w:t>
            </w:r>
          </w:p>
        </w:tc>
        <w:tc>
          <w:tcPr>
            <w:tcW w:w="1149"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毗河-新都区-毗河二桥-控制单元</w:t>
            </w:r>
          </w:p>
        </w:tc>
        <w:tc>
          <w:tcPr>
            <w:tcW w:w="565"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成都市</w:t>
            </w:r>
          </w:p>
        </w:tc>
        <w:tc>
          <w:tcPr>
            <w:tcW w:w="69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w:t>
            </w:r>
          </w:p>
        </w:tc>
        <w:tc>
          <w:tcPr>
            <w:tcW w:w="747"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水环境管控分区</w:t>
            </w:r>
          </w:p>
        </w:tc>
        <w:tc>
          <w:tcPr>
            <w:tcW w:w="116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水环境城镇生活污染重点管控区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8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YS5101142320001</w:t>
            </w:r>
          </w:p>
        </w:tc>
        <w:tc>
          <w:tcPr>
            <w:tcW w:w="1149"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新都区大气环境布局敏感重点管控区</w:t>
            </w:r>
          </w:p>
        </w:tc>
        <w:tc>
          <w:tcPr>
            <w:tcW w:w="565"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成都市</w:t>
            </w:r>
          </w:p>
        </w:tc>
        <w:tc>
          <w:tcPr>
            <w:tcW w:w="69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w:t>
            </w:r>
          </w:p>
        </w:tc>
        <w:tc>
          <w:tcPr>
            <w:tcW w:w="747"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大气环境管控分区</w:t>
            </w:r>
          </w:p>
        </w:tc>
        <w:tc>
          <w:tcPr>
            <w:tcW w:w="116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大气环境布局敏感重点管控区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8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YS5101142540001</w:t>
            </w:r>
          </w:p>
        </w:tc>
        <w:tc>
          <w:tcPr>
            <w:tcW w:w="1149"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新都区高污染燃料禁燃区</w:t>
            </w:r>
          </w:p>
        </w:tc>
        <w:tc>
          <w:tcPr>
            <w:tcW w:w="565"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成都市</w:t>
            </w:r>
          </w:p>
        </w:tc>
        <w:tc>
          <w:tcPr>
            <w:tcW w:w="69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w:t>
            </w:r>
          </w:p>
        </w:tc>
        <w:tc>
          <w:tcPr>
            <w:tcW w:w="747"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自然资源管控分区</w:t>
            </w:r>
          </w:p>
        </w:tc>
        <w:tc>
          <w:tcPr>
            <w:tcW w:w="116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高污染燃料禁燃区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68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YS5101142550001</w:t>
            </w:r>
          </w:p>
        </w:tc>
        <w:tc>
          <w:tcPr>
            <w:tcW w:w="1149"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新都区自然资源重点管控区</w:t>
            </w:r>
          </w:p>
        </w:tc>
        <w:tc>
          <w:tcPr>
            <w:tcW w:w="565"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成都市</w:t>
            </w:r>
          </w:p>
        </w:tc>
        <w:tc>
          <w:tcPr>
            <w:tcW w:w="69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w:t>
            </w:r>
          </w:p>
        </w:tc>
        <w:tc>
          <w:tcPr>
            <w:tcW w:w="747"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自然资源管控分区</w:t>
            </w:r>
          </w:p>
        </w:tc>
        <w:tc>
          <w:tcPr>
            <w:tcW w:w="116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自然资源重点管控区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680"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ZH51011410002</w:t>
            </w:r>
          </w:p>
        </w:tc>
        <w:tc>
          <w:tcPr>
            <w:tcW w:w="1149"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环城生态区</w:t>
            </w:r>
          </w:p>
        </w:tc>
        <w:tc>
          <w:tcPr>
            <w:tcW w:w="565"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成都市</w:t>
            </w:r>
          </w:p>
        </w:tc>
        <w:tc>
          <w:tcPr>
            <w:tcW w:w="69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新都区</w:t>
            </w:r>
          </w:p>
        </w:tc>
        <w:tc>
          <w:tcPr>
            <w:tcW w:w="747"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环境管控单元</w:t>
            </w:r>
          </w:p>
        </w:tc>
        <w:tc>
          <w:tcPr>
            <w:tcW w:w="1163" w:type="pct"/>
            <w:vAlign w:val="center"/>
          </w:tcPr>
          <w:p>
            <w:pPr>
              <w:pStyle w:val="13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环境综合管控单元优先保护单元</w:t>
            </w:r>
          </w:p>
        </w:tc>
      </w:tr>
    </w:tbl>
    <w:p>
      <w:pPr>
        <w:widowControl/>
        <w:spacing w:line="360" w:lineRule="auto"/>
        <w:jc w:val="center"/>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drawing>
          <wp:inline distT="0" distB="0" distL="114300" distR="114300">
            <wp:extent cx="5263515" cy="3829050"/>
            <wp:effectExtent l="0" t="0" r="13335" b="0"/>
            <wp:docPr id="124" name="图片 2" descr="北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北一"/>
                    <pic:cNvPicPr>
                      <a:picLocks noChangeAspect="1"/>
                    </pic:cNvPicPr>
                  </pic:nvPicPr>
                  <pic:blipFill>
                    <a:blip r:embed="rId29"/>
                    <a:srcRect l="311" t="3030" r="299" b="2292"/>
                    <a:stretch>
                      <a:fillRect/>
                    </a:stretch>
                  </pic:blipFill>
                  <pic:spPr>
                    <a:xfrm>
                      <a:off x="0" y="0"/>
                      <a:ext cx="5263515" cy="3829050"/>
                    </a:xfrm>
                    <a:prstGeom prst="rect">
                      <a:avLst/>
                    </a:prstGeom>
                    <a:noFill/>
                    <a:ln>
                      <a:noFill/>
                    </a:ln>
                  </pic:spPr>
                </pic:pic>
              </a:graphicData>
            </a:graphic>
          </wp:inline>
        </w:drawing>
      </w:r>
    </w:p>
    <w:p>
      <w:pPr>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涉及管控单元图如下</w:t>
      </w:r>
      <w:r>
        <w:rPr>
          <w:rFonts w:ascii="Helvetica" w:hAnsi="Helvetica" w:eastAsia="Helvetica"/>
          <w:color w:val="000000" w:themeColor="text1"/>
          <w:sz w:val="24"/>
          <w:szCs w:val="24"/>
          <w14:textFill>
            <w14:solidFill>
              <w14:schemeClr w14:val="tx1"/>
            </w14:solidFill>
          </w14:textFill>
        </w:rPr>
        <w:t>（图中▼表示项目位置）</w:t>
      </w:r>
      <w:r>
        <w:rPr>
          <w:rFonts w:hint="eastAsia"/>
          <w:color w:val="000000" w:themeColor="text1"/>
          <w:sz w:val="24"/>
          <w:szCs w:val="24"/>
          <w14:textFill>
            <w14:solidFill>
              <w14:schemeClr w14:val="tx1"/>
            </w14:solidFill>
          </w14:textFill>
        </w:rPr>
        <w:t>：</w:t>
      </w:r>
    </w:p>
    <w:p>
      <w:pPr>
        <w:widowControl/>
        <w:adjustRightInd w:val="0"/>
        <w:snapToGrid w:val="0"/>
        <w:spacing w:line="360" w:lineRule="auto"/>
        <w:jc w:val="both"/>
        <w:rPr>
          <w:color w:val="000000" w:themeColor="text1"/>
          <w:sz w:val="24"/>
          <w:szCs w:val="24"/>
          <w14:textFill>
            <w14:solidFill>
              <w14:schemeClr w14:val="tx1"/>
            </w14:solidFill>
          </w14:textFill>
        </w:rPr>
      </w:pPr>
      <w:r>
        <w:rPr>
          <w:rFonts w:ascii="Helvetica" w:hAnsi="Helvetica" w:eastAsia="Helvetica"/>
          <w:color w:val="000000" w:themeColor="text1"/>
          <w:sz w:val="28"/>
          <w:szCs w:val="24"/>
          <w14:textFill>
            <w14:solidFill>
              <w14:schemeClr w14:val="tx1"/>
            </w14:solidFill>
          </w14:textFill>
        </w:rPr>
        <w:drawing>
          <wp:inline distT="0" distB="0" distL="114300" distR="114300">
            <wp:extent cx="5251450" cy="3151505"/>
            <wp:effectExtent l="0" t="0" r="6350" b="10795"/>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30"/>
                    <a:stretch>
                      <a:fillRect/>
                    </a:stretch>
                  </pic:blipFill>
                  <pic:spPr>
                    <a:xfrm>
                      <a:off x="0" y="0"/>
                      <a:ext cx="5251450" cy="3151505"/>
                    </a:xfrm>
                    <a:prstGeom prst="rect">
                      <a:avLst/>
                    </a:prstGeom>
                    <a:noFill/>
                    <a:ln>
                      <a:noFill/>
                    </a:ln>
                  </pic:spPr>
                </pic:pic>
              </a:graphicData>
            </a:graphic>
          </wp:inline>
        </w:drawing>
      </w:r>
    </w:p>
    <w:p>
      <w:pPr>
        <w:adjustRightInd w:val="0"/>
        <w:snapToGrid w:val="0"/>
        <w:spacing w:line="360" w:lineRule="auto"/>
        <w:jc w:val="center"/>
        <w:rPr>
          <w:color w:val="000000" w:themeColor="text1"/>
          <w:sz w:val="24"/>
          <w:szCs w:val="24"/>
          <w14:textFill>
            <w14:solidFill>
              <w14:schemeClr w14:val="tx1"/>
            </w14:solidFill>
          </w14:textFill>
        </w:rPr>
      </w:pPr>
      <w:r>
        <w:rPr>
          <w:rFonts w:hint="eastAsia" w:eastAsia="黑体"/>
          <w:color w:val="000000" w:themeColor="text1"/>
          <w:sz w:val="24"/>
          <w:szCs w:val="24"/>
          <w14:textFill>
            <w14:solidFill>
              <w14:schemeClr w14:val="tx1"/>
            </w14:solidFill>
          </w14:textFill>
        </w:rPr>
        <w:t>图1.9-2北支一渠（上）、董家堰补水渠（上、下）与成都市管控单元位置关系图</w:t>
      </w:r>
    </w:p>
    <w:p>
      <w:pPr>
        <w:pStyle w:val="14"/>
        <w:spacing w:before="120" w:beforeLines="50" w:line="360" w:lineRule="auto"/>
        <w:ind w:firstLine="482" w:firstLineChars="200"/>
        <w:rPr>
          <w:b/>
          <w:bCs/>
          <w:color w:val="000000" w:themeColor="text1"/>
          <w14:textFill>
            <w14:solidFill>
              <w14:schemeClr w14:val="tx1"/>
            </w14:solidFill>
          </w14:textFill>
        </w:rPr>
      </w:pPr>
    </w:p>
    <w:p>
      <w:pPr>
        <w:rPr>
          <w:color w:val="000000" w:themeColor="text1"/>
          <w14:textFill>
            <w14:solidFill>
              <w14:schemeClr w14:val="tx1"/>
            </w14:solidFill>
          </w14:textFill>
        </w:rPr>
        <w:sectPr>
          <w:headerReference r:id="rId6" w:type="default"/>
          <w:footerReference r:id="rId7" w:type="default"/>
          <w:pgSz w:w="11910" w:h="16840"/>
          <w:pgMar w:top="1440" w:right="1803" w:bottom="1440" w:left="1803" w:header="882" w:footer="1097" w:gutter="0"/>
          <w:pgBorders>
            <w:top w:val="none" w:sz="0" w:space="0"/>
            <w:left w:val="none" w:sz="0" w:space="0"/>
            <w:bottom w:val="none" w:sz="0" w:space="0"/>
            <w:right w:val="none" w:sz="0" w:space="0"/>
          </w:pgBorders>
          <w:cols w:space="720" w:num="1"/>
        </w:sectPr>
      </w:pPr>
    </w:p>
    <w:p>
      <w:pPr>
        <w:pStyle w:val="14"/>
        <w:spacing w:line="360" w:lineRule="auto"/>
        <w:ind w:firstLine="482" w:firstLineChars="200"/>
        <w:jc w:val="both"/>
        <w:rPr>
          <w:color w:val="000000" w:themeColor="text1"/>
          <w14:textFill>
            <w14:solidFill>
              <w14:schemeClr w14:val="tx1"/>
            </w14:solidFill>
          </w14:textFill>
        </w:rPr>
      </w:pPr>
      <w:r>
        <w:rPr>
          <w:rFonts w:hint="eastAsia"/>
          <w:b/>
          <w:bCs/>
          <w:color w:val="000000" w:themeColor="text1"/>
          <w14:textFill>
            <w14:solidFill>
              <w14:schemeClr w14:val="tx1"/>
            </w14:solidFill>
          </w14:textFill>
        </w:rPr>
        <w:t>2、生态环境准入清单符合性分析</w:t>
      </w:r>
    </w:p>
    <w:p>
      <w:pPr>
        <w:adjustRightInd w:val="0"/>
        <w:snapToGrid w:val="0"/>
        <w:spacing w:line="360" w:lineRule="auto"/>
        <w:ind w:firstLine="482" w:firstLineChars="200"/>
        <w:rPr>
          <w:b/>
          <w:color w:val="000000" w:themeColor="text1"/>
          <w:kern w:val="0"/>
          <w:sz w:val="24"/>
          <w:szCs w:val="20"/>
          <w:lang w:val="zh-CN"/>
          <w14:textFill>
            <w14:solidFill>
              <w14:schemeClr w14:val="tx1"/>
            </w14:solidFill>
          </w14:textFill>
        </w:rPr>
      </w:pPr>
      <w:r>
        <w:rPr>
          <w:rFonts w:hint="eastAsia" w:ascii="宋体" w:hAnsi="宋体" w:cs="宋体"/>
          <w:b/>
          <w:color w:val="000000" w:themeColor="text1"/>
          <w:kern w:val="0"/>
          <w:sz w:val="24"/>
          <w:szCs w:val="20"/>
          <w:lang w:val="zh-CN"/>
          <w14:textFill>
            <w14:solidFill>
              <w14:schemeClr w14:val="tx1"/>
            </w14:solidFill>
          </w14:textFill>
        </w:rPr>
        <w:t>（</w:t>
      </w:r>
      <w:r>
        <w:rPr>
          <w:rFonts w:hint="eastAsia" w:ascii="宋体" w:hAnsi="宋体" w:cs="宋体"/>
          <w:b/>
          <w:color w:val="000000" w:themeColor="text1"/>
          <w:kern w:val="0"/>
          <w:sz w:val="24"/>
          <w:szCs w:val="20"/>
          <w14:textFill>
            <w14:solidFill>
              <w14:schemeClr w14:val="tx1"/>
            </w14:solidFill>
          </w14:textFill>
        </w:rPr>
        <w:t>1</w:t>
      </w:r>
      <w:r>
        <w:rPr>
          <w:rFonts w:hint="eastAsia" w:ascii="宋体" w:hAnsi="宋体" w:cs="宋体"/>
          <w:b/>
          <w:color w:val="000000" w:themeColor="text1"/>
          <w:kern w:val="0"/>
          <w:sz w:val="24"/>
          <w:szCs w:val="20"/>
          <w:lang w:val="zh-CN"/>
          <w14:textFill>
            <w14:solidFill>
              <w14:schemeClr w14:val="tx1"/>
            </w14:solidFill>
          </w14:textFill>
        </w:rPr>
        <w:t>）</w:t>
      </w:r>
      <w:r>
        <w:rPr>
          <w:b/>
          <w:color w:val="000000" w:themeColor="text1"/>
          <w:kern w:val="0"/>
          <w:sz w:val="24"/>
          <w:szCs w:val="20"/>
          <w:lang w:val="zh-CN"/>
          <w14:textFill>
            <w14:solidFill>
              <w14:schemeClr w14:val="tx1"/>
            </w14:solidFill>
          </w14:textFill>
        </w:rPr>
        <w:t>总体管控要求符合性</w:t>
      </w:r>
    </w:p>
    <w:p>
      <w:pPr>
        <w:adjustRightInd w:val="0"/>
        <w:snapToGrid w:val="0"/>
        <w:spacing w:line="360" w:lineRule="auto"/>
        <w:ind w:firstLine="480" w:firstLineChars="200"/>
        <w:rPr>
          <w:color w:val="000000" w:themeColor="text1"/>
          <w:kern w:val="0"/>
          <w:sz w:val="24"/>
          <w:szCs w:val="20"/>
          <w:lang w:val="zh-CN"/>
          <w14:textFill>
            <w14:solidFill>
              <w14:schemeClr w14:val="tx1"/>
            </w14:solidFill>
          </w14:textFill>
        </w:rPr>
      </w:pPr>
      <w:r>
        <w:rPr>
          <w:color w:val="000000" w:themeColor="text1"/>
          <w:kern w:val="0"/>
          <w:sz w:val="24"/>
          <w:szCs w:val="20"/>
          <w:lang w:val="zh-CN"/>
          <w14:textFill>
            <w14:solidFill>
              <w14:schemeClr w14:val="tx1"/>
            </w14:solidFill>
          </w14:textFill>
        </w:rPr>
        <w:t>本项目生态环境准入清单符合性分析见下表：</w:t>
      </w:r>
    </w:p>
    <w:p>
      <w:pPr>
        <w:adjustRightInd w:val="0"/>
        <w:snapToGrid w:val="0"/>
        <w:jc w:val="center"/>
        <w:rPr>
          <w:rFonts w:eastAsia="黑体"/>
          <w:color w:val="000000" w:themeColor="text1"/>
          <w:sz w:val="24"/>
          <w:szCs w:val="24"/>
          <w:lang w:val="zh-CN"/>
          <w14:textFill>
            <w14:solidFill>
              <w14:schemeClr w14:val="tx1"/>
            </w14:solidFill>
          </w14:textFill>
        </w:rPr>
      </w:pPr>
      <w:r>
        <w:rPr>
          <w:rFonts w:hint="eastAsia" w:eastAsia="黑体"/>
          <w:color w:val="000000" w:themeColor="text1"/>
          <w:sz w:val="24"/>
          <w:szCs w:val="24"/>
          <w14:textFill>
            <w14:solidFill>
              <w14:schemeClr w14:val="tx1"/>
            </w14:solidFill>
          </w14:textFill>
        </w:rPr>
        <w:t>表1.9-3成都市生态环境准入总体要求</w:t>
      </w:r>
    </w:p>
    <w:tbl>
      <w:tblPr>
        <w:tblStyle w:val="38"/>
        <w:tblW w:w="495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8"/>
        <w:gridCol w:w="8515"/>
        <w:gridCol w:w="2974"/>
        <w:gridCol w:w="14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424" w:type="pct"/>
            <w:tcMar>
              <w:left w:w="28" w:type="dxa"/>
              <w:right w:w="28" w:type="dxa"/>
            </w:tcMar>
            <w:vAlign w:val="center"/>
          </w:tcPr>
          <w:p>
            <w:pPr>
              <w:pStyle w:val="14"/>
              <w:keepNext w:val="0"/>
              <w:keepLines w:val="0"/>
              <w:suppressLineNumbers w:val="0"/>
              <w:wordWrap w:val="0"/>
              <w:adjustRightIn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区域</w:t>
            </w:r>
          </w:p>
        </w:tc>
        <w:tc>
          <w:tcPr>
            <w:tcW w:w="3014" w:type="pct"/>
            <w:tcMar>
              <w:left w:w="28" w:type="dxa"/>
              <w:right w:w="28" w:type="dxa"/>
            </w:tcMar>
            <w:vAlign w:val="center"/>
          </w:tcPr>
          <w:p>
            <w:pPr>
              <w:pStyle w:val="14"/>
              <w:keepNext w:val="0"/>
              <w:keepLines w:val="0"/>
              <w:suppressLineNumbers w:val="0"/>
              <w:wordWrap w:val="0"/>
              <w:adjustRightIn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准入要求</w:t>
            </w:r>
          </w:p>
        </w:tc>
        <w:tc>
          <w:tcPr>
            <w:tcW w:w="1053" w:type="pct"/>
            <w:tcMar>
              <w:left w:w="28" w:type="dxa"/>
              <w:right w:w="28" w:type="dxa"/>
            </w:tcMar>
            <w:vAlign w:val="center"/>
          </w:tcPr>
          <w:p>
            <w:pPr>
              <w:pStyle w:val="14"/>
              <w:keepNext w:val="0"/>
              <w:keepLines w:val="0"/>
              <w:suppressLineNumbers w:val="0"/>
              <w:wordWrap w:val="0"/>
              <w:adjustRightIn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本项目情况</w:t>
            </w:r>
          </w:p>
        </w:tc>
        <w:tc>
          <w:tcPr>
            <w:tcW w:w="507" w:type="pct"/>
            <w:tcMar>
              <w:left w:w="28" w:type="dxa"/>
              <w:right w:w="28" w:type="dxa"/>
            </w:tcMar>
            <w:vAlign w:val="center"/>
          </w:tcPr>
          <w:p>
            <w:pPr>
              <w:pStyle w:val="14"/>
              <w:keepNext w:val="0"/>
              <w:keepLines w:val="0"/>
              <w:suppressLineNumbers w:val="0"/>
              <w:wordWrap w:val="0"/>
              <w:adjustRightIn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符合情况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8" w:hRule="atLeast"/>
        </w:trPr>
        <w:tc>
          <w:tcPr>
            <w:tcW w:w="424" w:type="pct"/>
            <w:tcMar>
              <w:left w:w="28" w:type="dxa"/>
              <w:right w:w="28" w:type="dxa"/>
            </w:tcMar>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四川省总体管控要求</w:t>
            </w:r>
          </w:p>
        </w:tc>
        <w:tc>
          <w:tcPr>
            <w:tcW w:w="3014" w:type="pct"/>
            <w:tcMar>
              <w:left w:w="28" w:type="dxa"/>
              <w:right w:w="28" w:type="dxa"/>
            </w:tcMar>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优先保护单元中，生态保护红线原则上按照禁止开发区域的要求进行管理，其中自然保护地核心保护区原则上禁止人为活动，其他区域严格禁止开发性、生产性建设活动，在符合现行法律法规前提下，除国家重大战略项目外，仅允许对生态功能不造成破坏的有限人为活动；—般生态空间按限制开发区域的要求进行管理，原则上不再新建各类开发区和扩大现有工业园区面积，已有的工业开发区要逐步改造成为低能耗、可循环</w:t>
            </w:r>
            <w:r>
              <w:rPr>
                <w:rFonts w:hint="eastAsia" w:ascii="宋体" w:hAnsi="宋体" w:cs="宋体"/>
                <w:b w:val="0"/>
                <w:bCs/>
                <w:color w:val="000000" w:themeColor="text1"/>
                <w14:textFill>
                  <w14:solidFill>
                    <w14:schemeClr w14:val="tx1"/>
                  </w14:solidFill>
                </w14:textFill>
              </w:rPr>
              <w:t>、“零污染”的生态型工业区，鼓励发展“飞地经济”。重点管控单元中，</w:t>
            </w:r>
            <w:r>
              <w:rPr>
                <w:rFonts w:hint="default"/>
                <w:b w:val="0"/>
                <w:bCs/>
                <w:color w:val="000000" w:themeColor="text1"/>
                <w14:textFill>
                  <w14:solidFill>
                    <w14:schemeClr w14:val="tx1"/>
                  </w14:solidFill>
                </w14:textFill>
              </w:rPr>
              <w:t>针对环境质量是否达标以及经济社会发展水平等因素，制定差别化的生态环境准入要求，对环境质量不达标区域，提出污染物削减比例要求，对环境质量达标区域，提出允许排放量建议指标。一般管控单元中，执行区域生态环境保护的基本要求；对其中的永久基本农田实施永久特殊保护，不得擅自占用或者改变用途；对其中要素重点管控区提出水和大气污染重点管控要求。</w:t>
            </w:r>
          </w:p>
        </w:tc>
        <w:tc>
          <w:tcPr>
            <w:tcW w:w="1053" w:type="pct"/>
            <w:tcMar>
              <w:left w:w="28" w:type="dxa"/>
              <w:right w:w="28" w:type="dxa"/>
            </w:tcMar>
            <w:vAlign w:val="center"/>
          </w:tcPr>
          <w:p>
            <w:pPr>
              <w:pStyle w:val="134"/>
              <w:keepNext w:val="0"/>
              <w:keepLines w:val="0"/>
              <w:suppressLineNumbers w:val="0"/>
              <w:spacing w:before="0" w:beforeAutospacing="0" w:after="0" w:afterAutospacing="0"/>
              <w:ind w:left="0" w:right="0"/>
              <w:rPr>
                <w:rFonts w:hint="default" w:eastAsia="宋体"/>
                <w:b w:val="0"/>
                <w:bCs/>
                <w:color w:val="000000" w:themeColor="text1"/>
                <w:lang w:val="en-US" w:eastAsia="zh-CN"/>
                <w14:textFill>
                  <w14:solidFill>
                    <w14:schemeClr w14:val="tx1"/>
                  </w14:solidFill>
                </w14:textFill>
              </w:rPr>
            </w:pPr>
            <w:r>
              <w:rPr>
                <w:rFonts w:hint="default"/>
                <w:b w:val="0"/>
                <w:bCs/>
                <w:color w:val="000000" w:themeColor="text1"/>
                <w14:textFill>
                  <w14:solidFill>
                    <w14:schemeClr w14:val="tx1"/>
                  </w14:solidFill>
                </w14:textFill>
              </w:rPr>
              <w:t>本项目</w:t>
            </w:r>
            <w:r>
              <w:rPr>
                <w:rFonts w:hint="eastAsia"/>
                <w:b w:val="0"/>
                <w:bCs/>
                <w:color w:val="000000" w:themeColor="text1"/>
                <w14:textFill>
                  <w14:solidFill>
                    <w14:schemeClr w14:val="tx1"/>
                  </w14:solidFill>
                </w14:textFill>
              </w:rPr>
              <w:t>为</w:t>
            </w:r>
            <w:r>
              <w:rPr>
                <w:rFonts w:hint="default"/>
                <w:b w:val="0"/>
                <w:bCs/>
                <w:color w:val="000000" w:themeColor="text1"/>
                <w14:textFill>
                  <w14:solidFill>
                    <w14:schemeClr w14:val="tx1"/>
                  </w14:solidFill>
                </w14:textFill>
              </w:rPr>
              <w:t>灌区</w:t>
            </w:r>
            <w:r>
              <w:rPr>
                <w:rFonts w:hint="eastAsia"/>
                <w:b w:val="0"/>
                <w:bCs/>
                <w:color w:val="000000" w:themeColor="text1"/>
                <w14:textFill>
                  <w14:solidFill>
                    <w14:schemeClr w14:val="tx1"/>
                  </w14:solidFill>
                </w14:textFill>
              </w:rPr>
              <w:t>渠道整治</w:t>
            </w:r>
            <w:r>
              <w:rPr>
                <w:rFonts w:hint="default"/>
                <w:b w:val="0"/>
                <w:bCs/>
                <w:color w:val="000000" w:themeColor="text1"/>
                <w14:textFill>
                  <w14:solidFill>
                    <w14:schemeClr w14:val="tx1"/>
                  </w14:solidFill>
                </w14:textFill>
              </w:rPr>
              <w:t>项目，不属于化工园区及化工项目，项目运营期无废水废气</w:t>
            </w:r>
            <w:r>
              <w:rPr>
                <w:rFonts w:hint="eastAsia"/>
                <w:b w:val="0"/>
                <w:bCs/>
                <w:color w:val="000000" w:themeColor="text1"/>
                <w14:textFill>
                  <w14:solidFill>
                    <w14:schemeClr w14:val="tx1"/>
                  </w14:solidFill>
                </w14:textFill>
              </w:rPr>
              <w:t>外排，施工期废水不外排，施工期无有机废气，扬尘处理后对大气环境基本无影响</w:t>
            </w:r>
            <w:r>
              <w:rPr>
                <w:rFonts w:hint="eastAsia"/>
                <w:b w:val="0"/>
                <w:bCs/>
                <w:color w:val="000000" w:themeColor="text1"/>
                <w:lang w:eastAsia="zh-CN"/>
                <w14:textFill>
                  <w14:solidFill>
                    <w14:schemeClr w14:val="tx1"/>
                  </w14:solidFill>
                </w14:textFill>
              </w:rPr>
              <w:t>。</w:t>
            </w:r>
          </w:p>
        </w:tc>
        <w:tc>
          <w:tcPr>
            <w:tcW w:w="507" w:type="pct"/>
            <w:tcMar>
              <w:left w:w="28" w:type="dxa"/>
              <w:right w:w="28" w:type="dxa"/>
            </w:tcMar>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 w:type="pct"/>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成都平原经济区总体管控要求</w:t>
            </w:r>
          </w:p>
        </w:tc>
        <w:tc>
          <w:tcPr>
            <w:tcW w:w="3014" w:type="pct"/>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针对突出生态环境问题，大力优化调整产业结构，实施最严格的环境准入要求。加快GDP贡献小、污染排放强度大的产业如建材、家具等产业替代升级，结构优化。对重点发展的电子信息、装备制造、先进材料、食品饮料、生物医药等产业提出最严格的环境准入门槛。岷沱江流域执行岷沱江污染物排放标准。优化涉危涉化产业布局，严控环境风险，保障人居安全。</w:t>
            </w:r>
          </w:p>
        </w:tc>
        <w:tc>
          <w:tcPr>
            <w:tcW w:w="1053" w:type="pct"/>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本项目</w:t>
            </w:r>
            <w:r>
              <w:rPr>
                <w:rFonts w:hint="eastAsia"/>
                <w:b w:val="0"/>
                <w:bCs/>
                <w:color w:val="000000" w:themeColor="text1"/>
                <w14:textFill>
                  <w14:solidFill>
                    <w14:schemeClr w14:val="tx1"/>
                  </w14:solidFill>
                </w14:textFill>
              </w:rPr>
              <w:t>为</w:t>
            </w:r>
            <w:r>
              <w:rPr>
                <w:rFonts w:hint="default"/>
                <w:b w:val="0"/>
                <w:bCs/>
                <w:color w:val="000000" w:themeColor="text1"/>
                <w14:textFill>
                  <w14:solidFill>
                    <w14:schemeClr w14:val="tx1"/>
                  </w14:solidFill>
                </w14:textFill>
              </w:rPr>
              <w:t>灌区</w:t>
            </w:r>
            <w:r>
              <w:rPr>
                <w:rFonts w:hint="eastAsia"/>
                <w:b w:val="0"/>
                <w:bCs/>
                <w:color w:val="000000" w:themeColor="text1"/>
                <w14:textFill>
                  <w14:solidFill>
                    <w14:schemeClr w14:val="tx1"/>
                  </w14:solidFill>
                </w14:textFill>
              </w:rPr>
              <w:t>渠道整治</w:t>
            </w:r>
            <w:r>
              <w:rPr>
                <w:rFonts w:hint="default"/>
                <w:b w:val="0"/>
                <w:bCs/>
                <w:color w:val="000000" w:themeColor="text1"/>
                <w14:textFill>
                  <w14:solidFill>
                    <w14:schemeClr w14:val="tx1"/>
                  </w14:solidFill>
                </w14:textFill>
              </w:rPr>
              <w:t>项目，项目运营期无废水废气</w:t>
            </w:r>
            <w:r>
              <w:rPr>
                <w:rFonts w:hint="eastAsia"/>
                <w:b w:val="0"/>
                <w:bCs/>
                <w:color w:val="000000" w:themeColor="text1"/>
                <w14:textFill>
                  <w14:solidFill>
                    <w14:schemeClr w14:val="tx1"/>
                  </w14:solidFill>
                </w14:textFill>
              </w:rPr>
              <w:t>外排，施工期废水不外排，施工期扬尘处理后对大气环境基本无影响</w:t>
            </w:r>
          </w:p>
        </w:tc>
        <w:tc>
          <w:tcPr>
            <w:tcW w:w="507" w:type="pct"/>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424"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新都区</w:t>
            </w:r>
          </w:p>
        </w:tc>
        <w:tc>
          <w:tcPr>
            <w:tcW w:w="3014"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（1）位于北改、中优区域，分区执行相应区域总体管控要求。</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（2）优化产业结构，进一步提高木质家具制造、包装印刷等行业低VOCs原辅材料替代率，推广使用低（无）VOCs含量的原辅材料、生产工艺、生产设备；加强家具制造等重点行业VOCs治理。</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（3）以清白江、毗河、西江河为重点，系统推进城镇、工业、农村污染治理和黑臭水体、重点小流域整治，加快实现生活污水全收集，加快实现</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建成区污水管网全覆盖。</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（4）系统推进土壤污染防控。督促全区土壤污染重点行业企业进行土壤和地下水自行监测等；完善建设用地准入管理相关工作，严格疑似污染地块用地程序，完善农用地变性土壤污染调查工作。</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（5）2025年大气污染物允许排放量为：SO2276吨、NOx5912吨、VOCs8757吨、PM2.52082吨。</w:t>
            </w:r>
          </w:p>
        </w:tc>
        <w:tc>
          <w:tcPr>
            <w:tcW w:w="1053"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本项目</w:t>
            </w:r>
            <w:r>
              <w:rPr>
                <w:rFonts w:hint="eastAsia"/>
                <w:b w:val="0"/>
                <w:bCs/>
                <w:color w:val="000000" w:themeColor="text1"/>
                <w14:textFill>
                  <w14:solidFill>
                    <w14:schemeClr w14:val="tx1"/>
                  </w14:solidFill>
                </w14:textFill>
              </w:rPr>
              <w:t>为</w:t>
            </w:r>
            <w:r>
              <w:rPr>
                <w:rFonts w:hint="default"/>
                <w:b w:val="0"/>
                <w:bCs/>
                <w:color w:val="000000" w:themeColor="text1"/>
                <w14:textFill>
                  <w14:solidFill>
                    <w14:schemeClr w14:val="tx1"/>
                  </w14:solidFill>
                </w14:textFill>
              </w:rPr>
              <w:t>灌区</w:t>
            </w:r>
            <w:r>
              <w:rPr>
                <w:rFonts w:hint="eastAsia"/>
                <w:b w:val="0"/>
                <w:bCs/>
                <w:color w:val="000000" w:themeColor="text1"/>
                <w14:textFill>
                  <w14:solidFill>
                    <w14:schemeClr w14:val="tx1"/>
                  </w14:solidFill>
                </w14:textFill>
              </w:rPr>
              <w:t>渠道整治项目</w:t>
            </w:r>
            <w:r>
              <w:rPr>
                <w:rFonts w:hint="default"/>
                <w:b w:val="0"/>
                <w:bCs/>
                <w:color w:val="000000" w:themeColor="text1"/>
                <w14:textFill>
                  <w14:solidFill>
                    <w14:schemeClr w14:val="tx1"/>
                  </w14:solidFill>
                </w14:textFill>
              </w:rPr>
              <w:t>，项目运营期无废水废气</w:t>
            </w:r>
            <w:r>
              <w:rPr>
                <w:rFonts w:hint="eastAsia"/>
                <w:b w:val="0"/>
                <w:bCs/>
                <w:color w:val="000000" w:themeColor="text1"/>
                <w14:textFill>
                  <w14:solidFill>
                    <w14:schemeClr w14:val="tx1"/>
                  </w14:solidFill>
                </w14:textFill>
              </w:rPr>
              <w:t>外排；施工期废气主要为扬尘，经处理后对大气环境基本无影响</w:t>
            </w:r>
          </w:p>
        </w:tc>
        <w:tc>
          <w:tcPr>
            <w:tcW w:w="507"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eastAsia"/>
                <w:b w:val="0"/>
                <w:bCs/>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4"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龙泉驿区</w:t>
            </w:r>
          </w:p>
        </w:tc>
        <w:tc>
          <w:tcPr>
            <w:tcW w:w="3014"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（1）位于东进、南拓、北改、中优区域，分区执行相应区域总体管控要求。</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（2）控车减油，构建绿色交通运输体系。</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（3）汽车行业推广使用低（无）VOCs含量的原辅材料、生产工艺、生产设备；推进汽车及零部件制造等重点行业VOCs的深度治理。新、改、扩</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建汽车制造企业应参考执行成都市汽车制造行业资源环境绩效准入门槛。</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（4）严控环境风险，深化推进地下水、土壤污染防治和固体废物管理。推进固危废处置等重点监管单位的地下水、土壤环境自行监测、监督性和隐患排查，确保危险废物安全处置率达100%。</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（5）涉及龙泉山城市森林公园区域严格按照《成都市龙泉山城市森林公园保护条例》要求进行保护、管理。</w:t>
            </w:r>
          </w:p>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（6）2025年大气污染物允许排放量为：SO2234吨、NOx5115吨、VOCs10355吨、PM2.52792吨。</w:t>
            </w:r>
          </w:p>
        </w:tc>
        <w:tc>
          <w:tcPr>
            <w:tcW w:w="1053"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本项目</w:t>
            </w:r>
            <w:r>
              <w:rPr>
                <w:rFonts w:hint="eastAsia"/>
                <w:b w:val="0"/>
                <w:bCs/>
                <w:color w:val="000000" w:themeColor="text1"/>
                <w14:textFill>
                  <w14:solidFill>
                    <w14:schemeClr w14:val="tx1"/>
                  </w14:solidFill>
                </w14:textFill>
              </w:rPr>
              <w:t>为</w:t>
            </w:r>
            <w:r>
              <w:rPr>
                <w:rFonts w:hint="default"/>
                <w:b w:val="0"/>
                <w:bCs/>
                <w:color w:val="000000" w:themeColor="text1"/>
                <w14:textFill>
                  <w14:solidFill>
                    <w14:schemeClr w14:val="tx1"/>
                  </w14:solidFill>
                </w14:textFill>
              </w:rPr>
              <w:t>灌区</w:t>
            </w:r>
            <w:r>
              <w:rPr>
                <w:rFonts w:hint="eastAsia"/>
                <w:b w:val="0"/>
                <w:bCs/>
                <w:color w:val="000000" w:themeColor="text1"/>
                <w14:textFill>
                  <w14:solidFill>
                    <w14:schemeClr w14:val="tx1"/>
                  </w14:solidFill>
                </w14:textFill>
              </w:rPr>
              <w:t>渠道整治项目</w:t>
            </w:r>
            <w:r>
              <w:rPr>
                <w:rFonts w:hint="default"/>
                <w:b w:val="0"/>
                <w:bCs/>
                <w:color w:val="000000" w:themeColor="text1"/>
                <w14:textFill>
                  <w14:solidFill>
                    <w14:schemeClr w14:val="tx1"/>
                  </w14:solidFill>
                </w14:textFill>
              </w:rPr>
              <w:t>，项目运营期无废水废气</w:t>
            </w:r>
            <w:r>
              <w:rPr>
                <w:rFonts w:hint="eastAsia"/>
                <w:b w:val="0"/>
                <w:bCs/>
                <w:color w:val="000000" w:themeColor="text1"/>
                <w14:textFill>
                  <w14:solidFill>
                    <w14:schemeClr w14:val="tx1"/>
                  </w14:solidFill>
                </w14:textFill>
              </w:rPr>
              <w:t>外排；施工期扬尘处理后对大气环境基本无影响</w:t>
            </w:r>
          </w:p>
        </w:tc>
        <w:tc>
          <w:tcPr>
            <w:tcW w:w="507" w:type="pct"/>
            <w:vAlign w:val="center"/>
          </w:tcPr>
          <w:p>
            <w:pPr>
              <w:pStyle w:val="134"/>
              <w:keepNext w:val="0"/>
              <w:keepLines w:val="0"/>
              <w:suppressLineNumbers w:val="0"/>
              <w:adjustRightInd w:val="0"/>
              <w:snapToGrid w:val="0"/>
              <w:spacing w:before="0" w:beforeAutospacing="0" w:after="0" w:afterAutospacing="0"/>
              <w:ind w:left="0" w:right="0"/>
              <w:rPr>
                <w:rFonts w:hint="default"/>
                <w:b w:val="0"/>
                <w:bCs/>
                <w:color w:val="000000" w:themeColor="text1"/>
                <w14:textFill>
                  <w14:solidFill>
                    <w14:schemeClr w14:val="tx1"/>
                  </w14:solidFill>
                </w14:textFill>
              </w:rPr>
            </w:pPr>
            <w:r>
              <w:rPr>
                <w:rFonts w:hint="eastAsia"/>
                <w:b w:val="0"/>
                <w:bCs/>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424" w:type="pct"/>
            <w:vAlign w:val="center"/>
          </w:tcPr>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“中优”区域</w:t>
            </w:r>
          </w:p>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p>
        </w:tc>
        <w:tc>
          <w:tcPr>
            <w:tcW w:w="3014" w:type="pct"/>
            <w:vAlign w:val="center"/>
          </w:tcPr>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坚持“生态迭代、利益平衡”，塑造天府文化魅力充分彰显、历史与现代相得益彰的人文之城。</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1.优化城市空间结构</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（1）疏解一般制造业、批发市场及仓储物流、中等职业教育等非核心功能。</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（2）产业由原有的劳动密集型逐步向技术密集型和服务密集型转变。</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2.提高产业层次</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（1）禁止新增布局低端性生产性工业。</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（2）退出资源环境效率较低的一般制造业，退出占地大、交通流量大的仓储物流业。</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（3）老城片区（锦江区、青羊区、金牛区、武侯区、成华区）原则上仅布局无污染都市工业：数字创意产业、生产性服务业、绿色加工制造业等。</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3.绕城高速公路（G4202）内禁止新建、改建、扩建燃煤、木材、生物质锅炉（含成型生物质锅炉）；新建、扩建带压热水锅炉或蒸汽锅炉应全面使用电锅炉；禁止新、改、扩建涉及钣喷作业的汽修企业（符合绿色钣喷汽车维修企业管理规范的除外）。</w:t>
            </w:r>
          </w:p>
          <w:p>
            <w:pPr>
              <w:keepNext w:val="0"/>
              <w:keepLines w:val="0"/>
              <w:widowControl/>
              <w:suppressLineNumbers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default"/>
                <w:bCs/>
                <w:color w:val="000000" w:themeColor="text1"/>
                <w:kern w:val="0"/>
                <w14:textFill>
                  <w14:solidFill>
                    <w14:schemeClr w14:val="tx1"/>
                  </w14:solidFill>
                </w14:textFill>
              </w:rPr>
              <w:t>4.加强机动车、非道路移动机械污染物排放管理，提高新能源占比；全面推行绿色施工，禁止现场搅拌混凝土，提升扬尘精细化管控水平，土石方建筑工地应全部安装在扬尘在线监测设施。</w:t>
            </w:r>
          </w:p>
        </w:tc>
        <w:tc>
          <w:tcPr>
            <w:tcW w:w="1053" w:type="pct"/>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default"/>
                <w:b w:val="0"/>
                <w:bCs/>
                <w:color w:val="000000" w:themeColor="text1"/>
                <w14:textFill>
                  <w14:solidFill>
                    <w14:schemeClr w14:val="tx1"/>
                  </w14:solidFill>
                </w14:textFill>
              </w:rPr>
              <w:t>本项目</w:t>
            </w:r>
            <w:r>
              <w:rPr>
                <w:rFonts w:hint="eastAsia"/>
                <w:b w:val="0"/>
                <w:bCs/>
                <w:color w:val="000000" w:themeColor="text1"/>
                <w14:textFill>
                  <w14:solidFill>
                    <w14:schemeClr w14:val="tx1"/>
                  </w14:solidFill>
                </w14:textFill>
              </w:rPr>
              <w:t>为</w:t>
            </w:r>
            <w:r>
              <w:rPr>
                <w:rFonts w:hint="default"/>
                <w:b w:val="0"/>
                <w:bCs/>
                <w:color w:val="000000" w:themeColor="text1"/>
                <w14:textFill>
                  <w14:solidFill>
                    <w14:schemeClr w14:val="tx1"/>
                  </w14:solidFill>
                </w14:textFill>
              </w:rPr>
              <w:t>灌区</w:t>
            </w:r>
            <w:r>
              <w:rPr>
                <w:rFonts w:hint="eastAsia"/>
                <w:b w:val="0"/>
                <w:bCs/>
                <w:color w:val="000000" w:themeColor="text1"/>
                <w14:textFill>
                  <w14:solidFill>
                    <w14:schemeClr w14:val="tx1"/>
                  </w14:solidFill>
                </w14:textFill>
              </w:rPr>
              <w:t>渠道整治</w:t>
            </w:r>
            <w:r>
              <w:rPr>
                <w:rFonts w:hint="default"/>
                <w:b w:val="0"/>
                <w:bCs/>
                <w:color w:val="000000" w:themeColor="text1"/>
                <w14:textFill>
                  <w14:solidFill>
                    <w14:schemeClr w14:val="tx1"/>
                  </w14:solidFill>
                </w14:textFill>
              </w:rPr>
              <w:t>项目，项目运营期无废水废气</w:t>
            </w:r>
            <w:r>
              <w:rPr>
                <w:rFonts w:hint="eastAsia"/>
                <w:b w:val="0"/>
                <w:bCs/>
                <w:color w:val="000000" w:themeColor="text1"/>
                <w14:textFill>
                  <w14:solidFill>
                    <w14:schemeClr w14:val="tx1"/>
                  </w14:solidFill>
                </w14:textFill>
              </w:rPr>
              <w:t>外排；施工期扬尘处理后对大气环境基本无影响</w:t>
            </w:r>
          </w:p>
        </w:tc>
        <w:tc>
          <w:tcPr>
            <w:tcW w:w="507" w:type="pct"/>
            <w:vAlign w:val="center"/>
          </w:tcPr>
          <w:p>
            <w:pPr>
              <w:pStyle w:val="134"/>
              <w:keepNext w:val="0"/>
              <w:keepLines w:val="0"/>
              <w:suppressLineNumbers w:val="0"/>
              <w:spacing w:before="0" w:beforeAutospacing="0" w:after="0" w:afterAutospacing="0"/>
              <w:ind w:left="0" w:right="0"/>
              <w:rPr>
                <w:rFonts w:hint="default"/>
                <w:b w:val="0"/>
                <w:bCs/>
                <w:color w:val="000000" w:themeColor="text1"/>
                <w14:textFill>
                  <w14:solidFill>
                    <w14:schemeClr w14:val="tx1"/>
                  </w14:solidFill>
                </w14:textFill>
              </w:rPr>
            </w:pPr>
            <w:r>
              <w:rPr>
                <w:rFonts w:hint="eastAsia"/>
                <w:b w:val="0"/>
                <w:bCs/>
                <w:color w:val="000000" w:themeColor="text1"/>
                <w14:textFill>
                  <w14:solidFill>
                    <w14:schemeClr w14:val="tx1"/>
                  </w14:solidFill>
                </w14:textFill>
              </w:rPr>
              <w:t>符合</w:t>
            </w:r>
          </w:p>
        </w:tc>
      </w:tr>
    </w:tbl>
    <w:p>
      <w:pPr>
        <w:adjustRightInd w:val="0"/>
        <w:snapToGrid w:val="0"/>
        <w:spacing w:line="360" w:lineRule="auto"/>
        <w:ind w:firstLine="482" w:firstLineChars="200"/>
        <w:rPr>
          <w:rFonts w:ascii="宋体" w:hAnsi="宋体" w:cs="宋体"/>
          <w:b/>
          <w:color w:val="000000" w:themeColor="text1"/>
          <w:kern w:val="0"/>
          <w:sz w:val="24"/>
          <w:szCs w:val="20"/>
          <w:lang w:val="zh-CN"/>
          <w14:textFill>
            <w14:solidFill>
              <w14:schemeClr w14:val="tx1"/>
            </w14:solidFill>
          </w14:textFill>
        </w:rPr>
      </w:pPr>
      <w:r>
        <w:rPr>
          <w:rFonts w:hint="eastAsia" w:ascii="宋体" w:hAnsi="宋体" w:cs="宋体"/>
          <w:b/>
          <w:color w:val="000000" w:themeColor="text1"/>
          <w:kern w:val="0"/>
          <w:sz w:val="24"/>
          <w:szCs w:val="20"/>
          <w:lang w:val="zh-CN"/>
          <w14:textFill>
            <w14:solidFill>
              <w14:schemeClr w14:val="tx1"/>
            </w14:solidFill>
          </w14:textFill>
        </w:rPr>
        <w:t>（2）生态环境准入清单符合性分析</w:t>
      </w:r>
    </w:p>
    <w:p>
      <w:pPr>
        <w:adjustRightInd w:val="0"/>
        <w:snapToGrid w:val="0"/>
        <w:jc w:val="center"/>
        <w:rPr>
          <w:rFonts w:eastAsia="黑体"/>
          <w:color w:val="000000" w:themeColor="text1"/>
          <w:sz w:val="24"/>
          <w:szCs w:val="24"/>
          <w14:textFill>
            <w14:solidFill>
              <w14:schemeClr w14:val="tx1"/>
            </w14:solidFill>
          </w14:textFill>
        </w:rPr>
      </w:pPr>
      <w:r>
        <w:rPr>
          <w:rFonts w:hint="eastAsia" w:eastAsia="黑体"/>
          <w:color w:val="000000" w:themeColor="text1"/>
          <w:sz w:val="24"/>
          <w:szCs w:val="24"/>
          <w14:textFill>
            <w14:solidFill>
              <w14:schemeClr w14:val="tx1"/>
            </w14:solidFill>
          </w14:textFill>
        </w:rPr>
        <w:t>表1.8-9项目与成都市生态环境准入清单符合性分析</w:t>
      </w:r>
    </w:p>
    <w:tbl>
      <w:tblPr>
        <w:tblStyle w:val="38"/>
        <w:tblW w:w="1441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251"/>
        <w:gridCol w:w="1492"/>
        <w:gridCol w:w="6310"/>
        <w:gridCol w:w="3327"/>
        <w:gridCol w:w="13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67" w:type="dxa"/>
            <w:gridSpan w:val="3"/>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类别</w:t>
            </w:r>
          </w:p>
        </w:tc>
        <w:tc>
          <w:tcPr>
            <w:tcW w:w="6310"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对应管控要求</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项目对应情况介绍</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75" w:type="dxa"/>
            <w:gridSpan w:val="2"/>
            <w:vMerge w:val="restart"/>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成都市普适性清单管控要求</w:t>
            </w: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空间布局约束</w:t>
            </w:r>
          </w:p>
        </w:tc>
        <w:tc>
          <w:tcPr>
            <w:tcW w:w="6310" w:type="dxa"/>
            <w:tcBorders>
              <w:tl2br w:val="nil"/>
              <w:tr2bl w:val="nil"/>
            </w:tcBorders>
            <w:vAlign w:val="center"/>
          </w:tcPr>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空间布局约束：</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禁止开发建设活动的要求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生态保护红线禁止开发建设活动的要求：生态保护红线内严格禁止开发性、生产性建设活动，原则上自然保护地核心保护区内禁止人为活动，涉及相关法定保护地的，按照相应法律法规进行管控。</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自然保护区禁止开发建设活动的要求：1、禁止任何人进入自然保护区的核心区。自然保护区核心区内原有居民确有必要迁出的，由自然保护区所在地的县级以上地方人民政府制定方案，予以妥善安置；2、禁止在自然保护区的缓冲区开展旅游和生产经营活动；3、严禁开设与自然保护区保护方向不一致的参观、旅游项目；4、禁止在自然保护区内进行砍伐、放牧、狩猎、捕捞、采药、开垦、烧荒、开矿、采石、挖沙等活动（法律、行政法规另有规定除外）；5、在自然保护区的核心区和缓冲区内，禁止建设任何生产设施。在自然保护区的实验区内，不得建设污染环境、破坏资源或者景观的生产设施。</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风景名胜区禁止开发建设活动的要求：1、禁止开山、采石、开矿、开荒、修坟立碑等破坏景观、植被和地形地貌的活动；2、禁止修建储存或者输送爆炸性、易燃性、放射性、毒害性、腐蚀性物品等危险品的设施，或者其他破坏景观、污染环境、妨碍游览和危害风景名胜区生态、公共安全的建筑物和构筑物；3、禁止在景物或者设施上刻划、涂污；4、禁止乱扔垃圾；5、禁止违反风景名胜区规划，在风景名胜区内设立各类开发区和在核心景区内建设宾馆、招待所、培训中心、疗养院以及与风景名胜资源保护无关的其他建筑物；已经建设的，应当按照风景名胜区规划，逐步迁出；6、在风景名胜区及其外围保护地带内，不得设立开发区、度假区，不得建设破坏景观、污染环境的工矿企业和其他项目、设施；7、在游人集中的游览区和自然环境保留地内，不得建设旅馆、招待所、休疗养机构、生活区以及其他影响观瞻或污染环境的工程设施。在重要景点上，除必需的保护设施外，不得兴建其他工程设施；</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8、禁止超过风景名胜区总体规划确定的容量接待游客；禁止从事开山、采石、挖砂取土、围湖造田、掘矿开荒、修坟立碑等改变地貌和破坏环境、景观的活动。</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大熊猫国家公园禁止开发建设活动的要求：1、实行核心保护区和一般控制区两区管控，严格禁止开发性、生产性建设活动。已有道路两侧以及大型设施的控制线按一般控制区管理。涉及现有各类自然保护地的区域，其管控措施按照现行法律法规和《大熊猫国家公园总体规划（试行）》中更严格的保护标准执行，确保保护强度不降低；2、核心保护区除满足国家特殊战略需要的有关活动外，原则上禁止人为活动。一般控制区除满足国家特殊战略需要的有关活动外，原则上禁止开发性、生产性建设活动。</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龙泉山城市森林公园禁止开发建设活动的要求：1、生态核心保护区以生态保护、修复为主，除必要的国防、应急救援、水利基础设施和市政配套设施外，禁止新建其他任何建</w:t>
            </w:r>
            <w:r>
              <w:rPr>
                <w:rFonts w:hint="eastAsia" w:eastAsia="宋体"/>
                <w:color w:val="000000" w:themeColor="text1"/>
                <w:kern w:val="0"/>
                <w:sz w:val="21"/>
                <w14:textFill>
                  <w14:solidFill>
                    <w14:schemeClr w14:val="tx1"/>
                  </w14:solidFill>
                </w14:textFill>
              </w:rPr>
              <w:t>（</w:t>
            </w:r>
            <w:r>
              <w:rPr>
                <w:rFonts w:hint="default" w:eastAsia="宋体"/>
                <w:color w:val="000000" w:themeColor="text1"/>
                <w:kern w:val="0"/>
                <w:sz w:val="21"/>
                <w14:textFill>
                  <w14:solidFill>
                    <w14:schemeClr w14:val="tx1"/>
                  </w14:solidFill>
                </w14:textFill>
              </w:rPr>
              <w:t>构</w:t>
            </w:r>
            <w:r>
              <w:rPr>
                <w:rFonts w:hint="eastAsia" w:eastAsia="宋体"/>
                <w:color w:val="000000" w:themeColor="text1"/>
                <w:kern w:val="0"/>
                <w:sz w:val="21"/>
                <w14:textFill>
                  <w14:solidFill>
                    <w14:schemeClr w14:val="tx1"/>
                  </w14:solidFill>
                </w14:textFill>
              </w:rPr>
              <w:t>）</w:t>
            </w:r>
            <w:r>
              <w:rPr>
                <w:rFonts w:hint="default" w:eastAsia="宋体"/>
                <w:color w:val="000000" w:themeColor="text1"/>
                <w:kern w:val="0"/>
                <w:sz w:val="21"/>
                <w14:textFill>
                  <w14:solidFill>
                    <w14:schemeClr w14:val="tx1"/>
                  </w14:solidFill>
                </w14:textFill>
              </w:rPr>
              <w:t>筑物。鼓励生态核心保护区内的原有村</w:t>
            </w:r>
            <w:r>
              <w:rPr>
                <w:rFonts w:hint="eastAsia" w:eastAsia="宋体"/>
                <w:color w:val="000000" w:themeColor="text1"/>
                <w:kern w:val="0"/>
                <w:sz w:val="21"/>
                <w14:textFill>
                  <w14:solidFill>
                    <w14:schemeClr w14:val="tx1"/>
                  </w14:solidFill>
                </w14:textFill>
              </w:rPr>
              <w:t>（</w:t>
            </w:r>
            <w:r>
              <w:rPr>
                <w:rFonts w:hint="default" w:eastAsia="宋体"/>
                <w:color w:val="000000" w:themeColor="text1"/>
                <w:kern w:val="0"/>
                <w:sz w:val="21"/>
                <w14:textFill>
                  <w14:solidFill>
                    <w14:schemeClr w14:val="tx1"/>
                  </w14:solidFill>
                </w14:textFill>
              </w:rPr>
              <w:t>居</w:t>
            </w:r>
            <w:r>
              <w:rPr>
                <w:rFonts w:hint="eastAsia" w:eastAsia="宋体"/>
                <w:color w:val="000000" w:themeColor="text1"/>
                <w:kern w:val="0"/>
                <w:sz w:val="21"/>
                <w14:textFill>
                  <w14:solidFill>
                    <w14:schemeClr w14:val="tx1"/>
                  </w14:solidFill>
                </w14:textFill>
              </w:rPr>
              <w:t>）</w:t>
            </w:r>
            <w:r>
              <w:rPr>
                <w:rFonts w:hint="default" w:eastAsia="宋体"/>
                <w:color w:val="000000" w:themeColor="text1"/>
                <w:kern w:val="0"/>
                <w:sz w:val="21"/>
                <w14:textFill>
                  <w14:solidFill>
                    <w14:schemeClr w14:val="tx1"/>
                  </w14:solidFill>
                </w14:textFill>
              </w:rPr>
              <w:t>民向周边城镇、特色小镇</w:t>
            </w:r>
            <w:r>
              <w:rPr>
                <w:rFonts w:hint="eastAsia" w:eastAsia="宋体"/>
                <w:color w:val="000000" w:themeColor="text1"/>
                <w:kern w:val="0"/>
                <w:sz w:val="21"/>
                <w14:textFill>
                  <w14:solidFill>
                    <w14:schemeClr w14:val="tx1"/>
                  </w14:solidFill>
                </w14:textFill>
              </w:rPr>
              <w:t>（</w:t>
            </w:r>
            <w:r>
              <w:rPr>
                <w:rFonts w:hint="default" w:eastAsia="宋体"/>
                <w:color w:val="000000" w:themeColor="text1"/>
                <w:kern w:val="0"/>
                <w:sz w:val="21"/>
                <w14:textFill>
                  <w14:solidFill>
                    <w14:schemeClr w14:val="tx1"/>
                  </w14:solidFill>
                </w14:textFill>
              </w:rPr>
              <w:t>街区</w:t>
            </w:r>
            <w:r>
              <w:rPr>
                <w:rFonts w:hint="eastAsia" w:eastAsia="宋体"/>
                <w:color w:val="000000" w:themeColor="text1"/>
                <w:kern w:val="0"/>
                <w:sz w:val="21"/>
                <w14:textFill>
                  <w14:solidFill>
                    <w14:schemeClr w14:val="tx1"/>
                  </w14:solidFill>
                </w14:textFill>
              </w:rPr>
              <w:t>）</w:t>
            </w:r>
            <w:r>
              <w:rPr>
                <w:rFonts w:hint="default" w:eastAsia="宋体"/>
                <w:color w:val="000000" w:themeColor="text1"/>
                <w:kern w:val="0"/>
                <w:sz w:val="21"/>
                <w14:textFill>
                  <w14:solidFill>
                    <w14:schemeClr w14:val="tx1"/>
                  </w14:solidFill>
                </w14:textFill>
              </w:rPr>
              <w:t>转移；2、禁止向城市森林公园排放水污染物。生产、生活活动产生的污水应当按规定收集处理达标后排放。</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环城生态区禁止开发建设活动的要求：1、禁止将环城生态区生态用地用于农业生产、绿化和水体、应急避难、公共文化体育或者市政基础设施建设之外的其他用途；2、环城生态区内的农用地应当坚持农地农用，不得非法改变农用地用途；禁止违反规划将实施土地整治拆除复垦后的土地再次用于非农业建设。原址复垦为耕地的，纳入农用地管理；3、禁止私设暗管或者采取其他规避监管的方式排放水污染物；禁止在环城生态区内新设排污口或者从事影响水质的养殖活动；4、禁止擅自占用河流、湖泊、湿地等水域；5、任何单位和个人不得擅自取用地下水；6、禁止在农业生产中使用剧毒、高毒、高残留农药或者国家明令禁止、限制使用的农药；禁止新增规模化畜禽养殖、工厂化作物栽培等设施农业；7、未经依法批准，任何单位和个人不得在环城生态区内从事建窑、挖砂、采石、取土、弃土、爆破等破坏地形地貌的活动；禁止在环城生态区内新建工业项目；8、禁止在环城生态区内违反规定排放大气污染物；9、禁止在环城生态区内生产、销售、使用燃煤或者其他高污染燃料；10、除加油、加气站外，禁止在环城生态区内新建、改建、扩建危险化学品生产、经营、储存项目；11、禁止在环城生态区内新建生活垃圾、建筑垃圾处置场；禁止随意倾倒生活垃圾、建筑垃圾。</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第二绕城高速公路田园生态区禁止开发建设活动的要求：按照《成都市第二绕城高速公路田园生态区土地利用和规划管理技术规定》进行管控。</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第三绕城高速公路生态控制带禁止开发建设活动的要求：强化生态保育和生态建设、限制开发建设。</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饮用水水源保护区禁止开发建设活动的要求：（1）禁止在饮用水水源保护区内设置排污口；（2）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3）禁止在饮用水水源二级保护区内新建、改建、扩建排放污染物的建设项目；已建成的排放污染物的建设项目，由县级以上人民政府责令拆除或者关闭；（4）禁止在饮用水水源准保护区内新建、扩建对水体污染严重的建设项目；改建建设项目，不得增加排污量；（5）严格执行《四川省饮用水源保护管理条例》、《成都市饮用水水源保护条例》等。</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基本农田禁止开发建设活动的要求：（1）永久基本农田，实行严格保护，除法律规定的重点建设项目选址确实无法避让外，其他任何建设不得占用；（2）禁止在基本农田保护区内建窑、建房、建坟、挖砂、采石、采矿、取土、堆放固体废弃物或者进行其他破坏基本农田的活动；（3）禁止占用永久基本农田发展林果业和挖塘养鱼。</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优先保护岸线禁止开发建设活动的要求：1、禁止在长江干支流、重要湖泊岸线一公里范围内新建、扩建化工园区和化工项目。禁止在长江干流岸线三公里范围内和重要支流岸线一公里范围内新建、改建、扩建尾矿库、冶炼渣库、磷石膏库（以提升安全、生态环境保护水平为目的的改建除外）；2、禁止在自然保护区核心区、缓冲区的岸线和河段范围内投资建设旅游和生产经营项目。自然保护区的内部未分区的，依照本实施细则核心区和缓冲区的规定管控；3、禁止违反风景名胜区规划，在风景名胜区内设立各类开发区。禁止在风景名胜区核心景区的岸线和河段范围内建设宾馆、招待所、培训中心、疗养院以及与风景名胜资源保护无关的项目；4、禁止在饮用水水源准保护区的岸线和河段范围内新建、扩建对水体污染严重的建设项目，禁止改建增加排污量的建设项目；5、饮用水水源二级保护区的岸线和河段范围内，除应遵守准保护区规定外，禁止新建、改建、扩建排放污染物的投资建设项目；禁止从事采石（砂）、对水体有污染的水产养殖等活动；6、饮用水水源一级保护区的岸线和河段范围内，除应遵守二级保护区规定外，禁止新建、改建、扩建与供（取）水设施和保护水源无关的项目，以及网箱养殖、畜禽养殖、旅游等可能污染饮用水水体的投资建设项目；7、禁止在水产种质资源保护区岸线和河段范围内新建围湖造田、围湖造地或挖沙采石等投资建设项目；8、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四川大熊猫栖息地世界自然遗产禁止开发建设活动的要求：禁止在世界遗产保护范围内实施以下行为：1、建设污染环境、破坏生态和造成水土流失的设施；2、在世界遗产核心保护区、保护区范围内进行开山、采石、垦荒、开矿、取土等破坏地表、地貌的活动；3、在世界遗产核心保护区、保护区范围内修建储存爆炸性、易燃性、放射性、毒害性、腐蚀性等物品设施；4、在世界遗产核心保护区、保护区设立各类开发区、度假区；5、在世界遗产核心保护区建设宾馆、招待所、疗养院及各类培训中心等建筑物、构筑物和其他设施；6、在世界遗产保护区、缓冲区未经省人民政府世界遗产行政主管部门审核进行建设；7、其他损害或者破坏世界遗产真实性和完整性的行为。</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生态公益林禁止开发建设活动的要求：一级国家级公益林原则上不得开展生产经营活动，严禁打枝、采脂、割漆、剥树皮、掘根等行为。</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重要湖泊水库禁止开发建设活动的要求：1、禁止违反城市蓝线保护和控制要求的建设活动；2、禁止擅自填埋、占用城市蓝线内水域；</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3、禁止影响水系安全的爆破、采石、取土；4、禁止擅自建设各类排污设施；5、其它对城市水系保护构成破坏的活动。</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生态控制区限制开发建设活动的要求：强化生态保育和生态建设、限制开发建设。</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生态功能重要区禁止开发建设活动的要求：禁止对野生动植物滥捕滥采，保持并恢复野生动植物物种和种群平衡，加强对自然保护区外分布的极小种群野生植物就地保护小区、保护点的建设，开展多种形式的民间生物多样性就地保护。加强防御外来物种入侵的能力，防止外来有害物种对生态系统的侵害。</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限制开发建设活动的要求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生态保护红线限制开发建设活动的要求：1、严格限制在长江流域生态保护红线、自然保护地、水生生物重要栖息地水域实施航道整治工程；确需整治的，应当经科学论证，并依法办理相关手续；2、涉及无法避让的重大基础设施应采取无害化穿（跨）越方式，或依法依规向有关行政主管部门履行穿越法定保护区的行政许可手续、强化减缓和补偿措施。。</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自然保护区限制开发建设活动的要求：（1）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2）因教学科学研的目的，需要进入自然保护区的缓冲区从事非破坏性的科学研究、教学实习和标本采集活动的，应当事先向自然保护区管理机构提交申请和活动计划，经自然保护区管理机构批准；（3）在自然保护区的实验区内开展参观、旅游活动的，由自然保护区管理机构编制方案，方案应当符合自然保护区管理目标；（4）在自然保护区的实验区内建设其他项目，其污染物排放不得超过国家和地方规定的污染物排放标准。</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风景名胜区限制开发建设活动的要求：1、在国家级风景名胜区内修建缆车、索道等重大建设工程，项目的选址方案应当报省、自治区人民政府建设主管部门和直辖市人民政府风景名胜区主管部门核准。</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2、风景名胜区内的建设项目应当符合风景名胜区规划，并与景观相协调，不得破坏景观、污染环境、妨碍游览。在风景名胜区内进行建设活动的，建设单位、施工单位应当制定污染防治和水土保持方案，并采取有效措施，保护好周围景物、水体、林草植被、野生动物资源和地形地貌。</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基本农田限制开发建设活动的要求：1、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2、非战略性矿产，申请新设矿业权，应避让永久基本农田，其中地热、矿泉水勘查开采，不造成永久基本农田损毁、塌陷破坏的，可申请新设矿业权。</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优先保护岸线限制开发建设活动的要求：1、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2、岸线保留区为规划工程预留的岸线保留区，因经济社会发展需要，确需开展的重要基础设施建设，在不影响规划工程未来建设、以及防洪、供水、生态安全的前提下，按相关法律法规要求履行河道内建设项目相关审批程序。</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3、为满足生活生态岸线开发需要划定的岸线保留区，除建设生态公园、江滩风光带等项目外，不得建设其他生产设施。对虽具备开发利用条件，但现状经济社会发展水平相对较低，暂无开发利用需求的岸段，今后因经济社会发展确需开发利用的，经充分论证并按照法律法规要求履行相关审批程序后，可根据所在河段实际情况并参照岸线控制利用区或开发利用区管控要求进行管理；3、严禁非法采砂。严格落实禁采区、可采区、保留区和禁采期管理措施，加强对非法采砂行为的监督执法。</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生态公益林限制开发建设活动的要求：严格控制勘查、开采矿藏和工程建设使用国家级公益林地。确需使用的，严格按照《建设项目使用林地审核审批管理办法》有关规定办理使用林地手续。涉及林木采伐的，按相关规定依法办理林木采伐手续。</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生态功能重要区限制开发建设活动的要求：在不损害生态系统功能的前提下，适度发展旅游、农林牧产品生产和加工、生态农业、休闲农业等产业。</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不符合空间布局要求活动的退出要求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自然保护区不符合空间布局要求活动的退出要求：1、划入自然保护地核心保护区的永久基本农田，依法有序退出并予以补划；2、对长江流域已建小水电工程，不符合生态保护要求的，县级以上地方人民政府应当组织分类整改或者采取措施逐步退出；3、自然保护区核心区内原有居民确有必要迁出的，由自然保护区所在地的县级以上地方人民政府制定方案，予以妥善安置。</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环城生态区不符合空间布局要求活动的退出要求：1、现有规模化畜禽养殖企业和工厂化作物栽培企业应当限期迁出；2、现有的工业项目应当限期迁出或者依法关闭；3、现有型煤生产、销售单位，应当在市人民政府规定的期限内迁出或者依法关闭；4、现有使用燃煤设施的单位和居民应当在规定的期限内改用清洁能源。除加油、加气站外，现有的危险化学品生产、经营、储存企业应当限期迁出。</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一般生态空间不符合空间布局要求活动的退出要求：一般生态空间中，不符合法律法规和相关规划要求的企业,应依法依规限期治理或退出；其余企业应确保稳定达标排放,优先开展清洁生产水平提升、污染治理措施升级改造,项目环评应充分论证对一般生态空间的影响、尽力优化工艺方案和污染治理措施。</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其他空间布局约束要求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自然保护区允许开发建设活动的要求：1、自然保护区实验区可以进入从事科学试验、教学实习、参观考察、旅游以及驯化、繁殖珍稀、濒危野生动植物等活动；自然保护区的核心保护区除满足国家特殊战略需要的有关活动外，原则上禁止人为活动，一般控制区除满足国家特殊战略需要的有关活动外，原则上禁止开发性、生产性建设活动，允许开展的活动严格按照《自然资源部国家林业和草原局关于做好自然保护区范围及功能分区优化调整前期有关工作的函》（自然资函[2020]71号）的规定执行。</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大熊猫国家公园允许开发建设活动的要求：大熊猫国家公园的核心保护区和一般控制区允许开展的活动严格按照《国家公园管理暂行办法》（林保发〔2022〕64号）《大熊猫国家公园总体规划（2022—2030年）》、《四川省大熊猫国家公园管理条例》（2023年10月1日起施行）的规定执行。</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龙泉山城市森林公园允许开发建设活动的要求：1、生态核心保护区以生态保护、修复为主，除必要的国防、应急救援、水利基础设施和市政配套设施外，禁止新建其他任何建(构)筑物。鼓励生态核心保护区内的原有村(居)民向周边城镇、特色小镇（街区）转移；2、禁止向城市森林公园排放水污染物。生产、生活活动产生的污水应当按规定收集处理达标后排放；3、生态缓冲区以发展现代农林业为主，允许适度建设符合城市森林公园总体规划的配套设施。生态游憩区以景观建设和游憩活动为主，允许适度建设符合城市森林公园总体规划的特色小镇和景区化游憩园。</w:t>
            </w:r>
          </w:p>
        </w:tc>
        <w:tc>
          <w:tcPr>
            <w:tcW w:w="3327" w:type="dxa"/>
            <w:tcBorders>
              <w:tl2br w:val="nil"/>
              <w:tr2bl w:val="nil"/>
            </w:tcBorders>
            <w:vAlign w:val="center"/>
          </w:tcPr>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Style w:val="43"/>
                <w:rFonts w:hint="eastAsia"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本项目</w:t>
            </w:r>
            <w:r>
              <w:rPr>
                <w:rFonts w:hint="eastAsia" w:eastAsia="宋体"/>
                <w:color w:val="000000" w:themeColor="text1"/>
                <w:kern w:val="0"/>
                <w:sz w:val="21"/>
                <w14:textFill>
                  <w14:solidFill>
                    <w14:schemeClr w14:val="tx1"/>
                  </w14:solidFill>
                </w14:textFill>
              </w:rPr>
              <w:t>为</w:t>
            </w:r>
            <w:r>
              <w:rPr>
                <w:rFonts w:hint="default" w:eastAsia="宋体"/>
                <w:color w:val="000000" w:themeColor="text1"/>
                <w:kern w:val="0"/>
                <w:sz w:val="21"/>
                <w14:textFill>
                  <w14:solidFill>
                    <w14:schemeClr w14:val="tx1"/>
                  </w14:solidFill>
                </w14:textFill>
              </w:rPr>
              <w:t>灌区</w:t>
            </w:r>
            <w:r>
              <w:rPr>
                <w:rFonts w:hint="eastAsia" w:eastAsia="宋体"/>
                <w:color w:val="000000" w:themeColor="text1"/>
                <w:kern w:val="0"/>
                <w:sz w:val="21"/>
                <w:lang w:eastAsia="zh-CN"/>
                <w14:textFill>
                  <w14:solidFill>
                    <w14:schemeClr w14:val="tx1"/>
                  </w14:solidFill>
                </w14:textFill>
              </w:rPr>
              <w:t>渠道整治工程</w:t>
            </w:r>
            <w:r>
              <w:rPr>
                <w:rFonts w:hint="default" w:eastAsia="宋体"/>
                <w:color w:val="000000" w:themeColor="text1"/>
                <w:kern w:val="0"/>
                <w:sz w:val="21"/>
                <w14:textFill>
                  <w14:solidFill>
                    <w14:schemeClr w14:val="tx1"/>
                  </w14:solidFill>
                </w14:textFill>
              </w:rPr>
              <w:t>，</w:t>
            </w:r>
            <w:r>
              <w:rPr>
                <w:rFonts w:hint="eastAsia" w:eastAsia="宋体"/>
                <w:color w:val="000000" w:themeColor="text1"/>
                <w:kern w:val="0"/>
                <w:sz w:val="21"/>
                <w14:textFill>
                  <w14:solidFill>
                    <w14:schemeClr w14:val="tx1"/>
                  </w14:solidFill>
                </w14:textFill>
              </w:rPr>
              <w:t>为</w:t>
            </w:r>
            <w:r>
              <w:rPr>
                <w:rFonts w:hint="default" w:eastAsia="宋体"/>
                <w:color w:val="000000" w:themeColor="text1"/>
                <w:kern w:val="0"/>
                <w:sz w:val="21"/>
                <w14:textFill>
                  <w14:solidFill>
                    <w14:schemeClr w14:val="tx1"/>
                  </w14:solidFill>
                </w14:textFill>
              </w:rPr>
              <w:t>水利基础设施</w:t>
            </w:r>
            <w:r>
              <w:rPr>
                <w:rFonts w:hint="eastAsia" w:eastAsia="宋体"/>
                <w:color w:val="000000" w:themeColor="text1"/>
                <w:kern w:val="0"/>
                <w:sz w:val="21"/>
                <w14:textFill>
                  <w14:solidFill>
                    <w14:schemeClr w14:val="tx1"/>
                  </w14:solidFill>
                </w14:textFill>
              </w:rPr>
              <w:t>项目。施工期间不涉及地下水取用，项目不涉及占用基本农田及生态保护红线，涉及占用耕地部分，纳入2024年耕地“进出平衡”。</w:t>
            </w:r>
            <w:r>
              <w:rPr>
                <w:rStyle w:val="43"/>
                <w:rFonts w:hint="eastAsia" w:eastAsia="宋体"/>
                <w:color w:val="000000" w:themeColor="text1"/>
                <w:lang w:val="en-US" w:eastAsia="zh-CN"/>
                <w14:textFill>
                  <w14:solidFill>
                    <w14:schemeClr w14:val="tx1"/>
                  </w14:solidFill>
                </w14:textFill>
              </w:rPr>
              <w:t>南五、南六支渠部分渠段位于花果山风景名胜区内，已委托</w:t>
            </w:r>
            <w:r>
              <w:rPr>
                <w:rStyle w:val="43"/>
                <w:rFonts w:hint="eastAsia" w:eastAsia="宋体"/>
                <w:color w:val="000000" w:themeColor="text1"/>
                <w:sz w:val="21"/>
                <w:lang w:bidi="ar"/>
                <w14:textFill>
                  <w14:solidFill>
                    <w14:schemeClr w14:val="tx1"/>
                  </w14:solidFill>
                </w14:textFill>
              </w:rPr>
              <w:t>成都市农林科学院林业研究所、</w:t>
            </w:r>
            <w:r>
              <w:rPr>
                <w:rStyle w:val="43"/>
                <w:rFonts w:hint="eastAsia" w:eastAsia="宋体"/>
                <w:color w:val="000000" w:themeColor="text1"/>
                <w:sz w:val="21"/>
                <w14:textFill>
                  <w14:solidFill>
                    <w14:schemeClr w14:val="tx1"/>
                  </w14:solidFill>
                </w14:textFill>
              </w:rPr>
              <w:t>成都兴绿林业科技发展有限公司编制《成都市环城生态区农田综合整治及农业灌区设施建设项目灌区水利设施建设（二标段）一期对龙泉花果山风景名胜区（十陵景区）影响评价报告》</w:t>
            </w:r>
            <w:r>
              <w:rPr>
                <w:rStyle w:val="43"/>
                <w:rFonts w:hint="eastAsia" w:eastAsia="宋体"/>
                <w:color w:val="000000" w:themeColor="text1"/>
                <w:lang w:eastAsia="zh-CN"/>
                <w14:textFill>
                  <w14:solidFill>
                    <w14:schemeClr w14:val="tx1"/>
                  </w14:solidFill>
                </w14:textFill>
              </w:rPr>
              <w:t>，</w:t>
            </w:r>
            <w:r>
              <w:rPr>
                <w:rStyle w:val="43"/>
                <w:rFonts w:hint="eastAsia" w:eastAsia="宋体"/>
                <w:color w:val="000000" w:themeColor="text1"/>
                <w:lang w:val="en-US" w:eastAsia="zh-CN"/>
                <w14:textFill>
                  <w14:solidFill>
                    <w14:schemeClr w14:val="tx1"/>
                  </w14:solidFill>
                </w14:textFill>
              </w:rPr>
              <w:t>提出相应保护措施及影响范围</w:t>
            </w:r>
            <w:r>
              <w:rPr>
                <w:rStyle w:val="43"/>
                <w:rFonts w:hint="eastAsia" w:eastAsia="宋体"/>
                <w:color w:val="000000" w:themeColor="text1"/>
                <w:lang w:eastAsia="zh-CN"/>
                <w14:textFill>
                  <w14:solidFill>
                    <w14:schemeClr w14:val="tx1"/>
                  </w14:solidFill>
                </w14:textFill>
              </w:rPr>
              <w:t>。</w:t>
            </w:r>
            <w:r>
              <w:rPr>
                <w:rFonts w:hint="eastAsia" w:eastAsia="宋体"/>
                <w:color w:val="000000" w:themeColor="text1"/>
                <w:kern w:val="0"/>
                <w:sz w:val="21"/>
                <w14:textFill>
                  <w14:solidFill>
                    <w14:schemeClr w14:val="tx1"/>
                  </w14:solidFill>
                </w14:textFill>
              </w:rPr>
              <w:t>环评要求：项目耕地“进出平衡”手续完成之前，永久占地中</w:t>
            </w:r>
            <w:r>
              <w:rPr>
                <w:rStyle w:val="43"/>
                <w:rFonts w:hint="eastAsia" w:ascii="Times New Roman" w:hAnsi="Times New Roman" w:eastAsia="宋体" w:cs="Times New Roman"/>
                <w:color w:val="000000" w:themeColor="text1"/>
                <w:sz w:val="21"/>
                <w:szCs w:val="21"/>
                <w14:textFill>
                  <w14:solidFill>
                    <w14:schemeClr w14:val="tx1"/>
                  </w14:solidFill>
                </w14:textFill>
              </w:rPr>
              <w:t>涉及占用耕地部分不得开工建设</w:t>
            </w:r>
            <w:r>
              <w:rPr>
                <w:rStyle w:val="43"/>
                <w:rFonts w:hint="eastAsia" w:ascii="Times New Roman" w:hAnsi="Times New Roman" w:eastAsia="宋体" w:cs="Times New Roman"/>
                <w:color w:val="000000" w:themeColor="text1"/>
                <w:sz w:val="21"/>
                <w:szCs w:val="21"/>
                <w:lang w:eastAsia="zh-CN"/>
                <w14:textFill>
                  <w14:solidFill>
                    <w14:schemeClr w14:val="tx1"/>
                  </w14:solidFill>
                </w14:textFill>
              </w:rPr>
              <w:t>；</w:t>
            </w:r>
            <w:r>
              <w:rPr>
                <w:rStyle w:val="43"/>
                <w:rFonts w:hint="eastAsia" w:ascii="Times New Roman" w:hAnsi="Times New Roman" w:eastAsia="宋体" w:cs="Times New Roman"/>
                <w:color w:val="000000" w:themeColor="text1"/>
                <w:sz w:val="21"/>
                <w:szCs w:val="21"/>
                <w:lang w:val="en-US" w:eastAsia="zh-CN"/>
                <w14:textFill>
                  <w14:solidFill>
                    <w14:schemeClr w14:val="tx1"/>
                  </w14:solidFill>
                </w14:textFill>
              </w:rPr>
              <w:t>同时，项目已取得</w:t>
            </w:r>
            <w:r>
              <w:rPr>
                <w:rStyle w:val="43"/>
                <w:rFonts w:hint="eastAsia" w:ascii="Times New Roman" w:hAnsi="Times New Roman" w:eastAsia="宋体" w:cs="Times New Roman"/>
                <w:color w:val="000000" w:themeColor="text1"/>
                <w:sz w:val="21"/>
                <w:szCs w:val="21"/>
                <w14:textFill>
                  <w14:solidFill>
                    <w14:schemeClr w14:val="tx1"/>
                  </w14:solidFill>
                </w14:textFill>
              </w:rPr>
              <w:t>成都市公园城市建设管理局准入批复</w:t>
            </w:r>
            <w:r>
              <w:rPr>
                <w:rStyle w:val="43"/>
                <w:rFonts w:hint="eastAsia" w:ascii="Times New Roman" w:hAnsi="Times New Roman" w:eastAsia="宋体" w:cs="Times New Roman"/>
                <w:color w:val="000000" w:themeColor="text1"/>
                <w:sz w:val="21"/>
                <w:szCs w:val="21"/>
                <w:lang w:eastAsia="zh-CN"/>
                <w14:textFill>
                  <w14:solidFill>
                    <w14:schemeClr w14:val="tx1"/>
                  </w14:solidFill>
                </w14:textFill>
              </w:rPr>
              <w:t>（成公园城市函〔2024〕91号）</w:t>
            </w:r>
            <w:r>
              <w:rPr>
                <w:rStyle w:val="43"/>
                <w:rFonts w:hint="eastAsia" w:ascii="Times New Roman" w:hAnsi="Times New Roman" w:eastAsia="宋体" w:cs="Times New Roman"/>
                <w:color w:val="000000" w:themeColor="text1"/>
                <w:sz w:val="21"/>
                <w:szCs w:val="21"/>
                <w14:textFill>
                  <w14:solidFill>
                    <w14:schemeClr w14:val="tx1"/>
                  </w14:solidFill>
                </w14:textFill>
              </w:rPr>
              <w:t>。</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Style w:val="43"/>
                <w:rFonts w:hint="default" w:eastAsia="宋体"/>
                <w:color w:val="000000" w:themeColor="text1"/>
                <w:lang w:val="en-US" w:eastAsia="zh-CN"/>
                <w14:textFill>
                  <w14:solidFill>
                    <w14:schemeClr w14:val="tx1"/>
                  </w14:solidFill>
                </w14:textFill>
              </w:rPr>
            </w:pPr>
            <w:r>
              <w:rPr>
                <w:rStyle w:val="43"/>
                <w:rFonts w:hint="eastAsia" w:eastAsia="宋体"/>
                <w:color w:val="000000" w:themeColor="text1"/>
                <w:kern w:val="0"/>
                <w:sz w:val="21"/>
                <w:lang w:val="en-US" w:eastAsia="zh-CN"/>
                <w14:textFill>
                  <w14:solidFill>
                    <w14:schemeClr w14:val="tx1"/>
                  </w14:solidFill>
                </w14:textFill>
              </w:rPr>
              <w:t>南五</w:t>
            </w:r>
            <w:r>
              <w:rPr>
                <w:rStyle w:val="43"/>
                <w:rFonts w:hint="eastAsia" w:eastAsia="宋体"/>
                <w:color w:val="000000" w:themeColor="text1"/>
                <w:kern w:val="2"/>
                <w:sz w:val="21"/>
                <w:lang w:val="en-US" w:eastAsia="zh-CN"/>
                <w14:textFill>
                  <w14:solidFill>
                    <w14:schemeClr w14:val="tx1"/>
                  </w14:solidFill>
                </w14:textFill>
              </w:rPr>
              <w:t>、南六渠段中位于</w:t>
            </w:r>
            <w:r>
              <w:rPr>
                <w:rStyle w:val="43"/>
                <w:rFonts w:hint="eastAsia" w:eastAsia="宋体"/>
                <w:color w:val="000000" w:themeColor="text1"/>
                <w:sz w:val="21"/>
                <w:szCs w:val="21"/>
                <w14:textFill>
                  <w14:solidFill>
                    <w14:schemeClr w14:val="tx1"/>
                  </w14:solidFill>
                </w14:textFill>
              </w:rPr>
              <w:t>成都市龙泉驿区东风渠、东干渠麻石桥集中式饮用水水源地准保护区</w:t>
            </w:r>
            <w:r>
              <w:rPr>
                <w:rStyle w:val="43"/>
                <w:rFonts w:hint="eastAsia" w:eastAsia="宋体"/>
                <w:color w:val="000000" w:themeColor="text1"/>
                <w:sz w:val="21"/>
                <w:szCs w:val="21"/>
                <w:lang w:eastAsia="zh-CN"/>
                <w14:textFill>
                  <w14:solidFill>
                    <w14:schemeClr w14:val="tx1"/>
                  </w14:solidFill>
                </w14:textFill>
              </w:rPr>
              <w:t>（</w:t>
            </w:r>
            <w:r>
              <w:rPr>
                <w:rStyle w:val="43"/>
                <w:rFonts w:hint="eastAsia" w:eastAsia="宋体"/>
                <w:color w:val="000000" w:themeColor="text1"/>
                <w:sz w:val="21"/>
                <w:szCs w:val="21"/>
                <w:lang w:val="en-US" w:eastAsia="zh-CN"/>
                <w14:textFill>
                  <w14:solidFill>
                    <w14:schemeClr w14:val="tx1"/>
                  </w14:solidFill>
                </w14:textFill>
              </w:rPr>
              <w:t>陆域</w:t>
            </w:r>
            <w:r>
              <w:rPr>
                <w:rStyle w:val="43"/>
                <w:rFonts w:hint="eastAsia" w:eastAsia="宋体"/>
                <w:color w:val="000000" w:themeColor="text1"/>
                <w:sz w:val="21"/>
                <w:szCs w:val="21"/>
                <w:lang w:eastAsia="zh-CN"/>
                <w14:textFill>
                  <w14:solidFill>
                    <w14:schemeClr w14:val="tx1"/>
                  </w14:solidFill>
                </w14:textFill>
              </w:rPr>
              <w:t>）</w:t>
            </w:r>
            <w:r>
              <w:rPr>
                <w:rStyle w:val="43"/>
                <w:rFonts w:hint="eastAsia" w:eastAsia="宋体"/>
                <w:color w:val="000000" w:themeColor="text1"/>
                <w:lang w:val="en-US" w:eastAsia="zh-CN"/>
                <w14:textFill>
                  <w14:solidFill>
                    <w14:schemeClr w14:val="tx1"/>
                  </w14:solidFill>
                </w14:textFill>
              </w:rPr>
              <w:t>内部分，施工期间不在准保护区内排放污染物，不增加准保护区内污染物总量；同时项目已取得成都市龙泉驿生态环境局《关于同意对涉及龙泉驿区饮用水水源地准保护区陆域范围内部分渠段实施整治的函》（龙环函〔2024〕6号），同意项目实施。</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lang w:val="en-US" w:eastAsia="zh-CN"/>
                <w14:textFill>
                  <w14:solidFill>
                    <w14:schemeClr w14:val="tx1"/>
                  </w14:solidFill>
                </w14:textFill>
              </w:rPr>
            </w:pP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75" w:type="dxa"/>
            <w:gridSpan w:val="2"/>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污染物排放管控</w:t>
            </w:r>
          </w:p>
        </w:tc>
        <w:tc>
          <w:tcPr>
            <w:tcW w:w="6310" w:type="dxa"/>
            <w:tcBorders>
              <w:tl2br w:val="nil"/>
              <w:tr2bl w:val="nil"/>
            </w:tcBorders>
            <w:vAlign w:val="center"/>
          </w:tcPr>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允许排放量要求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现有源提标升级改造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其他污染物排放管控要求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75" w:type="dxa"/>
            <w:gridSpan w:val="2"/>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环境风险防控</w:t>
            </w:r>
          </w:p>
        </w:tc>
        <w:tc>
          <w:tcPr>
            <w:tcW w:w="6310" w:type="dxa"/>
            <w:tcBorders>
              <w:tl2br w:val="nil"/>
              <w:tr2bl w:val="nil"/>
            </w:tcBorders>
            <w:vAlign w:val="center"/>
          </w:tcPr>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联防联控要求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其他环境风险防控要求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75" w:type="dxa"/>
            <w:gridSpan w:val="2"/>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资源开发效率要求</w:t>
            </w:r>
          </w:p>
        </w:tc>
        <w:tc>
          <w:tcPr>
            <w:tcW w:w="6310" w:type="dxa"/>
            <w:tcBorders>
              <w:tl2br w:val="nil"/>
              <w:tr2bl w:val="nil"/>
            </w:tcBorders>
            <w:vAlign w:val="center"/>
          </w:tcPr>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水资源利用总量要求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地下水开采要求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能源利用总量及效率要求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禁燃区要求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其他资源利用效率要求</w:t>
            </w:r>
          </w:p>
          <w:p>
            <w:pPr>
              <w:pStyle w:val="135"/>
              <w:keepNext w:val="0"/>
              <w:keepLines w:val="0"/>
              <w:widowControl/>
              <w:suppressLineNumbers w:val="0"/>
              <w:adjustRightInd w:val="0"/>
              <w:snapToGrid w:val="0"/>
              <w:spacing w:before="0" w:beforeAutospacing="0" w:after="0" w:afterAutospacing="0" w:line="240" w:lineRule="auto"/>
              <w:ind w:left="0" w:right="0" w:firstLine="0" w:firstLineChars="0"/>
              <w:rPr>
                <w:rFonts w:hint="default" w:eastAsia="宋体"/>
                <w:color w:val="000000" w:themeColor="text1"/>
                <w:kern w:val="0"/>
                <w:sz w:val="21"/>
                <w14:textFill>
                  <w14:solidFill>
                    <w14:schemeClr w14:val="tx1"/>
                  </w14:solidFill>
                </w14:textFill>
              </w:rPr>
            </w:pPr>
            <w:r>
              <w:rPr>
                <w:rFonts w:hint="default" w:eastAsia="宋体"/>
                <w:color w:val="000000" w:themeColor="text1"/>
                <w:kern w:val="0"/>
                <w:sz w:val="21"/>
                <w14:textFill>
                  <w14:solidFill>
                    <w14:schemeClr w14:val="tx1"/>
                  </w14:solidFill>
                </w14:textFill>
              </w:rPr>
              <w:t>暂无</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restart"/>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单元级清单管控要求</w:t>
            </w:r>
          </w:p>
        </w:tc>
        <w:tc>
          <w:tcPr>
            <w:tcW w:w="1251" w:type="dxa"/>
            <w:vMerge w:val="restart"/>
            <w:tcBorders>
              <w:tl2br w:val="nil"/>
              <w:tr2bl w:val="nil"/>
            </w:tcBorders>
            <w:vAlign w:val="center"/>
          </w:tcPr>
          <w:p>
            <w:pPr>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毗河-新都区-毗河二桥-控制单元</w:t>
            </w:r>
            <w:r>
              <w:rPr>
                <w:rFonts w:hint="default"/>
                <w:color w:val="000000" w:themeColor="text1"/>
                <w:kern w:val="0"/>
                <w14:textFill>
                  <w14:solidFill>
                    <w14:schemeClr w14:val="tx1"/>
                  </w14:solidFill>
                </w14:textFill>
              </w:rPr>
              <w:t>（</w:t>
            </w:r>
            <w:r>
              <w:rPr>
                <w:rFonts w:hint="default"/>
                <w:color w:val="000000" w:themeColor="text1"/>
                <w14:textFill>
                  <w14:solidFill>
                    <w14:schemeClr w14:val="tx1"/>
                  </w14:solidFill>
                </w14:textFill>
              </w:rPr>
              <w:t>YS5101142220002</w:t>
            </w:r>
            <w:r>
              <w:rPr>
                <w:rFonts w:hint="default"/>
                <w:color w:val="000000" w:themeColor="text1"/>
                <w:kern w:val="0"/>
                <w14:textFill>
                  <w14:solidFill>
                    <w14:schemeClr w14:val="tx1"/>
                  </w14:solidFill>
                </w14:textFill>
              </w:rPr>
              <w:t>）</w:t>
            </w:r>
            <w:r>
              <w:rPr>
                <w:rFonts w:hint="default"/>
                <w:color w:val="000000" w:themeColor="text1"/>
                <w14:textFill>
                  <w14:solidFill>
                    <w14:schemeClr w14:val="tx1"/>
                  </w14:solidFill>
                </w14:textFill>
              </w:rPr>
              <w:t>、西江河-龙泉驿区-西河天平-控制单元（YS5101122220002）</w:t>
            </w: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空间布局约束</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禁止开发建设活动的要求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限制开发建设活动的要求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允许开发建设活动的要求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不符合空间布局要求活动的退出要求</w:t>
            </w:r>
          </w:p>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其他空间布局约束要求</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本项目属于</w:t>
            </w:r>
            <w:r>
              <w:rPr>
                <w:rFonts w:hint="default"/>
                <w:color w:val="000000" w:themeColor="text1"/>
                <w:kern w:val="0"/>
                <w:sz w:val="21"/>
                <w:szCs w:val="21"/>
                <w14:textFill>
                  <w14:solidFill>
                    <w14:schemeClr w14:val="tx1"/>
                  </w14:solidFill>
                </w14:textFill>
              </w:rPr>
              <w:t>灌区</w:t>
            </w:r>
            <w:r>
              <w:rPr>
                <w:rFonts w:hint="eastAsia"/>
                <w:color w:val="000000" w:themeColor="text1"/>
                <w:kern w:val="0"/>
                <w:sz w:val="21"/>
                <w:szCs w:val="21"/>
                <w14:textFill>
                  <w14:solidFill>
                    <w14:schemeClr w14:val="tx1"/>
                  </w14:solidFill>
                </w14:textFill>
              </w:rPr>
              <w:t>渠道整治工程</w:t>
            </w:r>
            <w:r>
              <w:rPr>
                <w:rFonts w:hint="default"/>
                <w:color w:val="000000" w:themeColor="text1"/>
                <w:sz w:val="21"/>
                <w:szCs w:val="21"/>
                <w14:textFill>
                  <w14:solidFill>
                    <w14:schemeClr w14:val="tx1"/>
                  </w14:solidFill>
                </w14:textFill>
              </w:rPr>
              <w:t>，符合空间布局约束要求。</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污染物排放管控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城镇污水污染控制措施要求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1、提升污水收集率，完善城镇生活污水收集系统，推进城镇污水管网全覆盖；对进水情况出现明显异常的污水处理厂，开展片区管网系统化整治，现有污水处理厂进水生化需氧量</w:t>
            </w:r>
            <w:r>
              <w:rPr>
                <w:rFonts w:hint="eastAsia" w:eastAsia="宋体"/>
                <w:color w:val="000000" w:themeColor="text1"/>
                <w:sz w:val="21"/>
                <w14:textFill>
                  <w14:solidFill>
                    <w14:schemeClr w14:val="tx1"/>
                  </w14:solidFill>
                </w14:textFill>
              </w:rPr>
              <w:t>（</w:t>
            </w:r>
            <w:r>
              <w:rPr>
                <w:rFonts w:hint="default" w:eastAsia="宋体"/>
                <w:color w:val="000000" w:themeColor="text1"/>
                <w:sz w:val="21"/>
                <w14:textFill>
                  <w14:solidFill>
                    <w14:schemeClr w14:val="tx1"/>
                  </w14:solidFill>
                </w14:textFill>
              </w:rPr>
              <w:t>BOD</w:t>
            </w:r>
            <w:r>
              <w:rPr>
                <w:rFonts w:hint="eastAsia" w:eastAsia="宋体"/>
                <w:color w:val="000000" w:themeColor="text1"/>
                <w:sz w:val="21"/>
                <w14:textFill>
                  <w14:solidFill>
                    <w14:schemeClr w14:val="tx1"/>
                  </w14:solidFill>
                </w14:textFill>
              </w:rPr>
              <w:t>）</w:t>
            </w:r>
            <w:r>
              <w:rPr>
                <w:rFonts w:hint="default" w:eastAsia="宋体"/>
                <w:color w:val="000000" w:themeColor="text1"/>
                <w:sz w:val="21"/>
                <w14:textFill>
                  <w14:solidFill>
                    <w14:schemeClr w14:val="tx1"/>
                  </w14:solidFill>
                </w14:textFill>
              </w:rPr>
              <w:t>浓度低于100毫克/升的城市，要制定系统化整治方案；开展旱天生活污水直排口溯源治理。2、提升城镇生活污水处理能力，加快补齐处理能力缺口。3、加快推进城镇生活污水处理厂建设和改造，强化城镇污水处理设施运行管理，按要求达到《四川省岷江、沱江流域水污染物排放标准》排放限值。4、提升污水处理设施除磷水平，鼓励在污水处理厂排污口下游因地制宜建设人工湿地，推进达标尾水深度“去磷”。5、强化汛期生活污水溢流处理，推进城市建成区初期雨水收集处理及资源化利用设施建设。6、加强生活污水再生利用设施建设，在重点排污口下游、河流入湖口、支流入干流处，因地制宜实施区域再生水循环利用工程。7、落实《四川省城镇污水处理提质增效三年行动实施方案》，加快推进绕城内污水治理专项行动，组织开展绕城内市政排水管网、排水户内部管网排查检测和治理工作。</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工业废水污染控制措施要求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1、逐步推动城镇建成区企业向园区转移，现有企业废水应达标排放。2、对工业废水进入市政污水收集设施情况进行排查，组织开展评估，经评估认定污染物不能被城镇污水处理厂有效处理或可能影响污水处理厂出水稳定达标的，应限期退出。</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农业面源水污染控制措施要求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船舶港口水污染控制措施要求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饮用水水源和其它特殊水体保护要求</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本项目属于</w:t>
            </w:r>
            <w:r>
              <w:rPr>
                <w:rFonts w:hint="default"/>
                <w:color w:val="000000" w:themeColor="text1"/>
                <w:kern w:val="0"/>
                <w:sz w:val="21"/>
                <w:szCs w:val="21"/>
                <w14:textFill>
                  <w14:solidFill>
                    <w14:schemeClr w14:val="tx1"/>
                  </w14:solidFill>
                </w14:textFill>
              </w:rPr>
              <w:t>灌区</w:t>
            </w:r>
            <w:r>
              <w:rPr>
                <w:rFonts w:hint="eastAsia"/>
                <w:color w:val="000000" w:themeColor="text1"/>
                <w:kern w:val="0"/>
                <w:sz w:val="21"/>
                <w:szCs w:val="21"/>
                <w14:textFill>
                  <w14:solidFill>
                    <w14:schemeClr w14:val="tx1"/>
                  </w14:solidFill>
                </w14:textFill>
              </w:rPr>
              <w:t>渠道整治工程</w:t>
            </w: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运营期无废水、废气排放；施工期废水不外排，废气主要为施工扬尘，经处理后对外环境影响不大</w:t>
            </w: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环境风险防控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防范污水处理厂、加油站、其他物料堆存场所泄露风险，建立健全防泄漏设施，完善应急体系</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本项目属于</w:t>
            </w:r>
            <w:r>
              <w:rPr>
                <w:rFonts w:hint="default"/>
                <w:color w:val="000000" w:themeColor="text1"/>
                <w:kern w:val="0"/>
                <w:sz w:val="21"/>
                <w:szCs w:val="21"/>
                <w14:textFill>
                  <w14:solidFill>
                    <w14:schemeClr w14:val="tx1"/>
                  </w14:solidFill>
                </w14:textFill>
              </w:rPr>
              <w:t>灌区</w:t>
            </w:r>
            <w:r>
              <w:rPr>
                <w:rFonts w:hint="eastAsia"/>
                <w:color w:val="000000" w:themeColor="text1"/>
                <w:kern w:val="0"/>
                <w:sz w:val="21"/>
                <w:szCs w:val="21"/>
                <w14:textFill>
                  <w14:solidFill>
                    <w14:schemeClr w14:val="tx1"/>
                  </w14:solidFill>
                </w14:textFill>
              </w:rPr>
              <w:t>渠道整治工程，</w:t>
            </w:r>
            <w:r>
              <w:rPr>
                <w:rFonts w:hint="eastAsia"/>
                <w:color w:val="000000" w:themeColor="text1"/>
                <w:sz w:val="21"/>
                <w:szCs w:val="21"/>
                <w14:textFill>
                  <w14:solidFill>
                    <w14:schemeClr w14:val="tx1"/>
                  </w14:solidFill>
                </w14:textFill>
              </w:rPr>
              <w:t>施工期所需物料即用即购，不涉及物料堆存</w:t>
            </w: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资源开发效率要求</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restart"/>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新都区大气环境布局敏感重点管控区（YS5101142320001）、龙泉驿区大气环境布局敏感重点管控区（YS5101122320001）</w:t>
            </w: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空间布局约束</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禁止开发建设活动的要求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1、坚决遏制高耗能、高排放、低水平项目盲目发展，严格落实国家和四川省产业规划、产业政策、规划环评，以及产能置换、煤炭消费减量替代、区域污染物削减等要求，坚决叫停不符合要求的高耗能、高排放、低水平项目2、严禁新增钢铁、焦化、炼油、电解铝、水泥、平板玻璃（不含光伏玻璃）等产能</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限制开发建设活动的要求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允许开发建设活动的要求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不符合空间布局要求活动的退出要求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其他空间布局约束要求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本项目属于</w:t>
            </w:r>
            <w:r>
              <w:rPr>
                <w:rFonts w:hint="default"/>
                <w:color w:val="000000" w:themeColor="text1"/>
                <w:kern w:val="0"/>
                <w:sz w:val="21"/>
                <w:szCs w:val="21"/>
                <w14:textFill>
                  <w14:solidFill>
                    <w14:schemeClr w14:val="tx1"/>
                  </w14:solidFill>
                </w14:textFill>
              </w:rPr>
              <w:t>灌区</w:t>
            </w:r>
            <w:r>
              <w:rPr>
                <w:rFonts w:hint="eastAsia"/>
                <w:color w:val="000000" w:themeColor="text1"/>
                <w:kern w:val="0"/>
                <w:sz w:val="21"/>
                <w:szCs w:val="21"/>
                <w14:textFill>
                  <w14:solidFill>
                    <w14:schemeClr w14:val="tx1"/>
                  </w14:solidFill>
                </w14:textFill>
              </w:rPr>
              <w:t>渠道整治工程</w:t>
            </w:r>
            <w:r>
              <w:rPr>
                <w:rFonts w:hint="default"/>
                <w:color w:val="000000" w:themeColor="text1"/>
                <w:sz w:val="21"/>
                <w:szCs w:val="21"/>
                <w14:textFill>
                  <w14:solidFill>
                    <w14:schemeClr w14:val="tx1"/>
                  </w14:solidFill>
                </w14:textFill>
              </w:rPr>
              <w:t>，符合空间布局约束要求。</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污染物排放管控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大气环境质量执行标准</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《环境空气质量标准》（GB3095-2012）：二级</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区域大气污染物削减/替代要求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燃煤和其他能源大气污染控制要求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工业废气污染控制要求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机动车船大气污染控制要求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扬尘污染控制要求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农业生产经营活动大气污染控制要求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重点行业企业专项治理要求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其他大气污染物排放管控要求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本项目属于</w:t>
            </w:r>
            <w:r>
              <w:rPr>
                <w:rFonts w:hint="default"/>
                <w:color w:val="000000" w:themeColor="text1"/>
                <w:kern w:val="0"/>
                <w:sz w:val="21"/>
                <w:szCs w:val="21"/>
                <w14:textFill>
                  <w14:solidFill>
                    <w14:schemeClr w14:val="tx1"/>
                  </w14:solidFill>
                </w14:textFill>
              </w:rPr>
              <w:t>灌区</w:t>
            </w:r>
            <w:r>
              <w:rPr>
                <w:rFonts w:hint="eastAsia"/>
                <w:color w:val="000000" w:themeColor="text1"/>
                <w:kern w:val="0"/>
                <w:sz w:val="21"/>
                <w:szCs w:val="21"/>
                <w14:textFill>
                  <w14:solidFill>
                    <w14:schemeClr w14:val="tx1"/>
                  </w14:solidFill>
                </w14:textFill>
              </w:rPr>
              <w:t>渠道整治工程</w:t>
            </w: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符合</w:t>
            </w:r>
            <w:r>
              <w:rPr>
                <w:rFonts w:hint="default"/>
                <w:color w:val="000000" w:themeColor="text1"/>
                <w:sz w:val="21"/>
                <w:szCs w:val="21"/>
                <w14:textFill>
                  <w14:solidFill>
                    <w14:schemeClr w14:val="tx1"/>
                  </w14:solidFill>
                </w14:textFill>
              </w:rPr>
              <w:t>污染物排放管控</w:t>
            </w:r>
            <w:r>
              <w:rPr>
                <w:rFonts w:hint="eastAsia"/>
                <w:color w:val="000000" w:themeColor="text1"/>
                <w:sz w:val="21"/>
                <w:szCs w:val="21"/>
                <w14:textFill>
                  <w14:solidFill>
                    <w14:schemeClr w14:val="tx1"/>
                  </w14:solidFill>
                </w14:textFill>
              </w:rPr>
              <w:t>要求</w:t>
            </w: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环境风险防控</w:t>
            </w:r>
          </w:p>
        </w:tc>
        <w:tc>
          <w:tcPr>
            <w:tcW w:w="6310"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资源开发效率要求</w:t>
            </w:r>
          </w:p>
        </w:tc>
        <w:tc>
          <w:tcPr>
            <w:tcW w:w="6310"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restart"/>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新都区高污染燃料禁燃区（YS5101142540001）、龙泉驿区高污染燃料禁燃区（YS5101122540001）</w:t>
            </w: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空间布局约束</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坚决遏制“两高一低”项目盲目发展</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本项目属于</w:t>
            </w:r>
            <w:r>
              <w:rPr>
                <w:rFonts w:hint="default"/>
                <w:color w:val="000000" w:themeColor="text1"/>
                <w:kern w:val="0"/>
                <w:sz w:val="21"/>
                <w:szCs w:val="21"/>
                <w14:textFill>
                  <w14:solidFill>
                    <w14:schemeClr w14:val="tx1"/>
                  </w14:solidFill>
                </w14:textFill>
              </w:rPr>
              <w:t>灌区</w:t>
            </w:r>
            <w:r>
              <w:rPr>
                <w:rFonts w:hint="eastAsia"/>
                <w:color w:val="000000" w:themeColor="text1"/>
                <w:kern w:val="0"/>
                <w:sz w:val="21"/>
                <w:szCs w:val="21"/>
                <w14:textFill>
                  <w14:solidFill>
                    <w14:schemeClr w14:val="tx1"/>
                  </w14:solidFill>
                </w14:textFill>
              </w:rPr>
              <w:t>渠道整治工程</w:t>
            </w:r>
            <w:r>
              <w:rPr>
                <w:rFonts w:hint="default"/>
                <w:color w:val="000000" w:themeColor="text1"/>
                <w:sz w:val="21"/>
                <w:szCs w:val="21"/>
                <w14:textFill>
                  <w14:solidFill>
                    <w14:schemeClr w14:val="tx1"/>
                  </w14:solidFill>
                </w14:textFill>
              </w:rPr>
              <w:t>，符合空间布局约束要求。</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污染物排放管控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本项目属于</w:t>
            </w:r>
            <w:r>
              <w:rPr>
                <w:rFonts w:hint="default"/>
                <w:color w:val="000000" w:themeColor="text1"/>
                <w:kern w:val="0"/>
                <w:sz w:val="21"/>
                <w:szCs w:val="21"/>
                <w14:textFill>
                  <w14:solidFill>
                    <w14:schemeClr w14:val="tx1"/>
                  </w14:solidFill>
                </w14:textFill>
              </w:rPr>
              <w:t>灌区</w:t>
            </w:r>
            <w:r>
              <w:rPr>
                <w:rFonts w:hint="eastAsia"/>
                <w:color w:val="000000" w:themeColor="text1"/>
                <w:kern w:val="0"/>
                <w:sz w:val="21"/>
                <w:szCs w:val="21"/>
                <w14:textFill>
                  <w14:solidFill>
                    <w14:schemeClr w14:val="tx1"/>
                  </w14:solidFill>
                </w14:textFill>
              </w:rPr>
              <w:t>渠道整治工程</w:t>
            </w:r>
            <w:r>
              <w:rPr>
                <w:rFonts w:hint="default"/>
                <w:color w:val="000000" w:themeColor="text1"/>
                <w:sz w:val="21"/>
                <w:szCs w:val="21"/>
                <w14:textFill>
                  <w14:solidFill>
                    <w14:schemeClr w14:val="tx1"/>
                  </w14:solidFill>
                </w14:textFill>
              </w:rPr>
              <w:t>，为非污染生态项目</w:t>
            </w:r>
            <w:r>
              <w:rPr>
                <w:rStyle w:val="43"/>
                <w:rFonts w:hint="default"/>
                <w:color w:val="000000" w:themeColor="text1"/>
                <w:kern w:val="28"/>
                <w14:textFill>
                  <w14:solidFill>
                    <w14:schemeClr w14:val="tx1"/>
                  </w14:solidFill>
                </w14:textFill>
              </w:rPr>
              <w:t>，符合污染物排放管控要求</w:t>
            </w: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环境风险防控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资源开发效率要求</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土地资源开发效率要求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能源资源开发效率要求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能源消耗、污染物排放不得超过能源利用上线控制性指标。</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其他资源开发效率要求</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r>
              <w:rPr>
                <w:rFonts w:hint="default"/>
                <w:bCs/>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restart"/>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新都区自然资源重点管控区（YS5101142550001）、龙泉驿区自然资源重点管控区（YS5101122550001）</w:t>
            </w: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空间布局约束</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污染物排放管控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环境风险防控</w:t>
            </w:r>
          </w:p>
        </w:tc>
        <w:tc>
          <w:tcPr>
            <w:tcW w:w="6310"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资源开发效率要求</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土地资源开发效率要求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能源资源开发效率要求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其他资源开发效率要求</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restart"/>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环城生态区(ZH51010710002)</w:t>
            </w: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空间布局约束</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禁止开发建设活动的要求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执行优先保护单元普适性管控要求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限制开发建设活动的要求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允许开发建设活动的要求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不符合空间布局要求活动的退出要求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执行优先保护单元普适性管控要求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其他空间布局约束要求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污染物排放管控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现有源提标升级改造</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新增源等量或倍量替代</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新增源排放标准限值</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污染物排放绩效水平准入要求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其他污染物排放管控要求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环境风险防控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严格管控类农用地管控要求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安全利用类农用地管控要求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污染地块管控要求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园区环境风险防控要求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企业环境风险防控要求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建设用地风险管控与修复地块企业应严格执行《中华人民共和国土壤污染防治法》、《工矿用地土壤环境管理办法（试行）》、《土壤污染防治行动计划四川省工作方案》、《关于加强涉重金属行业污染防控的意见》、《四川省污染地块土壤环境管理办法》等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其他环境风险防控要求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资源开发效率要求</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水资源利用效率要求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地下水开采要求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能源利用效率要求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其他资源利用效率要求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restart"/>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龙泉花果山风景名胜区、四川龙泉湖自然保护区、龙泉驿区东风渠东干渠麻石桥水源保护区、龙泉驿水一厂宝狮湖饮用水源地、石盘水库、成都市龙泉驿区东风渠、东干渠麻石桥集中式饮、龙泉山城市森林公园、龙泉驿区自来水二厂集中式饮用水水源保护区（ZH51011210002）</w:t>
            </w: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空间布局约束</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禁止开发建设活动的要求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执行优先保护单元普适性管控要求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限制开发建设活动的要求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执行优先保护单元普适性管控要求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允许开发建设活动的要求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执行优先保护单元普适性管控要求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不符合空间布局要求活动的退出要求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执行优先保护单元普适性管控要求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其他空间布局约束要求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污染物排放管控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现有源提标升级改造</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新增源等量或倍量替代</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新增源排放标准限值</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污染物排放绩效水平准入要求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其他污染物排放管控要求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环境风险防控</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严格管控类农用地管控要求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安全利用类农用地管控要求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污染地块管控要求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园区环境风险防控要求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企业环境风险防控要求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其他环境风险防控要求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4"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bCs/>
                <w:color w:val="000000" w:themeColor="text1"/>
                <w:sz w:val="21"/>
                <w:szCs w:val="21"/>
                <w14:textFill>
                  <w14:solidFill>
                    <w14:schemeClr w14:val="tx1"/>
                  </w14:solidFill>
                </w14:textFill>
              </w:rPr>
            </w:pPr>
          </w:p>
        </w:tc>
        <w:tc>
          <w:tcPr>
            <w:tcW w:w="1251" w:type="dxa"/>
            <w:vMerge w:val="continue"/>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p>
        </w:tc>
        <w:tc>
          <w:tcPr>
            <w:tcW w:w="1492"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kern w:val="0"/>
                <w:sz w:val="21"/>
                <w:szCs w:val="21"/>
                <w14:textFill>
                  <w14:solidFill>
                    <w14:schemeClr w14:val="tx1"/>
                  </w14:solidFill>
                </w14:textFill>
              </w:rPr>
            </w:pPr>
            <w:r>
              <w:rPr>
                <w:rFonts w:hint="default"/>
                <w:color w:val="000000" w:themeColor="text1"/>
                <w:sz w:val="21"/>
                <w:szCs w:val="21"/>
                <w14:textFill>
                  <w14:solidFill>
                    <w14:schemeClr w14:val="tx1"/>
                  </w14:solidFill>
                </w14:textFill>
              </w:rPr>
              <w:t>资源开发效率要求</w:t>
            </w:r>
          </w:p>
        </w:tc>
        <w:tc>
          <w:tcPr>
            <w:tcW w:w="6310" w:type="dxa"/>
            <w:tcBorders>
              <w:tl2br w:val="nil"/>
              <w:tr2bl w:val="nil"/>
            </w:tcBorders>
            <w:vAlign w:val="center"/>
          </w:tcPr>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水资源利用效率要求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地下水开采要求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能源利用效率要求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其他资源利用效率要求</w:t>
            </w:r>
          </w:p>
          <w:p>
            <w:pPr>
              <w:pStyle w:val="135"/>
              <w:keepNext w:val="0"/>
              <w:keepLines w:val="0"/>
              <w:widowControl/>
              <w:suppressLineNumbers w:val="0"/>
              <w:shd w:val="clear" w:color="auto" w:fill="FFFFFF"/>
              <w:adjustRightInd w:val="0"/>
              <w:snapToGrid w:val="0"/>
              <w:spacing w:before="0" w:beforeAutospacing="0" w:after="0" w:afterAutospacing="0" w:line="240" w:lineRule="auto"/>
              <w:ind w:left="0" w:right="0" w:firstLine="0" w:firstLineChars="0"/>
              <w:rPr>
                <w:rFonts w:hint="default" w:eastAsia="宋体"/>
                <w:color w:val="000000" w:themeColor="text1"/>
                <w:sz w:val="21"/>
                <w14:textFill>
                  <w14:solidFill>
                    <w14:schemeClr w14:val="tx1"/>
                  </w14:solidFill>
                </w14:textFill>
              </w:rPr>
            </w:pPr>
            <w:r>
              <w:rPr>
                <w:rFonts w:hint="default" w:eastAsia="宋体"/>
                <w:color w:val="000000" w:themeColor="text1"/>
                <w:sz w:val="21"/>
                <w14:textFill>
                  <w14:solidFill>
                    <w14:schemeClr w14:val="tx1"/>
                  </w14:solidFill>
                </w14:textFill>
              </w:rPr>
              <w:t>/</w:t>
            </w:r>
          </w:p>
        </w:tc>
        <w:tc>
          <w:tcPr>
            <w:tcW w:w="3327"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15" w:type="dxa"/>
            <w:tcBorders>
              <w:tl2br w:val="nil"/>
              <w:tr2bl w:val="nil"/>
            </w:tcBorders>
            <w:vAlign w:val="center"/>
          </w:tcPr>
          <w:p>
            <w:pPr>
              <w:pStyle w:val="14"/>
              <w:keepNext w:val="0"/>
              <w:keepLines w:val="0"/>
              <w:widowControl/>
              <w:suppressLineNumbers w:val="0"/>
              <w:autoSpaceDE/>
              <w:autoSpaceDN/>
              <w:adjustRightInd w:val="0"/>
              <w:snapToGrid w:val="0"/>
              <w:spacing w:before="0" w:beforeAutospacing="0" w:after="0" w:afterAutospacing="0"/>
              <w:ind w:left="0" w:right="0"/>
              <w:jc w:val="both"/>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419" w:type="dxa"/>
            <w:gridSpan w:val="6"/>
            <w:tcBorders>
              <w:tl2br w:val="nil"/>
              <w:tr2bl w:val="nil"/>
            </w:tcBorders>
            <w:vAlign w:val="center"/>
          </w:tcPr>
          <w:p>
            <w:pPr>
              <w:pStyle w:val="14"/>
              <w:keepNext w:val="0"/>
              <w:keepLines w:val="0"/>
              <w:suppressLineNumbers w:val="0"/>
              <w:spacing w:before="0" w:beforeAutospacing="0" w:after="0" w:afterAutospacing="0" w:line="360" w:lineRule="auto"/>
              <w:ind w:left="0" w:right="0"/>
              <w:jc w:val="both"/>
              <w:rPr>
                <w:rFonts w:hint="default"/>
                <w:bCs/>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综上，本项目的建设符合生态环境准入清单。</w:t>
            </w:r>
          </w:p>
        </w:tc>
      </w:tr>
    </w:tbl>
    <w:p>
      <w:pPr>
        <w:rPr>
          <w:color w:val="000000" w:themeColor="text1"/>
          <w14:textFill>
            <w14:solidFill>
              <w14:schemeClr w14:val="tx1"/>
            </w14:solidFill>
          </w14:textFill>
        </w:rPr>
      </w:pPr>
    </w:p>
    <w:p>
      <w:pPr>
        <w:pStyle w:val="14"/>
        <w:spacing w:line="360" w:lineRule="auto"/>
        <w:ind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综上所述，经过与“三线一单"进行对照后，项目不在生态保护红线内、未超出环境质量底线、资源利用上线、未列入环境准入负面清单内。</w:t>
      </w:r>
    </w:p>
    <w:p>
      <w:pPr>
        <w:ind w:firstLine="480"/>
        <w:jc w:val="center"/>
        <w:rPr>
          <w:b/>
          <w:bCs/>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sectPr>
          <w:footerReference r:id="rId8" w:type="default"/>
          <w:pgSz w:w="16840" w:h="11910" w:orient="landscape"/>
          <w:pgMar w:top="1440" w:right="1360" w:bottom="1420" w:left="1280" w:header="882" w:footer="1097" w:gutter="0"/>
          <w:pgBorders>
            <w:top w:val="none" w:sz="0" w:space="0"/>
            <w:left w:val="none" w:sz="0" w:space="0"/>
            <w:bottom w:val="none" w:sz="0" w:space="0"/>
            <w:right w:val="none" w:sz="0" w:space="0"/>
          </w:pgBorders>
          <w:pgNumType w:fmt="decimal"/>
          <w:cols w:space="720" w:num="1"/>
        </w:sectPr>
      </w:pPr>
    </w:p>
    <w:p>
      <w:pPr>
        <w:pStyle w:val="3"/>
        <w:spacing w:line="360" w:lineRule="auto"/>
        <w:ind w:left="0" w:firstLine="640"/>
        <w:rPr>
          <w:rFonts w:eastAsia="黑体"/>
          <w:color w:val="000000" w:themeColor="text1"/>
          <w14:textFill>
            <w14:solidFill>
              <w14:schemeClr w14:val="tx1"/>
            </w14:solidFill>
          </w14:textFill>
        </w:rPr>
      </w:pPr>
      <w:bookmarkStart w:id="227" w:name="_Toc27962"/>
      <w:bookmarkStart w:id="228" w:name="_Toc18560"/>
      <w:bookmarkStart w:id="229" w:name="_Toc8821"/>
      <w:bookmarkStart w:id="230" w:name="_Toc70496246"/>
      <w:bookmarkStart w:id="231" w:name="_Toc1642"/>
      <w:bookmarkStart w:id="232" w:name="_Toc17119"/>
      <w:bookmarkStart w:id="233" w:name="_Toc1412"/>
      <w:bookmarkStart w:id="234" w:name="_Toc10984"/>
      <w:bookmarkStart w:id="235" w:name="_Toc70496242"/>
      <w:bookmarkStart w:id="236" w:name="_Toc14416"/>
      <w:bookmarkStart w:id="237" w:name="_Toc12871"/>
      <w:r>
        <w:rPr>
          <w:rFonts w:eastAsia="黑体"/>
          <w:color w:val="000000" w:themeColor="text1"/>
          <w14:textFill>
            <w14:solidFill>
              <w14:schemeClr w14:val="tx1"/>
            </w14:solidFill>
          </w14:textFill>
        </w:rPr>
        <w:t>1.1</w:t>
      </w:r>
      <w:r>
        <w:rPr>
          <w:rFonts w:hint="eastAsia" w:eastAsia="黑体"/>
          <w:color w:val="000000" w:themeColor="text1"/>
          <w14:textFill>
            <w14:solidFill>
              <w14:schemeClr w14:val="tx1"/>
            </w14:solidFill>
          </w14:textFill>
        </w:rPr>
        <w:t>0</w:t>
      </w:r>
      <w:r>
        <w:rPr>
          <w:rFonts w:eastAsia="黑体"/>
          <w:color w:val="000000" w:themeColor="text1"/>
          <w14:textFill>
            <w14:solidFill>
              <w14:schemeClr w14:val="tx1"/>
            </w14:solidFill>
          </w14:textFill>
        </w:rPr>
        <w:t>项目外环境关系</w:t>
      </w:r>
      <w:bookmarkEnd w:id="227"/>
      <w:bookmarkEnd w:id="228"/>
      <w:bookmarkEnd w:id="229"/>
      <w:bookmarkEnd w:id="230"/>
      <w:bookmarkEnd w:id="231"/>
      <w:bookmarkEnd w:id="232"/>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38" w:name="_Toc29785"/>
      <w:bookmarkStart w:id="239" w:name="_Toc70496247"/>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.1项目外环境关系</w:t>
      </w:r>
      <w:bookmarkEnd w:id="238"/>
      <w:bookmarkEnd w:id="239"/>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共涉及5条渠道，分别为北一支渠、董家堰补水渠（上）、董家堰补水渠（下）、南五支渠和南六支渠</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共</w:t>
      </w:r>
      <w:r>
        <w:rPr>
          <w:rFonts w:hint="eastAsia"/>
          <w:color w:val="000000" w:themeColor="text1"/>
          <w:lang w:eastAsia="zh-CN"/>
          <w14:textFill>
            <w14:solidFill>
              <w14:schemeClr w14:val="tx1"/>
            </w14:solidFill>
          </w14:textFill>
        </w:rPr>
        <w:t>6732m</w:t>
      </w:r>
      <w:r>
        <w:rPr>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调查，北一支渠下游北侧约13m、董家堰补水渠（上）西侧约61m、董家堰补水渠（下）西北侧约138m为居民小区（保利湖心岛、保利观湖、保利碧湖苑），北一支渠终点隔成金青快速通道为在建工地。项目南五支渠（起点至G4202）、南六支渠（起点至G4202）位于龙泉花果山风景名胜区三级保护区内，其周边200m范围内均不存在学校、医院等敏感点；其中南五支渠西侧约382m为明蜀王陵（龙泉驿区）一类建设控制地带范围。南五、南六支渠起点西侧约27m为东风渠干渠，南五支渠起点至下游约11m、南六支渠起点至下游约20m位于成都市龙泉驿区东风渠、东干渠麻石桥集中式饮用水水源保护区准保护区陆域保护范围内（</w:t>
      </w:r>
      <w:r>
        <w:rPr>
          <w:color w:val="000000" w:themeColor="text1"/>
          <w14:textFill>
            <w14:solidFill>
              <w14:schemeClr w14:val="tx1"/>
            </w14:solidFill>
          </w14:textFill>
        </w:rPr>
        <w:t>准保护区水域边界沿两岸纵深至分水岭但不小于18米、不大于50米的陆域范围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项目外环境关系见附图2-1、附图2-2。</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40" w:name="_Toc70496248"/>
      <w:bookmarkStart w:id="241" w:name="_Toc21931"/>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临时堆土场</w:t>
      </w:r>
      <w:r>
        <w:rPr>
          <w:rFonts w:ascii="Times New Roman" w:hAnsi="Times New Roman" w:cs="Times New Roman"/>
          <w:color w:val="000000" w:themeColor="text1"/>
          <w14:textFill>
            <w14:solidFill>
              <w14:schemeClr w14:val="tx1"/>
            </w14:solidFill>
          </w14:textFill>
        </w:rPr>
        <w:t>外环境关系</w:t>
      </w:r>
      <w:bookmarkEnd w:id="240"/>
      <w:bookmarkEnd w:id="241"/>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本项目拟设置</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处</w:t>
      </w:r>
      <w:r>
        <w:rPr>
          <w:rFonts w:hint="eastAsia"/>
          <w:color w:val="000000" w:themeColor="text1"/>
          <w14:textFill>
            <w14:solidFill>
              <w14:schemeClr w14:val="tx1"/>
            </w14:solidFill>
          </w14:textFill>
        </w:rPr>
        <w:t>临时堆土场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董家堰临时堆土场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104.168976245</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30.731823784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；依托环城生态区农田综合整治工程项目中1个余土摊平处理区，南五、南六余土摊平处理区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104.200197158</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30.680432659</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董家堰临时堆土场位于位于新都</w:t>
      </w:r>
      <w:r>
        <w:rPr>
          <w:color w:val="000000" w:themeColor="text1"/>
          <w:spacing w:val="-2"/>
          <w14:textFill>
            <w14:solidFill>
              <w14:schemeClr w14:val="tx1"/>
            </w14:solidFill>
          </w14:textFill>
        </w:rPr>
        <w:t>区北支一渠狮子湖水库南侧河段以南区域</w:t>
      </w:r>
      <w:r>
        <w:rPr>
          <w:rFonts w:hint="eastAsia"/>
          <w:color w:val="000000" w:themeColor="text1"/>
          <w:spacing w:val="-2"/>
          <w14:textFill>
            <w14:solidFill>
              <w14:schemeClr w14:val="tx1"/>
            </w14:solidFill>
          </w14:textFill>
        </w:rPr>
        <w:t>，紧邻北支一渠，周边200m范围</w:t>
      </w:r>
      <w:r>
        <w:rPr>
          <w:rFonts w:hint="eastAsia"/>
          <w:color w:val="000000" w:themeColor="text1"/>
          <w14:textFill>
            <w14:solidFill>
              <w14:schemeClr w14:val="tx1"/>
            </w14:solidFill>
          </w14:textFill>
        </w:rPr>
        <w:t>不存在学校、医院等敏感点。南五、南六余土摊平处理区位于</w:t>
      </w:r>
      <w:r>
        <w:rPr>
          <w:color w:val="000000" w:themeColor="text1"/>
          <w14:textFill>
            <w14:solidFill>
              <w14:schemeClr w14:val="tx1"/>
            </w14:solidFill>
          </w14:textFill>
        </w:rPr>
        <w:t>龙泉驿区东风路与绕城高</w:t>
      </w:r>
      <w:r>
        <w:rPr>
          <w:color w:val="000000" w:themeColor="text1"/>
          <w:spacing w:val="-5"/>
          <w14:textFill>
            <w14:solidFill>
              <w14:schemeClr w14:val="tx1"/>
            </w14:solidFill>
          </w14:textFill>
        </w:rPr>
        <w:t>速交汇处西北</w:t>
      </w:r>
      <w:r>
        <w:rPr>
          <w:rFonts w:hint="eastAsia"/>
          <w:color w:val="000000" w:themeColor="text1"/>
          <w:spacing w:val="-5"/>
          <w14:textFill>
            <w14:solidFill>
              <w14:schemeClr w14:val="tx1"/>
            </w14:solidFill>
          </w14:textFill>
        </w:rPr>
        <w:t>方，现状为一洼地，西侧约180m为一施工场地，堆土场周边200m范围内不存在</w:t>
      </w:r>
      <w:r>
        <w:rPr>
          <w:rFonts w:hint="eastAsia"/>
          <w:color w:val="000000" w:themeColor="text1"/>
          <w14:textFill>
            <w14:solidFill>
              <w14:schemeClr w14:val="tx1"/>
            </w14:solidFill>
          </w14:textFill>
        </w:rPr>
        <w:t>学校、医院、居民区等敏感点。</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临时堆土场</w:t>
      </w:r>
      <w:r>
        <w:rPr>
          <w:color w:val="000000" w:themeColor="text1"/>
          <w14:textFill>
            <w14:solidFill>
              <w14:schemeClr w14:val="tx1"/>
            </w14:solidFill>
          </w14:textFill>
        </w:rPr>
        <w:t>距离居民区较</w:t>
      </w:r>
      <w:r>
        <w:rPr>
          <w:rFonts w:hint="eastAsia"/>
          <w:color w:val="000000" w:themeColor="text1"/>
          <w14:textFill>
            <w14:solidFill>
              <w14:schemeClr w14:val="tx1"/>
            </w14:solidFill>
          </w14:textFill>
        </w:rPr>
        <w:t>远，施工过程中，</w:t>
      </w:r>
      <w:r>
        <w:rPr>
          <w:color w:val="000000" w:themeColor="text1"/>
          <w14:textFill>
            <w14:solidFill>
              <w14:schemeClr w14:val="tx1"/>
            </w14:solidFill>
          </w14:textFill>
        </w:rPr>
        <w:t>通用围挡遮盖、场地及砂料应洒水抑尘</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及喷洒除臭剂</w:t>
      </w:r>
      <w:r>
        <w:rPr>
          <w:rFonts w:hint="eastAsia"/>
          <w:color w:val="000000" w:themeColor="text1"/>
          <w14:textFill>
            <w14:solidFill>
              <w14:schemeClr w14:val="tx1"/>
            </w14:solidFill>
          </w14:textFill>
        </w:rPr>
        <w:t>等措施，对临时堆土场废气进行治理，</w:t>
      </w:r>
      <w:r>
        <w:rPr>
          <w:color w:val="000000" w:themeColor="text1"/>
          <w:kern w:val="0"/>
          <w:szCs w:val="20"/>
          <w14:textFill>
            <w14:solidFill>
              <w14:schemeClr w14:val="tx1"/>
            </w14:solidFill>
          </w14:textFill>
        </w:rPr>
        <w:t>对周边环境影响较小</w:t>
      </w:r>
      <w:r>
        <w:rPr>
          <w:rFonts w:hint="eastAsia"/>
          <w:color w:val="000000" w:themeColor="text1"/>
          <w:kern w:val="0"/>
          <w:szCs w:val="20"/>
          <w14:textFill>
            <w14:solidFill>
              <w14:schemeClr w14:val="tx1"/>
            </w14:solidFill>
          </w14:textFill>
        </w:rPr>
        <w:t>。</w:t>
      </w:r>
      <w:r>
        <w:rPr>
          <w:rFonts w:hint="eastAsia"/>
          <w:color w:val="000000" w:themeColor="text1"/>
          <w14:textFill>
            <w14:solidFill>
              <w14:schemeClr w14:val="tx1"/>
            </w14:solidFill>
          </w14:textFill>
        </w:rPr>
        <w:t>南五、南六余土摊平处理区南侧约3km为花果山风景名胜区三级保护区，距离较远，不会对其造成影响。项目临时堆土场依托余土摊平处理区</w:t>
      </w:r>
      <w:r>
        <w:rPr>
          <w:color w:val="000000" w:themeColor="text1"/>
          <w14:textFill>
            <w14:solidFill>
              <w14:schemeClr w14:val="tx1"/>
            </w14:solidFill>
          </w14:textFill>
        </w:rPr>
        <w:t>周围不</w:t>
      </w:r>
      <w:r>
        <w:rPr>
          <w:bCs/>
          <w:color w:val="000000" w:themeColor="text1"/>
          <w14:textFill>
            <w14:solidFill>
              <w14:schemeClr w14:val="tx1"/>
            </w14:solidFill>
          </w14:textFill>
        </w:rPr>
        <w:t>涉及自然保护区、风景名胜区、文物保护建筑物等特殊敏感区域，外环境较为简单。</w:t>
      </w:r>
      <w:r>
        <w:rPr>
          <w:color w:val="000000" w:themeColor="text1"/>
          <w14:textFill>
            <w14:solidFill>
              <w14:schemeClr w14:val="tx1"/>
            </w14:solidFill>
          </w14:textFill>
        </w:rPr>
        <w:t>本项目外环境关系详见</w:t>
      </w:r>
      <w:r>
        <w:rPr>
          <w:rFonts w:hint="eastAsia"/>
          <w:color w:val="000000" w:themeColor="text1"/>
          <w14:textFill>
            <w14:solidFill>
              <w14:schemeClr w14:val="tx1"/>
            </w14:solidFill>
          </w14:textFill>
        </w:rPr>
        <w:t>附图2-3</w:t>
      </w:r>
      <w:r>
        <w:rPr>
          <w:color w:val="000000" w:themeColor="text1"/>
          <w14:textFill>
            <w14:solidFill>
              <w14:schemeClr w14:val="tx1"/>
            </w14:solidFill>
          </w14:textFill>
        </w:rPr>
        <w:t>。</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42" w:name="_Toc20582"/>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3施工工区</w:t>
      </w:r>
      <w:r>
        <w:rPr>
          <w:rFonts w:ascii="Times New Roman" w:hAnsi="Times New Roman" w:cs="Times New Roman"/>
          <w:color w:val="000000" w:themeColor="text1"/>
          <w14:textFill>
            <w14:solidFill>
              <w14:schemeClr w14:val="tx1"/>
            </w14:solidFill>
          </w14:textFill>
        </w:rPr>
        <w:t>外环境关系</w:t>
      </w:r>
      <w:bookmarkEnd w:id="242"/>
    </w:p>
    <w:p>
      <w:pPr>
        <w:pStyle w:val="14"/>
        <w:spacing w:line="360" w:lineRule="auto"/>
        <w:ind w:firstLine="480" w:firstLineChars="200"/>
        <w:jc w:val="both"/>
        <w:rPr>
          <w:rFonts w:eastAsia="宋"/>
          <w:color w:val="000000" w:themeColor="text1"/>
          <w14:textFill>
            <w14:solidFill>
              <w14:schemeClr w14:val="tx1"/>
            </w14:solidFill>
          </w14:textFill>
        </w:rPr>
      </w:pPr>
      <w:r>
        <w:rPr>
          <w:rFonts w:hint="eastAsia"/>
          <w:color w:val="000000" w:themeColor="text1"/>
          <w14:textFill>
            <w14:solidFill>
              <w14:schemeClr w14:val="tx1"/>
            </w14:solidFill>
          </w14:textFill>
        </w:rPr>
        <w:t>本项目在瓦子堰与遂成线-成昆线铁路交叉处东侧（</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104.196837837，</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30.682346370）设置1个施工工区，占地面积约4000m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，工区东南侧约78m为南五、南六临时堆土场；工区主要由综合加工厂（包括木材和钢筋加工厂）、综合仓库、机械停放场等组成。根据现场调查，项目施工工区200m范围内无居民、学校、医院等敏感点</w:t>
      </w:r>
      <w:r>
        <w:rPr>
          <w:bCs/>
          <w:color w:val="000000" w:themeColor="text1"/>
          <w14:textFill>
            <w14:solidFill>
              <w14:schemeClr w14:val="tx1"/>
            </w14:solidFill>
          </w14:textFill>
        </w:rPr>
        <w:t>，外环境较为简单</w:t>
      </w:r>
      <w:r>
        <w:rPr>
          <w:rFonts w:hint="eastAsia"/>
          <w:bCs/>
          <w:color w:val="000000" w:themeColor="text1"/>
          <w14:textFill>
            <w14:solidFill>
              <w14:schemeClr w14:val="tx1"/>
            </w14:solidFill>
          </w14:textFill>
        </w:rPr>
        <w:t>。</w:t>
      </w:r>
      <w:bookmarkEnd w:id="233"/>
      <w:bookmarkEnd w:id="234"/>
      <w:bookmarkEnd w:id="235"/>
      <w:bookmarkEnd w:id="236"/>
      <w:bookmarkEnd w:id="237"/>
    </w:p>
    <w:p>
      <w:pPr>
        <w:pStyle w:val="3"/>
        <w:spacing w:line="360" w:lineRule="auto"/>
        <w:ind w:left="0" w:firstLine="640"/>
        <w:rPr>
          <w:rFonts w:eastAsia="黑体"/>
          <w:color w:val="000000" w:themeColor="text1"/>
          <w14:textFill>
            <w14:solidFill>
              <w14:schemeClr w14:val="tx1"/>
            </w14:solidFill>
          </w14:textFill>
        </w:rPr>
      </w:pPr>
      <w:bookmarkStart w:id="243" w:name="2.6评价等级、重点和范围."/>
      <w:bookmarkEnd w:id="243"/>
      <w:bookmarkStart w:id="244" w:name="2.7环境保护目标"/>
      <w:bookmarkEnd w:id="244"/>
      <w:bookmarkStart w:id="245" w:name="2.4.1.4声环境质量标准"/>
      <w:bookmarkEnd w:id="245"/>
      <w:bookmarkStart w:id="246" w:name="_bookmark21"/>
      <w:bookmarkEnd w:id="246"/>
      <w:bookmarkStart w:id="247" w:name="2.4.1环境质量标准"/>
      <w:bookmarkEnd w:id="247"/>
      <w:bookmarkStart w:id="248" w:name="_bookmark27"/>
      <w:bookmarkEnd w:id="248"/>
      <w:bookmarkStart w:id="249" w:name="_bookmark31"/>
      <w:bookmarkEnd w:id="249"/>
      <w:bookmarkStart w:id="250" w:name="_Toc14024"/>
      <w:bookmarkStart w:id="251" w:name="_Toc23420"/>
      <w:bookmarkStart w:id="252" w:name="_Toc70496249"/>
      <w:bookmarkStart w:id="253" w:name="_Toc10718"/>
      <w:bookmarkStart w:id="254" w:name="_Toc17487"/>
      <w:bookmarkStart w:id="255" w:name="_Toc32236"/>
      <w:r>
        <w:rPr>
          <w:rFonts w:eastAsia="黑体"/>
          <w:color w:val="000000" w:themeColor="text1"/>
          <w14:textFill>
            <w14:solidFill>
              <w14:schemeClr w14:val="tx1"/>
            </w14:solidFill>
          </w14:textFill>
        </w:rPr>
        <w:t>1.1</w:t>
      </w:r>
      <w:r>
        <w:rPr>
          <w:rFonts w:hint="eastAsia" w:eastAsia="黑体"/>
          <w:color w:val="000000" w:themeColor="text1"/>
          <w14:textFill>
            <w14:solidFill>
              <w14:schemeClr w14:val="tx1"/>
            </w14:solidFill>
          </w14:textFill>
        </w:rPr>
        <w:t>1</w:t>
      </w:r>
      <w:r>
        <w:rPr>
          <w:rFonts w:eastAsia="黑体"/>
          <w:color w:val="000000" w:themeColor="text1"/>
          <w14:textFill>
            <w14:solidFill>
              <w14:schemeClr w14:val="tx1"/>
            </w14:solidFill>
          </w14:textFill>
        </w:rPr>
        <w:t>环境保护目标</w:t>
      </w:r>
      <w:bookmarkEnd w:id="250"/>
      <w:bookmarkEnd w:id="251"/>
      <w:bookmarkEnd w:id="252"/>
      <w:bookmarkEnd w:id="253"/>
      <w:bookmarkEnd w:id="254"/>
      <w:bookmarkEnd w:id="255"/>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56" w:name="_Toc12425"/>
      <w:bookmarkStart w:id="257" w:name="_Toc15922"/>
      <w:bookmarkStart w:id="258" w:name="_Toc15288"/>
      <w:bookmarkStart w:id="259" w:name="_Toc27000"/>
      <w:bookmarkStart w:id="260" w:name="_Toc26567"/>
      <w:bookmarkStart w:id="261" w:name="_Toc70496250"/>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.1环境空气保护目标</w:t>
      </w:r>
      <w:bookmarkEnd w:id="256"/>
      <w:bookmarkEnd w:id="257"/>
      <w:bookmarkEnd w:id="258"/>
      <w:bookmarkEnd w:id="259"/>
      <w:bookmarkEnd w:id="260"/>
      <w:bookmarkEnd w:id="261"/>
    </w:p>
    <w:p>
      <w:pPr>
        <w:pStyle w:val="14"/>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经现场踏勘，本项目评价区域内主要的环境空气保护目标为周边</w:t>
      </w:r>
      <w:r>
        <w:rPr>
          <w:rFonts w:hint="eastAsia"/>
          <w:color w:val="000000" w:themeColor="text1"/>
          <w14:textFill>
            <w14:solidFill>
              <w14:schemeClr w14:val="tx1"/>
            </w14:solidFill>
          </w14:textFill>
        </w:rPr>
        <w:t>少量居民</w:t>
      </w:r>
      <w:r>
        <w:rPr>
          <w:color w:val="000000" w:themeColor="text1"/>
          <w14:textFill>
            <w14:solidFill>
              <w14:schemeClr w14:val="tx1"/>
            </w14:solidFill>
          </w14:textFill>
        </w:rPr>
        <w:t>。环境空气保护目标分布情况见表1.1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表1.1</w:t>
      </w:r>
      <w:r>
        <w:rPr>
          <w:rFonts w:hint="eastAsia" w:eastAsia="黑体"/>
          <w:color w:val="000000" w:themeColor="text1"/>
          <w:szCs w:val="21"/>
          <w14:textFill>
            <w14:solidFill>
              <w14:schemeClr w14:val="tx1"/>
            </w14:solidFill>
          </w14:textFill>
        </w:rPr>
        <w:t>1</w:t>
      </w:r>
      <w:r>
        <w:rPr>
          <w:rFonts w:eastAsia="黑体"/>
          <w:color w:val="000000" w:themeColor="text1"/>
          <w:szCs w:val="21"/>
          <w14:textFill>
            <w14:solidFill>
              <w14:schemeClr w14:val="tx1"/>
            </w14:solidFill>
          </w14:textFill>
        </w:rPr>
        <w:t>-1环境空气保护目标</w:t>
      </w:r>
    </w:p>
    <w:tbl>
      <w:tblPr>
        <w:tblStyle w:val="39"/>
        <w:tblW w:w="499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157"/>
        <w:gridCol w:w="1019"/>
        <w:gridCol w:w="1089"/>
        <w:gridCol w:w="1265"/>
        <w:gridCol w:w="503"/>
        <w:gridCol w:w="476"/>
        <w:gridCol w:w="977"/>
        <w:gridCol w:w="6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685"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所属渠段</w:t>
            </w:r>
          </w:p>
        </w:tc>
        <w:tc>
          <w:tcPr>
            <w:tcW w:w="695"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eastAsia"/>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名称</w:t>
            </w:r>
          </w:p>
        </w:tc>
        <w:tc>
          <w:tcPr>
            <w:tcW w:w="1267" w:type="pct"/>
            <w:gridSpan w:val="2"/>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坐标/m</w:t>
            </w:r>
          </w:p>
        </w:tc>
        <w:tc>
          <w:tcPr>
            <w:tcW w:w="760"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保护</w:t>
            </w:r>
          </w:p>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对象</w:t>
            </w:r>
          </w:p>
        </w:tc>
        <w:tc>
          <w:tcPr>
            <w:tcW w:w="302"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保护内容</w:t>
            </w:r>
          </w:p>
        </w:tc>
        <w:tc>
          <w:tcPr>
            <w:tcW w:w="286"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环境功能区</w:t>
            </w:r>
          </w:p>
        </w:tc>
        <w:tc>
          <w:tcPr>
            <w:tcW w:w="587"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相对厂址</w:t>
            </w:r>
          </w:p>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方位</w:t>
            </w:r>
          </w:p>
        </w:tc>
        <w:tc>
          <w:tcPr>
            <w:tcW w:w="414"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相对厂界最近距离/m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685"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695"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eastAsia"/>
                <w:b/>
                <w:bCs/>
                <w:color w:val="000000" w:themeColor="text1"/>
                <w14:textFill>
                  <w14:solidFill>
                    <w14:schemeClr w14:val="tx1"/>
                  </w14:solidFill>
                </w14:textFill>
              </w:rPr>
            </w:pPr>
          </w:p>
        </w:tc>
        <w:tc>
          <w:tcPr>
            <w:tcW w:w="612"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X</w:t>
            </w:r>
          </w:p>
        </w:tc>
        <w:tc>
          <w:tcPr>
            <w:tcW w:w="654"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Y</w:t>
            </w:r>
          </w:p>
        </w:tc>
        <w:tc>
          <w:tcPr>
            <w:tcW w:w="760"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302"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286"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587"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414"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685"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eastAsia" w:ascii="宋体"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宋体"/>
                <w:color w:val="000000" w:themeColor="text1"/>
                <w:sz w:val="21"/>
                <w:szCs w:val="21"/>
                <w:lang w:val="en-US" w:eastAsia="zh-CN"/>
                <w14:textFill>
                  <w14:solidFill>
                    <w14:schemeClr w14:val="tx1"/>
                  </w14:solidFill>
                </w14:textFill>
              </w:rPr>
              <w:t>北支一渠</w:t>
            </w:r>
          </w:p>
        </w:tc>
        <w:tc>
          <w:tcPr>
            <w:tcW w:w="695"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宋体"/>
                <w:color w:val="000000" w:themeColor="text1"/>
                <w:sz w:val="21"/>
                <w:szCs w:val="21"/>
                <w14:textFill>
                  <w14:solidFill>
                    <w14:schemeClr w14:val="tx1"/>
                  </w14:solidFill>
                </w14:textFill>
              </w:rPr>
              <w:t>保利湖心岛</w:t>
            </w:r>
          </w:p>
        </w:tc>
        <w:tc>
          <w:tcPr>
            <w:tcW w:w="612"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3401761.641</w:t>
            </w:r>
          </w:p>
        </w:tc>
        <w:tc>
          <w:tcPr>
            <w:tcW w:w="654"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35421597.829</w:t>
            </w:r>
          </w:p>
        </w:tc>
        <w:tc>
          <w:tcPr>
            <w:tcW w:w="760"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居民（约1436户，约4500人）</w:t>
            </w:r>
          </w:p>
        </w:tc>
        <w:tc>
          <w:tcPr>
            <w:tcW w:w="302"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大气</w:t>
            </w:r>
            <w:r>
              <w:rPr>
                <w:rFonts w:hint="eastAsia"/>
                <w:color w:val="000000" w:themeColor="text1"/>
                <w14:textFill>
                  <w14:solidFill>
                    <w14:schemeClr w14:val="tx1"/>
                  </w14:solidFill>
                </w14:textFill>
              </w:rPr>
              <w:t>环境</w:t>
            </w:r>
          </w:p>
        </w:tc>
        <w:tc>
          <w:tcPr>
            <w:tcW w:w="286"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eastAsia" w:ascii="Times New Roman" w:hAnsi="Times New Roman" w:eastAsia="宋体" w:cs="Times New Roman"/>
                <w:snapToGrid/>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snapToGrid/>
                <w:color w:val="000000" w:themeColor="text1"/>
                <w:kern w:val="2"/>
                <w:sz w:val="21"/>
                <w:szCs w:val="21"/>
                <w:lang w:val="en-US" w:eastAsia="zh-CN" w:bidi="ar-SA"/>
                <w14:textFill>
                  <w14:solidFill>
                    <w14:schemeClr w14:val="tx1"/>
                  </w14:solidFill>
                </w14:textFill>
              </w:rPr>
              <w:t>二类区</w:t>
            </w:r>
          </w:p>
        </w:tc>
        <w:tc>
          <w:tcPr>
            <w:tcW w:w="587"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北一支渠下游北侧约</w:t>
            </w:r>
          </w:p>
        </w:tc>
        <w:tc>
          <w:tcPr>
            <w:tcW w:w="414"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2" w:hRule="atLeast"/>
        </w:trPr>
        <w:tc>
          <w:tcPr>
            <w:tcW w:w="685" w:type="pct"/>
            <w:vAlign w:val="center"/>
          </w:tcPr>
          <w:p>
            <w:pPr>
              <w:pStyle w:val="14"/>
              <w:keepNext w:val="0"/>
              <w:keepLines w:val="0"/>
              <w:suppressLineNumbers w:val="0"/>
              <w:spacing w:before="0" w:beforeAutospacing="0" w:after="0" w:afterAutospacing="0"/>
              <w:ind w:left="0" w:right="0"/>
              <w:jc w:val="center"/>
              <w:rPr>
                <w:rFonts w:hint="default" w:ascii="宋体"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董家堰补水渠（上）</w:t>
            </w:r>
          </w:p>
        </w:tc>
        <w:tc>
          <w:tcPr>
            <w:tcW w:w="695" w:type="pct"/>
            <w:vAlign w:val="center"/>
          </w:tcPr>
          <w:p>
            <w:pPr>
              <w:pStyle w:val="14"/>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宋体"/>
                <w:color w:val="000000" w:themeColor="text1"/>
                <w:sz w:val="21"/>
                <w:szCs w:val="21"/>
                <w14:textFill>
                  <w14:solidFill>
                    <w14:schemeClr w14:val="tx1"/>
                  </w14:solidFill>
                </w14:textFill>
              </w:rPr>
              <w:t>保利观湖</w:t>
            </w:r>
          </w:p>
        </w:tc>
        <w:tc>
          <w:tcPr>
            <w:tcW w:w="612"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3401833.477</w:t>
            </w:r>
          </w:p>
        </w:tc>
        <w:tc>
          <w:tcPr>
            <w:tcW w:w="654"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35421636.502</w:t>
            </w:r>
          </w:p>
        </w:tc>
        <w:tc>
          <w:tcPr>
            <w:tcW w:w="7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居民（约286户，约1200人）</w:t>
            </w:r>
          </w:p>
        </w:tc>
        <w:tc>
          <w:tcPr>
            <w:tcW w:w="302" w:type="pct"/>
            <w:vMerge w:val="continue"/>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286" w:type="pct"/>
            <w:vMerge w:val="continue"/>
            <w:vAlign w:val="center"/>
          </w:tcPr>
          <w:p>
            <w:pPr>
              <w:pStyle w:val="146"/>
              <w:keepNext w:val="0"/>
              <w:keepLines w:val="0"/>
              <w:suppressLineNumbers w:val="0"/>
              <w:spacing w:before="0" w:beforeAutospacing="0" w:after="0" w:afterAutospacing="0"/>
              <w:ind w:left="0" w:right="0"/>
              <w:rPr>
                <w:rFonts w:hint="eastAsia" w:ascii="Times New Roman" w:hAnsi="Times New Roman" w:eastAsia="宋体" w:cs="Times New Roman"/>
                <w:snapToGrid/>
                <w:color w:val="000000" w:themeColor="text1"/>
                <w:kern w:val="2"/>
                <w:sz w:val="21"/>
                <w:szCs w:val="21"/>
                <w:lang w:val="en-US" w:eastAsia="zh-CN" w:bidi="ar-SA"/>
                <w14:textFill>
                  <w14:solidFill>
                    <w14:schemeClr w14:val="tx1"/>
                  </w14:solidFill>
                </w14:textFill>
              </w:rPr>
            </w:pPr>
          </w:p>
        </w:tc>
        <w:tc>
          <w:tcPr>
            <w:tcW w:w="58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董家堰补水渠（上）西侧</w:t>
            </w:r>
          </w:p>
        </w:tc>
        <w:tc>
          <w:tcPr>
            <w:tcW w:w="41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2" w:hRule="atLeast"/>
        </w:trPr>
        <w:tc>
          <w:tcPr>
            <w:tcW w:w="685" w:type="pct"/>
            <w:vAlign w:val="center"/>
          </w:tcPr>
          <w:p>
            <w:pPr>
              <w:pStyle w:val="14"/>
              <w:keepNext w:val="0"/>
              <w:keepLines w:val="0"/>
              <w:suppressLineNumbers w:val="0"/>
              <w:spacing w:before="0" w:beforeAutospacing="0" w:after="0" w:afterAutospacing="0"/>
              <w:ind w:left="0" w:right="0"/>
              <w:jc w:val="center"/>
              <w:rPr>
                <w:rFonts w:hint="default" w:ascii="宋体"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董家堰补水渠（</w:t>
            </w:r>
            <w:r>
              <w:rPr>
                <w:rFonts w:hint="eastAsia"/>
                <w:color w:val="000000" w:themeColor="text1"/>
                <w:sz w:val="21"/>
                <w:szCs w:val="21"/>
                <w:lang w:val="en-US" w:eastAsia="zh-CN"/>
                <w14:textFill>
                  <w14:solidFill>
                    <w14:schemeClr w14:val="tx1"/>
                  </w14:solidFill>
                </w14:textFill>
              </w:rPr>
              <w:t>下</w:t>
            </w:r>
            <w:r>
              <w:rPr>
                <w:rFonts w:hint="eastAsia"/>
                <w:color w:val="000000" w:themeColor="text1"/>
                <w:sz w:val="21"/>
                <w:szCs w:val="21"/>
                <w14:textFill>
                  <w14:solidFill>
                    <w14:schemeClr w14:val="tx1"/>
                  </w14:solidFill>
                </w14:textFill>
              </w:rPr>
              <w:t>）</w:t>
            </w:r>
          </w:p>
        </w:tc>
        <w:tc>
          <w:tcPr>
            <w:tcW w:w="695" w:type="pct"/>
            <w:vAlign w:val="center"/>
          </w:tcPr>
          <w:p>
            <w:pPr>
              <w:pStyle w:val="14"/>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宋体"/>
                <w:color w:val="000000" w:themeColor="text1"/>
                <w:sz w:val="21"/>
                <w:szCs w:val="21"/>
                <w14:textFill>
                  <w14:solidFill>
                    <w14:schemeClr w14:val="tx1"/>
                  </w14:solidFill>
                </w14:textFill>
              </w:rPr>
              <w:t>保利碧湖苑</w:t>
            </w:r>
          </w:p>
        </w:tc>
        <w:tc>
          <w:tcPr>
            <w:tcW w:w="612"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3401935.477</w:t>
            </w:r>
          </w:p>
        </w:tc>
        <w:tc>
          <w:tcPr>
            <w:tcW w:w="654"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35421759.528</w:t>
            </w:r>
          </w:p>
        </w:tc>
        <w:tc>
          <w:tcPr>
            <w:tcW w:w="7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居民（约300户，约1350人）</w:t>
            </w:r>
          </w:p>
        </w:tc>
        <w:tc>
          <w:tcPr>
            <w:tcW w:w="302" w:type="pct"/>
            <w:vMerge w:val="continue"/>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286" w:type="pct"/>
            <w:vMerge w:val="continue"/>
            <w:vAlign w:val="center"/>
          </w:tcPr>
          <w:p>
            <w:pPr>
              <w:pStyle w:val="146"/>
              <w:keepNext w:val="0"/>
              <w:keepLines w:val="0"/>
              <w:suppressLineNumbers w:val="0"/>
              <w:spacing w:before="0" w:beforeAutospacing="0" w:after="0" w:afterAutospacing="0"/>
              <w:ind w:left="0" w:right="0"/>
              <w:rPr>
                <w:rFonts w:hint="eastAsia" w:ascii="Times New Roman" w:hAnsi="Times New Roman" w:eastAsia="宋体" w:cs="Times New Roman"/>
                <w:snapToGrid/>
                <w:color w:val="000000" w:themeColor="text1"/>
                <w:kern w:val="2"/>
                <w:sz w:val="21"/>
                <w:szCs w:val="21"/>
                <w:lang w:val="en-US" w:eastAsia="zh-CN" w:bidi="ar-SA"/>
                <w14:textFill>
                  <w14:solidFill>
                    <w14:schemeClr w14:val="tx1"/>
                  </w14:solidFill>
                </w14:textFill>
              </w:rPr>
            </w:pPr>
          </w:p>
        </w:tc>
        <w:tc>
          <w:tcPr>
            <w:tcW w:w="58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董家堰补水渠（下）西北侧</w:t>
            </w:r>
          </w:p>
        </w:tc>
        <w:tc>
          <w:tcPr>
            <w:tcW w:w="41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5" w:type="pct"/>
            <w:vMerge w:val="restar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ascii="宋体"/>
                <w:color w:val="000000" w:themeColor="text1"/>
                <w:sz w:val="21"/>
                <w:szCs w:val="21"/>
                <w:lang w:val="en-US" w:eastAsia="zh-CN"/>
                <w14:textFill>
                  <w14:solidFill>
                    <w14:schemeClr w14:val="tx1"/>
                  </w14:solidFill>
                </w14:textFill>
              </w:rPr>
              <w:t>北支一渠</w:t>
            </w:r>
          </w:p>
        </w:tc>
        <w:tc>
          <w:tcPr>
            <w:tcW w:w="695" w:type="pct"/>
            <w:vAlign w:val="center"/>
          </w:tcPr>
          <w:p>
            <w:pPr>
              <w:pStyle w:val="14"/>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狮子湖南侧居民点1#</w:t>
            </w:r>
          </w:p>
        </w:tc>
        <w:tc>
          <w:tcPr>
            <w:tcW w:w="612"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3401497.841</w:t>
            </w:r>
          </w:p>
        </w:tc>
        <w:tc>
          <w:tcPr>
            <w:tcW w:w="65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35420367.002</w:t>
            </w:r>
          </w:p>
        </w:tc>
        <w:tc>
          <w:tcPr>
            <w:tcW w:w="7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居民（2户，2人）</w:t>
            </w:r>
          </w:p>
        </w:tc>
        <w:tc>
          <w:tcPr>
            <w:tcW w:w="302"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286" w:type="pct"/>
            <w:vMerge w:val="continue"/>
            <w:vAlign w:val="center"/>
          </w:tcPr>
          <w:p>
            <w:pPr>
              <w:pStyle w:val="14"/>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p>
        </w:tc>
        <w:tc>
          <w:tcPr>
            <w:tcW w:w="58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董家堰临时堆土场南侧</w:t>
            </w:r>
          </w:p>
        </w:tc>
        <w:tc>
          <w:tcPr>
            <w:tcW w:w="41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紧邻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2" w:hRule="atLeast"/>
        </w:trPr>
        <w:tc>
          <w:tcPr>
            <w:tcW w:w="685"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695" w:type="pct"/>
            <w:vAlign w:val="center"/>
          </w:tcPr>
          <w:p>
            <w:pPr>
              <w:pStyle w:val="14"/>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狮子湖南侧居民点2#</w:t>
            </w:r>
          </w:p>
        </w:tc>
        <w:tc>
          <w:tcPr>
            <w:tcW w:w="612"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3401436.710</w:t>
            </w:r>
          </w:p>
        </w:tc>
        <w:tc>
          <w:tcPr>
            <w:tcW w:w="65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35420268.924</w:t>
            </w:r>
          </w:p>
        </w:tc>
        <w:tc>
          <w:tcPr>
            <w:tcW w:w="7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居民（1户，1人）</w:t>
            </w:r>
          </w:p>
        </w:tc>
        <w:tc>
          <w:tcPr>
            <w:tcW w:w="302"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286" w:type="pct"/>
            <w:vMerge w:val="continue"/>
            <w:vAlign w:val="center"/>
          </w:tcPr>
          <w:p>
            <w:pPr>
              <w:pStyle w:val="14"/>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p>
        </w:tc>
        <w:tc>
          <w:tcPr>
            <w:tcW w:w="58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董家堰临时堆土场南侧</w:t>
            </w:r>
          </w:p>
        </w:tc>
        <w:tc>
          <w:tcPr>
            <w:tcW w:w="41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trPr>
        <w:tc>
          <w:tcPr>
            <w:tcW w:w="685" w:type="pct"/>
            <w:vAlign w:val="center"/>
          </w:tcPr>
          <w:p>
            <w:pPr>
              <w:pStyle w:val="14"/>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南五、南六支渠</w:t>
            </w:r>
          </w:p>
        </w:tc>
        <w:tc>
          <w:tcPr>
            <w:tcW w:w="695" w:type="pct"/>
            <w:vAlign w:val="center"/>
          </w:tcPr>
          <w:p>
            <w:pPr>
              <w:pStyle w:val="14"/>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花果山风景名胜区</w:t>
            </w:r>
          </w:p>
        </w:tc>
        <w:tc>
          <w:tcPr>
            <w:tcW w:w="612" w:type="pct"/>
            <w:vAlign w:val="center"/>
          </w:tcPr>
          <w:p>
            <w:pPr>
              <w:pStyle w:val="14"/>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423264.651</w:t>
            </w:r>
          </w:p>
        </w:tc>
        <w:tc>
          <w:tcPr>
            <w:tcW w:w="654" w:type="pct"/>
            <w:vAlign w:val="center"/>
          </w:tcPr>
          <w:p>
            <w:pPr>
              <w:pStyle w:val="14"/>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3390798.403</w:t>
            </w:r>
          </w:p>
        </w:tc>
        <w:tc>
          <w:tcPr>
            <w:tcW w:w="760" w:type="pct"/>
            <w:vAlign w:val="center"/>
          </w:tcPr>
          <w:p>
            <w:pPr>
              <w:pStyle w:val="14"/>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游客</w:t>
            </w:r>
          </w:p>
        </w:tc>
        <w:tc>
          <w:tcPr>
            <w:tcW w:w="302"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286" w:type="pct"/>
            <w:vAlign w:val="center"/>
          </w:tcPr>
          <w:p>
            <w:pPr>
              <w:pStyle w:val="14"/>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一</w:t>
            </w:r>
            <w:r>
              <w:rPr>
                <w:rFonts w:hint="eastAsia"/>
                <w:color w:val="000000" w:themeColor="text1"/>
                <w:sz w:val="21"/>
                <w:szCs w:val="21"/>
                <w14:textFill>
                  <w14:solidFill>
                    <w14:schemeClr w14:val="tx1"/>
                  </w14:solidFill>
                </w14:textFill>
              </w:rPr>
              <w:t>类区</w:t>
            </w:r>
          </w:p>
        </w:tc>
        <w:tc>
          <w:tcPr>
            <w:tcW w:w="587" w:type="pct"/>
            <w:vAlign w:val="center"/>
          </w:tcPr>
          <w:p>
            <w:pPr>
              <w:pStyle w:val="14"/>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南五、南六部分渠段</w:t>
            </w:r>
          </w:p>
        </w:tc>
        <w:tc>
          <w:tcPr>
            <w:tcW w:w="414" w:type="pct"/>
            <w:vAlign w:val="center"/>
          </w:tcPr>
          <w:p>
            <w:pPr>
              <w:pStyle w:val="14"/>
              <w:keepNext w:val="0"/>
              <w:keepLines w:val="0"/>
              <w:suppressLineNumbers w:val="0"/>
              <w:spacing w:before="0" w:beforeAutospacing="0" w:after="0" w:afterAutospacing="0"/>
              <w:ind w:left="0" w:right="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紧邻</w:t>
            </w:r>
          </w:p>
        </w:tc>
      </w:tr>
    </w:tbl>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62" w:name="_Toc70496251"/>
      <w:bookmarkStart w:id="263" w:name="_Toc3278"/>
      <w:bookmarkStart w:id="264" w:name="_Toc18010"/>
      <w:bookmarkStart w:id="265" w:name="_Toc6713"/>
      <w:bookmarkStart w:id="266" w:name="_Toc17537"/>
      <w:bookmarkStart w:id="267" w:name="_Toc7615"/>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.2地表水环境保护目标</w:t>
      </w:r>
      <w:bookmarkEnd w:id="262"/>
      <w:bookmarkEnd w:id="263"/>
      <w:bookmarkEnd w:id="264"/>
      <w:bookmarkEnd w:id="265"/>
      <w:bookmarkEnd w:id="266"/>
      <w:bookmarkEnd w:id="267"/>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经现场踏勘可知，本项目主要涉及的地表水为</w:t>
      </w:r>
      <w:r>
        <w:rPr>
          <w:rFonts w:hint="eastAsia"/>
          <w:color w:val="000000" w:themeColor="text1"/>
          <w14:textFill>
            <w14:solidFill>
              <w14:schemeClr w14:val="tx1"/>
            </w14:solidFill>
          </w14:textFill>
        </w:rPr>
        <w:t>东风渠、北支一渠、南五支渠、南六支渠、董家堰补水渠</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上、下</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，主要水体功能为农业灌溉</w:t>
      </w:r>
      <w:r>
        <w:rPr>
          <w:rFonts w:hint="eastAsia"/>
          <w:color w:val="000000" w:themeColor="text1"/>
          <w14:textFill>
            <w14:solidFill>
              <w14:schemeClr w14:val="tx1"/>
            </w14:solidFill>
          </w14:textFill>
        </w:rPr>
        <w:t>、排</w:t>
      </w:r>
      <w:r>
        <w:rPr>
          <w:rStyle w:val="43"/>
          <w:rFonts w:hint="eastAsia"/>
          <w:color w:val="000000" w:themeColor="text1"/>
          <w:sz w:val="24"/>
          <w:szCs w:val="24"/>
          <w:lang w:val="en-US" w:eastAsia="zh-CN"/>
          <w14:textFill>
            <w14:solidFill>
              <w14:schemeClr w14:val="tx1"/>
            </w14:solidFill>
          </w14:textFill>
        </w:rPr>
        <w:t>涝</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项目南五、南六支渠部分渠段位于</w:t>
      </w:r>
      <w:r>
        <w:rPr>
          <w:rStyle w:val="43"/>
          <w:rFonts w:hint="eastAsia" w:eastAsia="宋体"/>
          <w:color w:val="000000" w:themeColor="text1"/>
          <w:sz w:val="24"/>
          <w:szCs w:val="24"/>
          <w14:textFill>
            <w14:solidFill>
              <w14:schemeClr w14:val="tx1"/>
            </w14:solidFill>
          </w14:textFill>
        </w:rPr>
        <w:t>成都市龙泉驿区东风渠、东干渠麻石桥集中式饮用水水源地准保护区</w:t>
      </w:r>
      <w:r>
        <w:rPr>
          <w:rStyle w:val="43"/>
          <w:rFonts w:hint="eastAsia" w:eastAsia="宋体"/>
          <w:color w:val="000000" w:themeColor="text1"/>
          <w:sz w:val="24"/>
          <w:szCs w:val="24"/>
          <w:lang w:eastAsia="zh-CN"/>
          <w14:textFill>
            <w14:solidFill>
              <w14:schemeClr w14:val="tx1"/>
            </w14:solidFill>
          </w14:textFill>
        </w:rPr>
        <w:t>（</w:t>
      </w:r>
      <w:r>
        <w:rPr>
          <w:rStyle w:val="43"/>
          <w:rFonts w:hint="eastAsia" w:eastAsia="宋体"/>
          <w:color w:val="000000" w:themeColor="text1"/>
          <w:sz w:val="24"/>
          <w:szCs w:val="24"/>
          <w:lang w:val="en-US" w:eastAsia="zh-CN"/>
          <w14:textFill>
            <w14:solidFill>
              <w14:schemeClr w14:val="tx1"/>
            </w14:solidFill>
          </w14:textFill>
        </w:rPr>
        <w:t>陆域</w:t>
      </w:r>
      <w:r>
        <w:rPr>
          <w:rStyle w:val="43"/>
          <w:rFonts w:hint="eastAsia" w:eastAsia="宋体"/>
          <w:color w:val="000000" w:themeColor="text1"/>
          <w:sz w:val="24"/>
          <w:szCs w:val="24"/>
          <w:lang w:eastAsia="zh-CN"/>
          <w14:textFill>
            <w14:solidFill>
              <w14:schemeClr w14:val="tx1"/>
            </w14:solidFill>
          </w14:textFill>
        </w:rPr>
        <w:t>）</w:t>
      </w:r>
      <w:r>
        <w:rPr>
          <w:rStyle w:val="43"/>
          <w:rFonts w:hint="eastAsia" w:eastAsia="宋体"/>
          <w:color w:val="000000" w:themeColor="text1"/>
          <w:sz w:val="24"/>
          <w:szCs w:val="24"/>
          <w:lang w:val="en-US" w:eastAsia="zh-CN"/>
          <w14:textFill>
            <w14:solidFill>
              <w14:schemeClr w14:val="tx1"/>
            </w14:solidFill>
          </w14:textFill>
        </w:rPr>
        <w:t>内</w:t>
      </w:r>
      <w:r>
        <w:rPr>
          <w:rStyle w:val="43"/>
          <w:rFonts w:hint="eastAsia"/>
          <w:color w:val="000000" w:themeColor="text1"/>
          <w:sz w:val="24"/>
          <w:szCs w:val="24"/>
          <w:lang w:val="en-US" w:eastAsia="zh-CN"/>
          <w14:textFill>
            <w14:solidFill>
              <w14:schemeClr w14:val="tx1"/>
            </w14:solidFill>
          </w14:textFill>
        </w:rPr>
        <w:t>，其主要功能为灌溉、饮水</w:t>
      </w:r>
      <w:r>
        <w:rPr>
          <w:color w:val="000000" w:themeColor="text1"/>
          <w:sz w:val="24"/>
          <w:szCs w:val="24"/>
          <w14:textFill>
            <w14:solidFill>
              <w14:schemeClr w14:val="tx1"/>
            </w14:solidFill>
          </w14:textFill>
        </w:rPr>
        <w:t>。</w:t>
      </w:r>
      <w:r>
        <w:rPr>
          <w:color w:val="000000" w:themeColor="text1"/>
          <w14:textFill>
            <w14:solidFill>
              <w14:schemeClr w14:val="tx1"/>
            </w14:solidFill>
          </w14:textFill>
        </w:rPr>
        <w:t>地表水环境保护目标分布情况见表1.1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表1.1</w:t>
      </w:r>
      <w:r>
        <w:rPr>
          <w:rFonts w:hint="eastAsia" w:eastAsia="黑体"/>
          <w:color w:val="000000" w:themeColor="text1"/>
          <w:szCs w:val="21"/>
          <w14:textFill>
            <w14:solidFill>
              <w14:schemeClr w14:val="tx1"/>
            </w14:solidFill>
          </w14:textFill>
        </w:rPr>
        <w:t>1</w:t>
      </w:r>
      <w:r>
        <w:rPr>
          <w:rFonts w:eastAsia="黑体"/>
          <w:color w:val="000000" w:themeColor="text1"/>
          <w:szCs w:val="21"/>
          <w14:textFill>
            <w14:solidFill>
              <w14:schemeClr w14:val="tx1"/>
            </w14:solidFill>
          </w14:textFill>
        </w:rPr>
        <w:t>-2地表水环境保护目标</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1571"/>
        <w:gridCol w:w="1312"/>
        <w:gridCol w:w="3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041"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环境要素</w:t>
            </w:r>
          </w:p>
        </w:tc>
        <w:tc>
          <w:tcPr>
            <w:tcW w:w="922"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保护目标</w:t>
            </w:r>
          </w:p>
        </w:tc>
        <w:tc>
          <w:tcPr>
            <w:tcW w:w="770"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环境功能</w:t>
            </w:r>
          </w:p>
        </w:tc>
        <w:tc>
          <w:tcPr>
            <w:tcW w:w="2266" w:type="pct"/>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1041" w:type="pct"/>
            <w:vMerge w:val="restar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地表水环境</w:t>
            </w:r>
          </w:p>
        </w:tc>
        <w:tc>
          <w:tcPr>
            <w:tcW w:w="922"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南五支渠、南六支渠、董家堰补水渠、北支一渠</w:t>
            </w:r>
          </w:p>
        </w:tc>
        <w:tc>
          <w:tcPr>
            <w:tcW w:w="77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排涝</w:t>
            </w:r>
            <w:r>
              <w:rPr>
                <w:rFonts w:hint="default"/>
                <w:color w:val="000000" w:themeColor="text1"/>
                <w:sz w:val="21"/>
                <w:szCs w:val="21"/>
                <w14:textFill>
                  <w14:solidFill>
                    <w14:schemeClr w14:val="tx1"/>
                  </w14:solidFill>
                </w14:textFill>
              </w:rPr>
              <w:t>、灌溉</w:t>
            </w:r>
          </w:p>
        </w:tc>
        <w:tc>
          <w:tcPr>
            <w:tcW w:w="2266" w:type="pct"/>
            <w:vMerge w:val="restar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《地表水环境质量标准》（GB3838-2002）Ⅲ类水域标准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41"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bookmarkStart w:id="268" w:name="_Toc70496252"/>
            <w:bookmarkStart w:id="269" w:name="_Toc14628"/>
            <w:bookmarkStart w:id="270" w:name="_Toc22280"/>
            <w:bookmarkStart w:id="271" w:name="_Toc16524"/>
            <w:bookmarkStart w:id="272" w:name="_Toc10411"/>
          </w:p>
        </w:tc>
        <w:tc>
          <w:tcPr>
            <w:tcW w:w="922"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东风渠</w:t>
            </w:r>
          </w:p>
        </w:tc>
        <w:tc>
          <w:tcPr>
            <w:tcW w:w="77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灌溉、饮水</w:t>
            </w:r>
          </w:p>
        </w:tc>
        <w:tc>
          <w:tcPr>
            <w:tcW w:w="2266" w:type="pct"/>
            <w:vMerge w:val="continue"/>
            <w:vAlign w:val="center"/>
          </w:tcPr>
          <w:p>
            <w:pPr>
              <w:pStyle w:val="14"/>
              <w:keepNext w:val="0"/>
              <w:keepLines w:val="0"/>
              <w:suppressLineNumbers w:val="0"/>
              <w:spacing w:before="0" w:beforeAutospacing="0" w:after="0" w:afterAutospacing="0"/>
              <w:ind w:left="0" w:right="0" w:firstLine="422"/>
              <w:jc w:val="center"/>
              <w:rPr>
                <w:rFonts w:hint="default"/>
                <w:color w:val="000000" w:themeColor="text1"/>
                <w:sz w:val="21"/>
                <w:szCs w:val="21"/>
                <w14:textFill>
                  <w14:solidFill>
                    <w14:schemeClr w14:val="tx1"/>
                  </w14:solidFill>
                </w14:textFill>
              </w:rPr>
            </w:pPr>
          </w:p>
        </w:tc>
      </w:tr>
    </w:tbl>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73" w:name="_Toc6611"/>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.3声环境保护目标</w:t>
      </w:r>
      <w:bookmarkEnd w:id="268"/>
      <w:bookmarkEnd w:id="269"/>
      <w:bookmarkEnd w:id="270"/>
      <w:bookmarkEnd w:id="271"/>
      <w:bookmarkEnd w:id="272"/>
      <w:bookmarkEnd w:id="273"/>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本项目声环境保护目标主要为</w:t>
      </w:r>
      <w:r>
        <w:rPr>
          <w:rFonts w:hint="eastAsia"/>
          <w:color w:val="000000" w:themeColor="text1"/>
          <w14:textFill>
            <w14:solidFill>
              <w14:schemeClr w14:val="tx1"/>
            </w14:solidFill>
          </w14:textFill>
        </w:rPr>
        <w:t>整治渠道、临时堆土场、施工工区</w:t>
      </w:r>
      <w:r>
        <w:rPr>
          <w:color w:val="000000" w:themeColor="text1"/>
          <w14:textFill>
            <w14:solidFill>
              <w14:schemeClr w14:val="tx1"/>
            </w14:solidFill>
          </w14:textFill>
        </w:rPr>
        <w:t>周边200m范围内居民区、医院、学校等敏感目标。</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表1.1</w:t>
      </w:r>
      <w:r>
        <w:rPr>
          <w:rFonts w:hint="eastAsia" w:eastAsia="黑体"/>
          <w:color w:val="000000" w:themeColor="text1"/>
          <w:szCs w:val="21"/>
          <w14:textFill>
            <w14:solidFill>
              <w14:schemeClr w14:val="tx1"/>
            </w14:solidFill>
          </w14:textFill>
        </w:rPr>
        <w:t>1</w:t>
      </w:r>
      <w:r>
        <w:rPr>
          <w:rFonts w:eastAsia="黑体"/>
          <w:color w:val="000000" w:themeColor="text1"/>
          <w:szCs w:val="21"/>
          <w14:textFill>
            <w14:solidFill>
              <w14:schemeClr w14:val="tx1"/>
            </w14:solidFill>
          </w14:textFill>
        </w:rPr>
        <w:t>-3声环境保护目标</w:t>
      </w:r>
    </w:p>
    <w:tbl>
      <w:tblPr>
        <w:tblStyle w:val="39"/>
        <w:tblW w:w="505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8"/>
        <w:gridCol w:w="855"/>
        <w:gridCol w:w="1033"/>
        <w:gridCol w:w="877"/>
        <w:gridCol w:w="958"/>
        <w:gridCol w:w="714"/>
        <w:gridCol w:w="635"/>
        <w:gridCol w:w="876"/>
        <w:gridCol w:w="713"/>
        <w:gridCol w:w="13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260"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序号</w:t>
            </w:r>
          </w:p>
        </w:tc>
        <w:tc>
          <w:tcPr>
            <w:tcW w:w="507"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eastAsia="宋体"/>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所属渠段</w:t>
            </w:r>
          </w:p>
        </w:tc>
        <w:tc>
          <w:tcPr>
            <w:tcW w:w="613"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声环境保护目标</w:t>
            </w:r>
            <w:r>
              <w:rPr>
                <w:rFonts w:hint="default"/>
                <w:b/>
                <w:bCs/>
                <w:color w:val="000000" w:themeColor="text1"/>
                <w14:textFill>
                  <w14:solidFill>
                    <w14:schemeClr w14:val="tx1"/>
                  </w14:solidFill>
                </w14:textFill>
              </w:rPr>
              <w:t>名称</w:t>
            </w:r>
          </w:p>
        </w:tc>
        <w:tc>
          <w:tcPr>
            <w:tcW w:w="1514" w:type="pct"/>
            <w:gridSpan w:val="3"/>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空间相对位置/m</w:t>
            </w:r>
          </w:p>
        </w:tc>
        <w:tc>
          <w:tcPr>
            <w:tcW w:w="377"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距边界红线</w:t>
            </w:r>
            <w:r>
              <w:rPr>
                <w:rFonts w:hint="default"/>
                <w:b/>
                <w:bCs/>
                <w:color w:val="000000" w:themeColor="text1"/>
                <w14:textFill>
                  <w14:solidFill>
                    <w14:schemeClr w14:val="tx1"/>
                  </w14:solidFill>
                </w14:textFill>
              </w:rPr>
              <w:t>最近距离/m</w:t>
            </w:r>
          </w:p>
        </w:tc>
        <w:tc>
          <w:tcPr>
            <w:tcW w:w="520"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p>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方位</w:t>
            </w:r>
          </w:p>
        </w:tc>
        <w:tc>
          <w:tcPr>
            <w:tcW w:w="423" w:type="pct"/>
            <w:vMerge w:val="restar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ascii="宋体"/>
                <w:b/>
                <w:bCs/>
                <w:color w:val="000000" w:themeColor="text1"/>
                <w:sz w:val="21"/>
                <w:szCs w:val="21"/>
                <w14:textFill>
                  <w14:solidFill>
                    <w14:schemeClr w14:val="tx1"/>
                  </w14:solidFill>
                </w14:textFill>
              </w:rPr>
            </w:pPr>
            <w:r>
              <w:rPr>
                <w:rFonts w:hint="eastAsia" w:ascii="宋体"/>
                <w:b/>
                <w:bCs/>
                <w:color w:val="000000" w:themeColor="text1"/>
                <w:sz w:val="21"/>
                <w:szCs w:val="21"/>
                <w14:textFill>
                  <w14:solidFill>
                    <w14:schemeClr w14:val="tx1"/>
                  </w14:solidFill>
                </w14:textFill>
              </w:rPr>
              <w:t>执行标准/功能区类别</w:t>
            </w:r>
          </w:p>
        </w:tc>
        <w:tc>
          <w:tcPr>
            <w:tcW w:w="782" w:type="pct"/>
            <w:vMerge w:val="restar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ascii="宋体"/>
                <w:b/>
                <w:bCs/>
                <w:color w:val="000000" w:themeColor="text1"/>
                <w:sz w:val="21"/>
                <w:szCs w:val="21"/>
                <w14:textFill>
                  <w14:solidFill>
                    <w14:schemeClr w14:val="tx1"/>
                  </w14:solidFill>
                </w14:textFill>
              </w:rPr>
            </w:pPr>
            <w:r>
              <w:rPr>
                <w:rFonts w:hint="eastAsia" w:ascii="宋体"/>
                <w:b/>
                <w:bCs/>
                <w:color w:val="000000" w:themeColor="text1"/>
                <w:sz w:val="21"/>
                <w:szCs w:val="21"/>
                <w14:textFill>
                  <w14:solidFill>
                    <w14:schemeClr w14:val="tx1"/>
                  </w14:solidFill>
                </w14:textFill>
              </w:rPr>
              <w:t>声环境保护目标情况说明（介绍声环境保护目标建筑结构、朝向、楼层、周围环境情况）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5" w:hRule="atLeast"/>
        </w:trPr>
        <w:tc>
          <w:tcPr>
            <w:tcW w:w="260"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507"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eastAsia="宋体"/>
                <w:color w:val="000000" w:themeColor="text1"/>
                <w:lang w:val="en-US" w:eastAsia="zh-CN"/>
                <w14:textFill>
                  <w14:solidFill>
                    <w14:schemeClr w14:val="tx1"/>
                  </w14:solidFill>
                </w14:textFill>
              </w:rPr>
            </w:pPr>
          </w:p>
        </w:tc>
        <w:tc>
          <w:tcPr>
            <w:tcW w:w="613"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521"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X</w:t>
            </w:r>
          </w:p>
        </w:tc>
        <w:tc>
          <w:tcPr>
            <w:tcW w:w="569"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Y</w:t>
            </w:r>
          </w:p>
        </w:tc>
        <w:tc>
          <w:tcPr>
            <w:tcW w:w="424"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Z</w:t>
            </w:r>
          </w:p>
        </w:tc>
        <w:tc>
          <w:tcPr>
            <w:tcW w:w="377"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520"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423"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782" w:type="pct"/>
            <w:vMerge w:val="continue"/>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260"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507"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eastAsia" w:ascii="宋体" w:eastAsia="宋体"/>
                <w:color w:val="000000" w:themeColor="text1"/>
                <w:sz w:val="21"/>
                <w:szCs w:val="21"/>
                <w:lang w:val="en-US" w:eastAsia="zh-CN"/>
                <w14:textFill>
                  <w14:solidFill>
                    <w14:schemeClr w14:val="tx1"/>
                  </w14:solidFill>
                </w14:textFill>
              </w:rPr>
            </w:pPr>
            <w:r>
              <w:rPr>
                <w:rFonts w:hint="eastAsia" w:ascii="宋体"/>
                <w:color w:val="000000" w:themeColor="text1"/>
                <w:sz w:val="21"/>
                <w:szCs w:val="21"/>
                <w:lang w:val="en-US" w:eastAsia="zh-CN"/>
                <w14:textFill>
                  <w14:solidFill>
                    <w14:schemeClr w14:val="tx1"/>
                  </w14:solidFill>
                </w14:textFill>
              </w:rPr>
              <w:t>北支一渠</w:t>
            </w:r>
          </w:p>
        </w:tc>
        <w:tc>
          <w:tcPr>
            <w:tcW w:w="613"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宋体"/>
                <w:color w:val="000000" w:themeColor="text1"/>
                <w:sz w:val="21"/>
                <w:szCs w:val="21"/>
                <w14:textFill>
                  <w14:solidFill>
                    <w14:schemeClr w14:val="tx1"/>
                  </w14:solidFill>
                </w14:textFill>
              </w:rPr>
              <w:t>保利湖心岛</w:t>
            </w:r>
          </w:p>
        </w:tc>
        <w:tc>
          <w:tcPr>
            <w:tcW w:w="521"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3401761.641</w:t>
            </w:r>
          </w:p>
        </w:tc>
        <w:tc>
          <w:tcPr>
            <w:tcW w:w="569"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35421597.829</w:t>
            </w:r>
          </w:p>
        </w:tc>
        <w:tc>
          <w:tcPr>
            <w:tcW w:w="424"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377"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520" w:type="pct"/>
            <w:tcBorders>
              <w:tl2br w:val="nil"/>
              <w:tr2bl w:val="nil"/>
            </w:tcBorders>
            <w:tcMar>
              <w:left w:w="11" w:type="dxa"/>
              <w:right w:w="11" w:type="dxa"/>
            </w:tcMar>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北一支渠下游北侧约</w:t>
            </w:r>
          </w:p>
        </w:tc>
        <w:tc>
          <w:tcPr>
            <w:tcW w:w="423" w:type="pct"/>
            <w:vMerge w:val="restar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声</w:t>
            </w:r>
            <w:r>
              <w:rPr>
                <w:rFonts w:hint="default"/>
                <w:color w:val="000000" w:themeColor="text1"/>
                <w14:textFill>
                  <w14:solidFill>
                    <w14:schemeClr w14:val="tx1"/>
                  </w14:solidFill>
                </w14:textFill>
              </w:rPr>
              <w:t>环境</w:t>
            </w:r>
            <w:r>
              <w:rPr>
                <w:rFonts w:hint="eastAsia"/>
                <w:color w:val="000000" w:themeColor="text1"/>
                <w14:textFill>
                  <w14:solidFill>
                    <w14:schemeClr w14:val="tx1"/>
                  </w14:solidFill>
                </w14:textFill>
              </w:rPr>
              <w:t>2</w:t>
            </w:r>
            <w:r>
              <w:rPr>
                <w:rFonts w:hint="default"/>
                <w:color w:val="000000" w:themeColor="text1"/>
                <w14:textFill>
                  <w14:solidFill>
                    <w14:schemeClr w14:val="tx1"/>
                  </w14:solidFill>
                </w14:textFill>
              </w:rPr>
              <w:t>类区</w:t>
            </w:r>
          </w:p>
        </w:tc>
        <w:tc>
          <w:tcPr>
            <w:tcW w:w="782" w:type="pct"/>
            <w:tcBorders>
              <w:tl2br w:val="nil"/>
              <w:tr2bl w:val="nil"/>
            </w:tcBorders>
            <w:tcMar>
              <w:left w:w="11" w:type="dxa"/>
              <w:right w:w="11" w:type="dxa"/>
            </w:tcMar>
            <w:vAlign w:val="center"/>
          </w:tcPr>
          <w:p>
            <w:pPr>
              <w:pStyle w:val="146"/>
              <w:keepNext w:val="0"/>
              <w:keepLines w:val="0"/>
              <w:suppressLineNumbers w:val="0"/>
              <w:spacing w:before="0" w:beforeAutospacing="0" w:after="0" w:afterAutospacing="0"/>
              <w:ind w:left="0" w:right="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商混结构，2F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5" w:hRule="atLeast"/>
        </w:trPr>
        <w:tc>
          <w:tcPr>
            <w:tcW w:w="2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507" w:type="pct"/>
            <w:vAlign w:val="center"/>
          </w:tcPr>
          <w:p>
            <w:pPr>
              <w:pStyle w:val="14"/>
              <w:keepNext w:val="0"/>
              <w:keepLines w:val="0"/>
              <w:suppressLineNumbers w:val="0"/>
              <w:spacing w:before="0" w:beforeAutospacing="0" w:after="0" w:afterAutospacing="0"/>
              <w:ind w:left="0" w:right="0"/>
              <w:jc w:val="center"/>
              <w:rPr>
                <w:rFonts w:hint="default" w:ascii="宋体"/>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董家堰补水渠（上）</w:t>
            </w:r>
          </w:p>
        </w:tc>
        <w:tc>
          <w:tcPr>
            <w:tcW w:w="613"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宋体"/>
                <w:color w:val="000000" w:themeColor="text1"/>
                <w:sz w:val="21"/>
                <w:szCs w:val="21"/>
                <w14:textFill>
                  <w14:solidFill>
                    <w14:schemeClr w14:val="tx1"/>
                  </w14:solidFill>
                </w14:textFill>
              </w:rPr>
              <w:t>保利观湖</w:t>
            </w:r>
          </w:p>
        </w:tc>
        <w:tc>
          <w:tcPr>
            <w:tcW w:w="521"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3401833.477</w:t>
            </w:r>
          </w:p>
        </w:tc>
        <w:tc>
          <w:tcPr>
            <w:tcW w:w="569"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35421636.502</w:t>
            </w:r>
          </w:p>
        </w:tc>
        <w:tc>
          <w:tcPr>
            <w:tcW w:w="424"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37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61</w:t>
            </w:r>
          </w:p>
        </w:tc>
        <w:tc>
          <w:tcPr>
            <w:tcW w:w="52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董家堰补水渠（上）西侧</w:t>
            </w:r>
          </w:p>
        </w:tc>
        <w:tc>
          <w:tcPr>
            <w:tcW w:w="423" w:type="pct"/>
            <w:vMerge w:val="continue"/>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782"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商混结构，3F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5" w:hRule="atLeast"/>
        </w:trPr>
        <w:tc>
          <w:tcPr>
            <w:tcW w:w="2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507" w:type="pct"/>
            <w:vAlign w:val="center"/>
          </w:tcPr>
          <w:p>
            <w:pPr>
              <w:pStyle w:val="14"/>
              <w:keepNext w:val="0"/>
              <w:keepLines w:val="0"/>
              <w:suppressLineNumbers w:val="0"/>
              <w:spacing w:before="0" w:beforeAutospacing="0" w:after="0" w:afterAutospacing="0"/>
              <w:ind w:left="0" w:right="0"/>
              <w:jc w:val="center"/>
              <w:rPr>
                <w:rFonts w:hint="default" w:ascii="宋体"/>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董家堰补水渠（</w:t>
            </w:r>
            <w:r>
              <w:rPr>
                <w:rFonts w:hint="eastAsia"/>
                <w:color w:val="000000" w:themeColor="text1"/>
                <w:sz w:val="21"/>
                <w:szCs w:val="21"/>
                <w:lang w:val="en-US" w:eastAsia="zh-CN"/>
                <w14:textFill>
                  <w14:solidFill>
                    <w14:schemeClr w14:val="tx1"/>
                  </w14:solidFill>
                </w14:textFill>
              </w:rPr>
              <w:t>下</w:t>
            </w:r>
            <w:r>
              <w:rPr>
                <w:rFonts w:hint="eastAsia"/>
                <w:color w:val="000000" w:themeColor="text1"/>
                <w:sz w:val="21"/>
                <w:szCs w:val="21"/>
                <w14:textFill>
                  <w14:solidFill>
                    <w14:schemeClr w14:val="tx1"/>
                  </w14:solidFill>
                </w14:textFill>
              </w:rPr>
              <w:t>）</w:t>
            </w:r>
          </w:p>
        </w:tc>
        <w:tc>
          <w:tcPr>
            <w:tcW w:w="613"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宋体"/>
                <w:color w:val="000000" w:themeColor="text1"/>
                <w:sz w:val="21"/>
                <w:szCs w:val="21"/>
                <w14:textFill>
                  <w14:solidFill>
                    <w14:schemeClr w14:val="tx1"/>
                  </w14:solidFill>
                </w14:textFill>
              </w:rPr>
              <w:t>保利碧湖苑</w:t>
            </w:r>
          </w:p>
        </w:tc>
        <w:tc>
          <w:tcPr>
            <w:tcW w:w="521"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3401935.477</w:t>
            </w:r>
          </w:p>
        </w:tc>
        <w:tc>
          <w:tcPr>
            <w:tcW w:w="569"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35421759.528</w:t>
            </w:r>
          </w:p>
        </w:tc>
        <w:tc>
          <w:tcPr>
            <w:tcW w:w="424"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10~30</w:t>
            </w:r>
          </w:p>
        </w:tc>
        <w:tc>
          <w:tcPr>
            <w:tcW w:w="37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138</w:t>
            </w:r>
          </w:p>
        </w:tc>
        <w:tc>
          <w:tcPr>
            <w:tcW w:w="52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董家堰补水渠（下）西北侧</w:t>
            </w:r>
          </w:p>
        </w:tc>
        <w:tc>
          <w:tcPr>
            <w:tcW w:w="423" w:type="pct"/>
            <w:vMerge w:val="continue"/>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782" w:type="pct"/>
            <w:vAlign w:val="center"/>
          </w:tcPr>
          <w:p>
            <w:pPr>
              <w:pStyle w:val="14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商混结构，13F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95" w:hRule="atLeast"/>
        </w:trPr>
        <w:tc>
          <w:tcPr>
            <w:tcW w:w="2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507" w:type="pct"/>
            <w:vMerge w:val="restart"/>
            <w:vAlign w:val="center"/>
          </w:tcPr>
          <w:p>
            <w:pPr>
              <w:pStyle w:val="14"/>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eastAsia" w:ascii="宋体"/>
                <w:color w:val="000000" w:themeColor="text1"/>
                <w:sz w:val="21"/>
                <w:szCs w:val="21"/>
                <w:lang w:val="en-US" w:eastAsia="zh-CN"/>
                <w14:textFill>
                  <w14:solidFill>
                    <w14:schemeClr w14:val="tx1"/>
                  </w14:solidFill>
                </w14:textFill>
              </w:rPr>
              <w:t>北支一渠</w:t>
            </w:r>
          </w:p>
        </w:tc>
        <w:tc>
          <w:tcPr>
            <w:tcW w:w="613"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狮子湖南侧居民点1#</w:t>
            </w:r>
          </w:p>
        </w:tc>
        <w:tc>
          <w:tcPr>
            <w:tcW w:w="521"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3401497.841</w:t>
            </w:r>
          </w:p>
        </w:tc>
        <w:tc>
          <w:tcPr>
            <w:tcW w:w="569"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35420367.002</w:t>
            </w:r>
          </w:p>
        </w:tc>
        <w:tc>
          <w:tcPr>
            <w:tcW w:w="42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37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紧邻</w:t>
            </w:r>
          </w:p>
        </w:tc>
        <w:tc>
          <w:tcPr>
            <w:tcW w:w="52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董家堰临时堆土场南侧</w:t>
            </w:r>
          </w:p>
        </w:tc>
        <w:tc>
          <w:tcPr>
            <w:tcW w:w="423"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782"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商混结构，1F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26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507" w:type="pct"/>
            <w:vMerge w:val="continue"/>
            <w:vAlign w:val="center"/>
          </w:tcPr>
          <w:p>
            <w:pPr>
              <w:pStyle w:val="14"/>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p>
        </w:tc>
        <w:tc>
          <w:tcPr>
            <w:tcW w:w="613"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狮子湖南侧居民点2#</w:t>
            </w:r>
          </w:p>
        </w:tc>
        <w:tc>
          <w:tcPr>
            <w:tcW w:w="521"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3401436.710</w:t>
            </w:r>
          </w:p>
        </w:tc>
        <w:tc>
          <w:tcPr>
            <w:tcW w:w="569"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35420268.924</w:t>
            </w:r>
          </w:p>
        </w:tc>
        <w:tc>
          <w:tcPr>
            <w:tcW w:w="424"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77"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98</w:t>
            </w:r>
          </w:p>
        </w:tc>
        <w:tc>
          <w:tcPr>
            <w:tcW w:w="520"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董家堰临时堆土场南侧</w:t>
            </w:r>
          </w:p>
        </w:tc>
        <w:tc>
          <w:tcPr>
            <w:tcW w:w="423" w:type="pct"/>
            <w:vMerge w:val="continue"/>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782" w:type="pct"/>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商混结构，2F</w:t>
            </w:r>
          </w:p>
        </w:tc>
      </w:tr>
    </w:tbl>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274" w:name="_Toc19980"/>
      <w:bookmarkStart w:id="275" w:name="_Toc11864"/>
      <w:bookmarkStart w:id="276" w:name="_Toc32193"/>
      <w:bookmarkStart w:id="277" w:name="_Toc70496253"/>
      <w:bookmarkStart w:id="278" w:name="_Toc22608"/>
      <w:bookmarkStart w:id="279" w:name="_Toc3659"/>
      <w:r>
        <w:rPr>
          <w:rFonts w:ascii="Times New Roman" w:hAnsi="Times New Roman" w:cs="Times New Roman"/>
          <w:color w:val="000000" w:themeColor="text1"/>
          <w14:textFill>
            <w14:solidFill>
              <w14:schemeClr w14:val="tx1"/>
            </w14:solidFill>
          </w14:textFill>
        </w:rPr>
        <w:t>1.1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.4生态环境</w:t>
      </w:r>
      <w:bookmarkEnd w:id="274"/>
      <w:bookmarkEnd w:id="275"/>
      <w:bookmarkEnd w:id="276"/>
      <w:bookmarkEnd w:id="277"/>
      <w:bookmarkEnd w:id="278"/>
      <w:r>
        <w:rPr>
          <w:rFonts w:hint="eastAsia" w:ascii="Times New Roman" w:hAnsi="Times New Roman" w:cs="Times New Roman"/>
          <w:color w:val="000000" w:themeColor="text1"/>
          <w14:textFill>
            <w14:solidFill>
              <w14:schemeClr w14:val="tx1"/>
            </w14:solidFill>
          </w14:textFill>
        </w:rPr>
        <w:t>保护目标</w:t>
      </w:r>
      <w:bookmarkEnd w:id="279"/>
    </w:p>
    <w:p>
      <w:pPr>
        <w:adjustRightInd w:val="0"/>
        <w:snapToGrid w:val="0"/>
        <w:spacing w:line="360" w:lineRule="auto"/>
        <w:ind w:firstLine="480" w:firstLineChars="200"/>
        <w:rPr>
          <w:color w:val="000000" w:themeColor="text1"/>
          <w:sz w:val="24"/>
          <w:szCs w:val="24"/>
          <w14:textFill>
            <w14:solidFill>
              <w14:schemeClr w14:val="tx1"/>
            </w14:solidFill>
          </w14:textFill>
        </w:rPr>
      </w:pPr>
      <w:bookmarkStart w:id="280" w:name="_Toc70496254"/>
      <w:r>
        <w:rPr>
          <w:rFonts w:hint="eastAsia"/>
          <w:color w:val="000000" w:themeColor="text1"/>
          <w:sz w:val="24"/>
          <w:szCs w:val="24"/>
          <w14:textFill>
            <w14:solidFill>
              <w14:schemeClr w14:val="tx1"/>
            </w14:solidFill>
          </w14:textFill>
        </w:rPr>
        <w:t>生态保护目标主要包括</w:t>
      </w:r>
      <w:r>
        <w:rPr>
          <w:color w:val="000000" w:themeColor="text1"/>
          <w:sz w:val="24"/>
          <w:szCs w:val="24"/>
          <w14:textFill>
            <w14:solidFill>
              <w14:schemeClr w14:val="tx1"/>
            </w14:solidFill>
          </w14:textFill>
        </w:rPr>
        <w:t>受影响的重要物种、生态敏感区以及其他需要保护的物种、种群、生物群落及生态空间等。</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w:t>
      </w:r>
      <w:r>
        <w:rPr>
          <w:rFonts w:hint="eastAsia"/>
          <w:color w:val="000000" w:themeColor="text1"/>
          <w:sz w:val="24"/>
          <w:szCs w:val="24"/>
          <w14:textFill>
            <w14:solidFill>
              <w14:schemeClr w14:val="tx1"/>
            </w14:solidFill>
          </w14:textFill>
        </w:rPr>
        <w:t>成都市</w:t>
      </w:r>
      <w:r>
        <w:rPr>
          <w:color w:val="000000" w:themeColor="text1"/>
          <w:sz w:val="24"/>
          <w:szCs w:val="24"/>
          <w14:textFill>
            <w14:solidFill>
              <w14:schemeClr w14:val="tx1"/>
            </w14:solidFill>
          </w14:textFill>
        </w:rPr>
        <w:t>自然保护区、风景名胜区、生态保护红线及项目沿线重要动植物、永久基本农田、生态公益林等生态保护目标</w:t>
      </w:r>
      <w:r>
        <w:rPr>
          <w:rFonts w:hint="eastAsia"/>
          <w:color w:val="000000" w:themeColor="text1"/>
          <w:sz w:val="24"/>
          <w:szCs w:val="24"/>
          <w14:textFill>
            <w14:solidFill>
              <w14:schemeClr w14:val="tx1"/>
            </w14:solidFill>
          </w14:textFill>
        </w:rPr>
        <w:t>分布情况</w:t>
      </w:r>
      <w:r>
        <w:rPr>
          <w:color w:val="000000" w:themeColor="text1"/>
          <w:sz w:val="24"/>
          <w:szCs w:val="24"/>
          <w14:textFill>
            <w14:solidFill>
              <w14:schemeClr w14:val="tx1"/>
            </w14:solidFill>
          </w14:textFill>
        </w:rPr>
        <w:t>，结合本项目工程用地红线及生态影响范围，识别本项目生态保护目标，具体分析详见下表。</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表1.1</w:t>
      </w:r>
      <w:r>
        <w:rPr>
          <w:rFonts w:hint="eastAsia" w:eastAsia="黑体"/>
          <w:color w:val="000000" w:themeColor="text1"/>
          <w:szCs w:val="21"/>
          <w14:textFill>
            <w14:solidFill>
              <w14:schemeClr w14:val="tx1"/>
            </w14:solidFill>
          </w14:textFill>
        </w:rPr>
        <w:t>1</w:t>
      </w:r>
      <w:r>
        <w:rPr>
          <w:rFonts w:eastAsia="黑体"/>
          <w:color w:val="000000" w:themeColor="text1"/>
          <w:szCs w:val="21"/>
          <w14:textFill>
            <w14:solidFill>
              <w14:schemeClr w14:val="tx1"/>
            </w14:solidFill>
          </w14:textFill>
        </w:rPr>
        <w:t>-</w:t>
      </w:r>
      <w:r>
        <w:rPr>
          <w:rFonts w:hint="eastAsia" w:eastAsia="黑体"/>
          <w:color w:val="000000" w:themeColor="text1"/>
          <w:szCs w:val="21"/>
          <w14:textFill>
            <w14:solidFill>
              <w14:schemeClr w14:val="tx1"/>
            </w14:solidFill>
          </w14:textFill>
        </w:rPr>
        <w:t>4</w:t>
      </w:r>
      <w:r>
        <w:rPr>
          <w:rFonts w:eastAsia="黑体"/>
          <w:color w:val="000000" w:themeColor="text1"/>
          <w:szCs w:val="21"/>
          <w14:textFill>
            <w14:solidFill>
              <w14:schemeClr w14:val="tx1"/>
            </w14:solidFill>
          </w14:textFill>
        </w:rPr>
        <w:t>本项目生态保护目标的识别</w:t>
      </w:r>
    </w:p>
    <w:tbl>
      <w:tblPr>
        <w:tblStyle w:val="14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3"/>
        <w:gridCol w:w="1981"/>
        <w:gridCol w:w="3212"/>
        <w:gridCol w:w="2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529" w:type="pct"/>
            <w:gridSpan w:val="2"/>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类别</w:t>
            </w:r>
          </w:p>
        </w:tc>
        <w:tc>
          <w:tcPr>
            <w:tcW w:w="18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eastAsia="宋体"/>
                <w:b/>
                <w:color w:val="000000" w:themeColor="text1"/>
                <w:lang w:val="en-US" w:eastAsia="zh-CN"/>
                <w14:textFill>
                  <w14:solidFill>
                    <w14:schemeClr w14:val="tx1"/>
                  </w14:solidFill>
                </w14:textFill>
              </w:rPr>
            </w:pPr>
            <w:r>
              <w:rPr>
                <w:rFonts w:hint="eastAsia"/>
                <w:b/>
                <w:color w:val="000000" w:themeColor="text1"/>
                <w:lang w:val="en-US" w:eastAsia="zh-CN"/>
                <w14:textFill>
                  <w14:solidFill>
                    <w14:schemeClr w14:val="tx1"/>
                  </w14:solidFill>
                </w14:textFill>
              </w:rPr>
              <w:t>概况</w:t>
            </w:r>
          </w:p>
        </w:tc>
        <w:tc>
          <w:tcPr>
            <w:tcW w:w="15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与项目关系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29" w:type="pct"/>
            <w:gridSpan w:val="2"/>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受影响的重要物种</w:t>
            </w:r>
          </w:p>
        </w:tc>
        <w:tc>
          <w:tcPr>
            <w:tcW w:w="18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国家、省级重点保护野生鸟类</w:t>
            </w:r>
          </w:p>
        </w:tc>
        <w:tc>
          <w:tcPr>
            <w:tcW w:w="15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项目所在地涉及鸟类迁徙通道，迁徙期可能有保护鸟类途经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366" w:type="pct"/>
            <w:vMerge w:val="restar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生态敏感区</w:t>
            </w:r>
          </w:p>
        </w:tc>
        <w:tc>
          <w:tcPr>
            <w:tcW w:w="116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法定生态保护区域</w:t>
            </w:r>
          </w:p>
        </w:tc>
        <w:tc>
          <w:tcPr>
            <w:tcW w:w="18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国家公园、自然保护区、自然公园等自然保护地、世界自然遗产、生态保护红线等区域</w:t>
            </w:r>
          </w:p>
        </w:tc>
        <w:tc>
          <w:tcPr>
            <w:tcW w:w="15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本项目涉及龙泉花果山风景名胜区，属自然公园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1" w:hRule="atLeast"/>
        </w:trPr>
        <w:tc>
          <w:tcPr>
            <w:tcW w:w="366" w:type="pct"/>
            <w:vMerge w:val="continue"/>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116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重要生境</w:t>
            </w:r>
          </w:p>
        </w:tc>
        <w:tc>
          <w:tcPr>
            <w:tcW w:w="18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重要物种的天然集中分布区、栖息地，重要水生生物的产卵场、索饵场、越冬场和洄游通道，迁徙鸟类的重要繁殖地、停歇地、越冬地以及野生动物迁徙通道等。</w:t>
            </w:r>
          </w:p>
        </w:tc>
        <w:tc>
          <w:tcPr>
            <w:tcW w:w="15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本项目不涉及重要生境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1" w:hRule="atLeast"/>
        </w:trPr>
        <w:tc>
          <w:tcPr>
            <w:tcW w:w="366" w:type="pct"/>
            <w:vMerge w:val="continue"/>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116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其他具有重要生态功能、对保护生物多样性具有重要意义的区域</w:t>
            </w:r>
          </w:p>
        </w:tc>
        <w:tc>
          <w:tcPr>
            <w:tcW w:w="18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15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本项目不涉及其他具有重要生态功能、对保护生物多样性具有重要意义的区域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1529" w:type="pct"/>
            <w:gridSpan w:val="2"/>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其他需要保护的物种、种群、生物群落及生态空间</w:t>
            </w:r>
          </w:p>
        </w:tc>
        <w:tc>
          <w:tcPr>
            <w:tcW w:w="18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eastAsia="宋体"/>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评价区内古树名木</w:t>
            </w:r>
          </w:p>
        </w:tc>
        <w:tc>
          <w:tcPr>
            <w:tcW w:w="158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位于本项目生态评价范围内，但远离施工线路</w:t>
            </w:r>
          </w:p>
        </w:tc>
      </w:tr>
      <w:bookmarkEnd w:id="280"/>
    </w:tbl>
    <w:p>
      <w:pPr>
        <w:spacing w:line="364" w:lineRule="auto"/>
        <w:rPr>
          <w:color w:val="000000" w:themeColor="text1"/>
          <w14:textFill>
            <w14:solidFill>
              <w14:schemeClr w14:val="tx1"/>
            </w14:solidFill>
          </w14:textFill>
        </w:rPr>
        <w:sectPr>
          <w:footerReference r:id="rId9" w:type="default"/>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pPr>
    </w:p>
    <w:p>
      <w:pPr>
        <w:pStyle w:val="2"/>
        <w:tabs>
          <w:tab w:val="left" w:pos="4492"/>
          <w:tab w:val="left" w:pos="4493"/>
        </w:tabs>
        <w:spacing w:before="0" w:line="360" w:lineRule="auto"/>
        <w:ind w:left="0" w:firstLine="880"/>
        <w:jc w:val="center"/>
        <w:rPr>
          <w:rFonts w:ascii="Times New Roman" w:hAnsi="Times New Roman" w:cs="Times New Roman"/>
          <w:color w:val="000000" w:themeColor="text1"/>
          <w:kern w:val="0"/>
          <w14:textFill>
            <w14:solidFill>
              <w14:schemeClr w14:val="tx1"/>
            </w14:solidFill>
          </w14:textFill>
        </w:rPr>
      </w:pPr>
      <w:bookmarkStart w:id="281" w:name="_bookmark32"/>
      <w:bookmarkEnd w:id="281"/>
      <w:bookmarkStart w:id="282" w:name="3.0工程概况"/>
      <w:bookmarkEnd w:id="282"/>
      <w:bookmarkStart w:id="283" w:name="_bookmark33"/>
      <w:bookmarkEnd w:id="283"/>
      <w:bookmarkStart w:id="284" w:name="2.8评价方法及评价工作程序"/>
      <w:bookmarkEnd w:id="284"/>
      <w:bookmarkStart w:id="285" w:name="_Toc21781"/>
      <w:bookmarkStart w:id="286" w:name="_Toc27375"/>
      <w:bookmarkStart w:id="287" w:name="_Toc4001"/>
      <w:bookmarkStart w:id="288" w:name="_Toc21275"/>
      <w:bookmarkStart w:id="289" w:name="_Toc70496255"/>
      <w:bookmarkStart w:id="290" w:name="_Toc18750"/>
      <w:r>
        <w:rPr>
          <w:rFonts w:ascii="Times New Roman" w:hAnsi="Times New Roman" w:cs="Times New Roman"/>
          <w:color w:val="000000" w:themeColor="text1"/>
          <w14:textFill>
            <w14:solidFill>
              <w14:schemeClr w14:val="tx1"/>
            </w14:solidFill>
          </w14:textFill>
        </w:rPr>
        <w:t>2</w:t>
      </w:r>
      <w:bookmarkEnd w:id="285"/>
      <w:bookmarkEnd w:id="286"/>
      <w:bookmarkEnd w:id="287"/>
      <w:bookmarkEnd w:id="288"/>
      <w:r>
        <w:rPr>
          <w:rFonts w:ascii="Times New Roman" w:hAnsi="Times New Roman" w:cs="Times New Roman"/>
          <w:color w:val="000000" w:themeColor="text1"/>
          <w:kern w:val="0"/>
          <w14:textFill>
            <w14:solidFill>
              <w14:schemeClr w14:val="tx1"/>
            </w14:solidFill>
          </w14:textFill>
        </w:rPr>
        <w:t>项目概况与工程分析</w:t>
      </w:r>
      <w:bookmarkEnd w:id="289"/>
      <w:bookmarkEnd w:id="290"/>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291" w:name="_Toc6148"/>
      <w:bookmarkStart w:id="292" w:name="_Toc70496256"/>
      <w:r>
        <w:rPr>
          <w:rFonts w:eastAsia="黑体"/>
          <w:b/>
          <w:bCs/>
          <w:color w:val="000000" w:themeColor="text1"/>
          <w:kern w:val="0"/>
          <w:sz w:val="32"/>
          <w:szCs w:val="32"/>
          <w14:textFill>
            <w14:solidFill>
              <w14:schemeClr w14:val="tx1"/>
            </w14:solidFill>
          </w14:textFill>
        </w:rPr>
        <w:t>2.1流域概况及开发利用情况</w:t>
      </w:r>
      <w:bookmarkEnd w:id="291"/>
      <w:bookmarkEnd w:id="292"/>
    </w:p>
    <w:p>
      <w:pPr>
        <w:autoSpaceDE/>
        <w:autoSpaceDN/>
        <w:spacing w:line="360" w:lineRule="auto"/>
        <w:jc w:val="both"/>
        <w:outlineLvl w:val="3"/>
        <w:rPr>
          <w:rFonts w:eastAsiaTheme="minorEastAsia"/>
          <w:b/>
          <w:color w:val="000000" w:themeColor="text1"/>
          <w:kern w:val="0"/>
          <w:sz w:val="24"/>
          <w:szCs w:val="24"/>
          <w14:textFill>
            <w14:solidFill>
              <w14:schemeClr w14:val="tx1"/>
            </w14:solidFill>
          </w14:textFill>
        </w:rPr>
      </w:pPr>
      <w:r>
        <w:rPr>
          <w:rFonts w:eastAsiaTheme="minorEastAsia"/>
          <w:b/>
          <w:color w:val="000000" w:themeColor="text1"/>
          <w:kern w:val="0"/>
          <w:sz w:val="24"/>
          <w:szCs w:val="24"/>
          <w14:textFill>
            <w14:solidFill>
              <w14:schemeClr w14:val="tx1"/>
            </w14:solidFill>
          </w14:textFill>
        </w:rPr>
        <w:t>2.1.1.1</w:t>
      </w:r>
      <w:r>
        <w:rPr>
          <w:rFonts w:hint="eastAsia" w:eastAsiaTheme="minorEastAsia"/>
          <w:b/>
          <w:color w:val="000000" w:themeColor="text1"/>
          <w:kern w:val="0"/>
          <w:sz w:val="24"/>
          <w:szCs w:val="24"/>
          <w14:textFill>
            <w14:solidFill>
              <w14:schemeClr w14:val="tx1"/>
            </w14:solidFill>
          </w14:textFill>
        </w:rPr>
        <w:t>流域</w:t>
      </w:r>
      <w:r>
        <w:rPr>
          <w:rFonts w:eastAsiaTheme="minorEastAsia"/>
          <w:b/>
          <w:color w:val="000000" w:themeColor="text1"/>
          <w:kern w:val="0"/>
          <w:sz w:val="24"/>
          <w:szCs w:val="24"/>
          <w14:textFill>
            <w14:solidFill>
              <w14:schemeClr w14:val="tx1"/>
            </w14:solidFill>
          </w14:textFill>
        </w:rPr>
        <w:t>概况</w:t>
      </w:r>
    </w:p>
    <w:p>
      <w:pPr>
        <w:pStyle w:val="14"/>
        <w:adjustRightInd w:val="0"/>
        <w:snapToGrid w:val="0"/>
        <w:spacing w:line="360" w:lineRule="auto"/>
        <w:ind w:firstLine="472" w:firstLineChars="200"/>
        <w:jc w:val="both"/>
        <w:rPr>
          <w:color w:val="000000" w:themeColor="text1"/>
          <w14:textFill>
            <w14:solidFill>
              <w14:schemeClr w14:val="tx1"/>
            </w14:solidFill>
          </w14:textFill>
        </w:rPr>
      </w:pPr>
      <w:r>
        <w:rPr>
          <w:color w:val="000000" w:themeColor="text1"/>
          <w:spacing w:val="-2"/>
          <w14:textFill>
            <w14:solidFill>
              <w14:schemeClr w14:val="tx1"/>
            </w14:solidFill>
          </w14:textFill>
        </w:rPr>
        <w:t>成都市主要为长江流域岷江、沱江两大水系。市境内岷江流域面积占全市幅员面积</w:t>
      </w:r>
      <w:r>
        <w:rPr>
          <w:rFonts w:eastAsia="Times New Roman"/>
          <w:color w:val="000000" w:themeColor="text1"/>
          <w:spacing w:val="-3"/>
          <w14:textFill>
            <w14:solidFill>
              <w14:schemeClr w14:val="tx1"/>
            </w14:solidFill>
          </w14:textFill>
        </w:rPr>
        <w:t>70.4%</w:t>
      </w:r>
      <w:r>
        <w:rPr>
          <w:color w:val="000000" w:themeColor="text1"/>
          <w:spacing w:val="-3"/>
          <w14:textFill>
            <w14:solidFill>
              <w14:schemeClr w14:val="tx1"/>
            </w14:solidFill>
          </w14:textFill>
        </w:rPr>
        <w:t>，沱江流域面积占</w:t>
      </w:r>
      <w:r>
        <w:rPr>
          <w:rFonts w:eastAsia="Times New Roman"/>
          <w:color w:val="000000" w:themeColor="text1"/>
          <w:spacing w:val="-4"/>
          <w14:textFill>
            <w14:solidFill>
              <w14:schemeClr w14:val="tx1"/>
            </w14:solidFill>
          </w14:textFill>
        </w:rPr>
        <w:t>29.6%</w:t>
      </w:r>
      <w:r>
        <w:rPr>
          <w:color w:val="000000" w:themeColor="text1"/>
          <w:spacing w:val="-4"/>
          <w14:textFill>
            <w14:solidFill>
              <w14:schemeClr w14:val="tx1"/>
            </w14:solidFill>
          </w14:textFill>
        </w:rPr>
        <w:t>。成都市西南部为岷江水系，东北部为沱江水系，水域面</w:t>
      </w:r>
      <w:r>
        <w:rPr>
          <w:color w:val="000000" w:themeColor="text1"/>
          <w14:textFill>
            <w14:solidFill>
              <w14:schemeClr w14:val="tx1"/>
            </w14:solidFill>
          </w14:textFill>
        </w:rPr>
        <w:t>积逾</w:t>
      </w:r>
      <w:r>
        <w:rPr>
          <w:rFonts w:eastAsia="Times New Roman"/>
          <w:color w:val="000000" w:themeColor="text1"/>
          <w:spacing w:val="-4"/>
          <w14:textFill>
            <w14:solidFill>
              <w14:schemeClr w14:val="tx1"/>
            </w14:solidFill>
          </w14:textFill>
        </w:rPr>
        <w:t>700km</w:t>
      </w:r>
      <w:r>
        <w:rPr>
          <w:rFonts w:eastAsia="Times New Roman"/>
          <w:color w:val="000000" w:themeColor="text1"/>
          <w:spacing w:val="-4"/>
          <w:position w:val="9"/>
          <w:sz w:val="16"/>
          <w:szCs w:val="16"/>
          <w14:textFill>
            <w14:solidFill>
              <w14:schemeClr w14:val="tx1"/>
            </w14:solidFill>
          </w14:textFill>
        </w:rPr>
        <w:t>2</w:t>
      </w:r>
      <w:r>
        <w:rPr>
          <w:color w:val="000000" w:themeColor="text1"/>
          <w:spacing w:val="-4"/>
          <w14:textFill>
            <w14:solidFill>
              <w14:schemeClr w14:val="tx1"/>
            </w14:solidFill>
          </w14:textFill>
        </w:rPr>
        <w:t>。在上述河流形成的骨干水系下，项目区内的东风渠管理处灌区内建有东风</w:t>
      </w:r>
      <w:r>
        <w:rPr>
          <w:color w:val="000000" w:themeColor="text1"/>
          <w:spacing w:val="-2"/>
          <w14:textFill>
            <w14:solidFill>
              <w14:schemeClr w14:val="tx1"/>
            </w14:solidFill>
          </w14:textFill>
        </w:rPr>
        <w:t>渠总干渠、北干渠、牧马山干渠等主要干渠，干渠下属支渠、斗渠密布，形成了灌区的</w:t>
      </w:r>
      <w:r>
        <w:rPr>
          <w:color w:val="000000" w:themeColor="text1"/>
          <w14:textFill>
            <w14:solidFill>
              <w14:schemeClr w14:val="tx1"/>
            </w14:solidFill>
          </w14:textFill>
        </w:rPr>
        <w:t>灌溉渠系。项目取水涉及的相关渠系基本情况如下：</w:t>
      </w:r>
    </w:p>
    <w:p>
      <w:pPr>
        <w:pStyle w:val="14"/>
        <w:adjustRightInd w:val="0"/>
        <w:snapToGrid w:val="0"/>
        <w:spacing w:line="360" w:lineRule="auto"/>
        <w:ind w:firstLine="480" w:firstLineChars="200"/>
        <w:jc w:val="both"/>
        <w:rPr>
          <w:color w:val="000000" w:themeColor="text1"/>
          <w:spacing w:val="-3"/>
          <w14:textFill>
            <w14:solidFill>
              <w14:schemeClr w14:val="tx1"/>
            </w14:solidFill>
          </w14:textFill>
        </w:rPr>
      </w:pPr>
      <w:r>
        <w:rPr>
          <w:color w:val="000000" w:themeColor="text1"/>
          <w14:textFill>
            <w14:solidFill>
              <w14:schemeClr w14:val="tx1"/>
            </w14:solidFill>
          </w14:textFill>
        </w:rPr>
        <w:t>东风渠总干渠，东风渠是引用都江堰内江渠系水源的大型引水灌溉工程，又名东山引水灌溉工程。始建于</w:t>
      </w:r>
      <w:r>
        <w:rPr>
          <w:rFonts w:eastAsia="Times New Roman"/>
          <w:color w:val="000000" w:themeColor="text1"/>
          <w14:textFill>
            <w14:solidFill>
              <w14:schemeClr w14:val="tx1"/>
            </w14:solidFill>
          </w14:textFill>
        </w:rPr>
        <w:t>1956</w:t>
      </w:r>
      <w:r>
        <w:rPr>
          <w:color w:val="000000" w:themeColor="text1"/>
          <w14:textFill>
            <w14:solidFill>
              <w14:schemeClr w14:val="tx1"/>
            </w14:solidFill>
          </w14:textFill>
        </w:rPr>
        <w:t>年春，时称东山引水灌溉工程，至</w:t>
      </w:r>
      <w:r>
        <w:rPr>
          <w:rFonts w:eastAsia="Times New Roman"/>
          <w:color w:val="000000" w:themeColor="text1"/>
          <w14:textFill>
            <w14:solidFill>
              <w14:schemeClr w14:val="tx1"/>
            </w14:solidFill>
          </w14:textFill>
        </w:rPr>
        <w:t>1966</w:t>
      </w:r>
      <w:r>
        <w:rPr>
          <w:color w:val="000000" w:themeColor="text1"/>
          <w14:textFill>
            <w14:solidFill>
              <w14:schemeClr w14:val="tx1"/>
            </w14:solidFill>
          </w14:textFill>
        </w:rPr>
        <w:t>年方改称东风渠。东风渠总干渠是都江堰灌区的一条重要输水干渠。始于府河郫都区安靖东风渠总干引水枢纽，东南流进入成都市城区，至南北节制闸、麻石桥节制闸、团结节制闸、罗家河坝</w:t>
      </w:r>
      <w:r>
        <w:rPr>
          <w:color w:val="000000" w:themeColor="text1"/>
          <w:spacing w:val="-3"/>
          <w14:textFill>
            <w14:solidFill>
              <w14:schemeClr w14:val="tx1"/>
            </w14:solidFill>
          </w14:textFill>
        </w:rPr>
        <w:t>分水枢纽分出北干渠、东干渠、老南干渠和新南干渠。东风渠总干渠全长</w:t>
      </w:r>
      <w:r>
        <w:rPr>
          <w:rFonts w:eastAsia="Times New Roman"/>
          <w:color w:val="000000" w:themeColor="text1"/>
          <w:spacing w:val="-4"/>
          <w14:textFill>
            <w14:solidFill>
              <w14:schemeClr w14:val="tx1"/>
            </w14:solidFill>
          </w14:textFill>
        </w:rPr>
        <w:t>54.3km</w:t>
      </w:r>
      <w:r>
        <w:rPr>
          <w:color w:val="000000" w:themeColor="text1"/>
          <w:spacing w:val="-4"/>
          <w14:textFill>
            <w14:solidFill>
              <w14:schemeClr w14:val="tx1"/>
            </w14:solidFill>
          </w14:textFill>
        </w:rPr>
        <w:t>，进水</w:t>
      </w:r>
      <w:r>
        <w:rPr>
          <w:color w:val="000000" w:themeColor="text1"/>
          <w14:textFill>
            <w14:solidFill>
              <w14:schemeClr w14:val="tx1"/>
            </w14:solidFill>
          </w14:textFill>
        </w:rPr>
        <w:t>闸设计流量</w:t>
      </w:r>
      <w:r>
        <w:rPr>
          <w:rFonts w:eastAsia="Times New Roman"/>
          <w:color w:val="000000" w:themeColor="text1"/>
          <w:spacing w:val="-3"/>
          <w14:textFill>
            <w14:solidFill>
              <w14:schemeClr w14:val="tx1"/>
            </w14:solidFill>
          </w14:textFill>
        </w:rPr>
        <w:t>80m</w:t>
      </w:r>
      <w:r>
        <w:rPr>
          <w:rFonts w:eastAsia="Times New Roman"/>
          <w:color w:val="000000" w:themeColor="text1"/>
          <w:spacing w:val="-3"/>
          <w:position w:val="9"/>
          <w:sz w:val="16"/>
          <w:szCs w:val="16"/>
          <w14:textFill>
            <w14:solidFill>
              <w14:schemeClr w14:val="tx1"/>
            </w14:solidFill>
          </w14:textFill>
        </w:rPr>
        <w:t>3</w:t>
      </w:r>
      <w:r>
        <w:rPr>
          <w:rFonts w:eastAsia="Times New Roman"/>
          <w:color w:val="000000" w:themeColor="text1"/>
          <w:spacing w:val="-3"/>
          <w14:textFill>
            <w14:solidFill>
              <w14:schemeClr w14:val="tx1"/>
            </w14:solidFill>
          </w14:textFill>
        </w:rPr>
        <w:t>/s</w:t>
      </w:r>
      <w:r>
        <w:rPr>
          <w:color w:val="000000" w:themeColor="text1"/>
          <w:spacing w:val="-3"/>
          <w14:textFill>
            <w14:solidFill>
              <w14:schemeClr w14:val="tx1"/>
            </w14:solidFill>
          </w14:textFill>
        </w:rPr>
        <w:t>。</w:t>
      </w:r>
    </w:p>
    <w:p>
      <w:pPr>
        <w:pStyle w:val="14"/>
        <w:adjustRightInd w:val="0"/>
        <w:snapToGrid w:val="0"/>
        <w:spacing w:line="360" w:lineRule="auto"/>
        <w:ind w:firstLine="468" w:firstLineChars="200"/>
        <w:jc w:val="both"/>
        <w:rPr>
          <w:color w:val="000000" w:themeColor="text1"/>
          <w14:textFill>
            <w14:solidFill>
              <w14:schemeClr w14:val="tx1"/>
            </w14:solidFill>
          </w14:textFill>
        </w:rPr>
      </w:pPr>
      <w:r>
        <w:rPr>
          <w:color w:val="000000" w:themeColor="text1"/>
          <w:spacing w:val="-3"/>
          <w14:textFill>
            <w14:solidFill>
              <w14:schemeClr w14:val="tx1"/>
            </w14:solidFill>
          </w14:textFill>
        </w:rPr>
        <w:t>绕城高速公路以内，东风渠总干渠河道岸线总长度</w:t>
      </w:r>
      <w:r>
        <w:rPr>
          <w:rFonts w:eastAsia="Times New Roman"/>
          <w:color w:val="000000" w:themeColor="text1"/>
          <w:spacing w:val="-5"/>
          <w14:textFill>
            <w14:solidFill>
              <w14:schemeClr w14:val="tx1"/>
            </w14:solidFill>
          </w14:textFill>
        </w:rPr>
        <w:t>22.2km</w:t>
      </w:r>
      <w:r>
        <w:rPr>
          <w:color w:val="000000" w:themeColor="text1"/>
          <w:spacing w:val="-5"/>
          <w14:textFill>
            <w14:solidFill>
              <w14:schemeClr w14:val="tx1"/>
            </w14:solidFill>
          </w14:textFill>
        </w:rPr>
        <w:t>，工程共</w:t>
      </w:r>
      <w:r>
        <w:rPr>
          <w:color w:val="000000" w:themeColor="text1"/>
          <w14:textFill>
            <w14:solidFill>
              <w14:schemeClr w14:val="tx1"/>
            </w14:solidFill>
          </w14:textFill>
        </w:rPr>
        <w:t>分六期建设。一期工程自郫都区安靖乡引府河水源，向东南开总干渠</w:t>
      </w:r>
      <w:r>
        <w:rPr>
          <w:rFonts w:eastAsia="Times New Roman"/>
          <w:color w:val="000000" w:themeColor="text1"/>
          <w14:textFill>
            <w14:solidFill>
              <w14:schemeClr w14:val="tx1"/>
            </w14:solidFill>
          </w14:textFill>
        </w:rPr>
        <w:t>13.6km</w:t>
      </w:r>
      <w:r>
        <w:rPr>
          <w:color w:val="000000" w:themeColor="text1"/>
          <w14:textFill>
            <w14:solidFill>
              <w14:schemeClr w14:val="tx1"/>
            </w14:solidFill>
          </w14:textFill>
        </w:rPr>
        <w:t>至南北闸；并左分北干渠</w:t>
      </w:r>
      <w:r>
        <w:rPr>
          <w:rFonts w:eastAsia="Times New Roman"/>
          <w:color w:val="000000" w:themeColor="text1"/>
          <w:spacing w:val="-8"/>
          <w14:textFill>
            <w14:solidFill>
              <w14:schemeClr w14:val="tx1"/>
            </w14:solidFill>
          </w14:textFill>
        </w:rPr>
        <w:t>35.6km</w:t>
      </w:r>
      <w:r>
        <w:rPr>
          <w:color w:val="000000" w:themeColor="text1"/>
          <w:spacing w:val="-8"/>
          <w14:textFill>
            <w14:solidFill>
              <w14:schemeClr w14:val="tx1"/>
            </w14:solidFill>
          </w14:textFill>
        </w:rPr>
        <w:t>。</w:t>
      </w:r>
      <w:r>
        <w:rPr>
          <w:rFonts w:eastAsia="Times New Roman"/>
          <w:color w:val="000000" w:themeColor="text1"/>
          <w:spacing w:val="-8"/>
          <w14:textFill>
            <w14:solidFill>
              <w14:schemeClr w14:val="tx1"/>
            </w14:solidFill>
          </w14:textFill>
        </w:rPr>
        <w:t>1956</w:t>
      </w:r>
      <w:r>
        <w:rPr>
          <w:color w:val="000000" w:themeColor="text1"/>
          <w14:textFill>
            <w14:solidFill>
              <w14:schemeClr w14:val="tx1"/>
            </w14:solidFill>
          </w14:textFill>
        </w:rPr>
        <w:t>年</w:t>
      </w:r>
      <w:r>
        <w:rPr>
          <w:rFonts w:eastAsia="Times New Roman"/>
          <w:color w:val="000000" w:themeColor="text1"/>
          <w14:textFill>
            <w14:solidFill>
              <w14:schemeClr w14:val="tx1"/>
            </w14:solidFill>
          </w14:textFill>
        </w:rPr>
        <w:t>3</w:t>
      </w:r>
      <w:r>
        <w:rPr>
          <w:color w:val="000000" w:themeColor="text1"/>
          <w:spacing w:val="-8"/>
          <w14:textFill>
            <w14:solidFill>
              <w14:schemeClr w14:val="tx1"/>
            </w14:solidFill>
          </w14:textFill>
        </w:rPr>
        <w:t>月开工，次月建成。二期工程向南及东南延伸总干渠</w:t>
      </w:r>
      <w:r>
        <w:rPr>
          <w:rFonts w:eastAsia="Times New Roman"/>
          <w:color w:val="000000" w:themeColor="text1"/>
          <w14:textFill>
            <w14:solidFill>
              <w14:schemeClr w14:val="tx1"/>
            </w14:solidFill>
          </w14:textFill>
        </w:rPr>
        <w:t>22.4km</w:t>
      </w:r>
      <w:r>
        <w:rPr>
          <w:color w:val="000000" w:themeColor="text1"/>
          <w14:textFill>
            <w14:solidFill>
              <w14:schemeClr w14:val="tx1"/>
            </w14:solidFill>
          </w14:textFill>
        </w:rPr>
        <w:t>，至麻石桥，此段时称东山东南干渠。又自麻石桥左分东干渠</w:t>
      </w:r>
      <w:r>
        <w:rPr>
          <w:rFonts w:eastAsia="Times New Roman"/>
          <w:color w:val="000000" w:themeColor="text1"/>
          <w14:textFill>
            <w14:solidFill>
              <w14:schemeClr w14:val="tx1"/>
            </w14:solidFill>
          </w14:textFill>
        </w:rPr>
        <w:t>53.4km</w:t>
      </w:r>
      <w:r>
        <w:rPr>
          <w:color w:val="000000" w:themeColor="text1"/>
          <w14:textFill>
            <w14:solidFill>
              <w14:schemeClr w14:val="tx1"/>
            </w14:solidFill>
          </w14:textFill>
        </w:rPr>
        <w:t>；再右分老南干渠（时称东山南干渠）</w:t>
      </w:r>
      <w:r>
        <w:rPr>
          <w:rFonts w:eastAsia="Times New Roman"/>
          <w:color w:val="000000" w:themeColor="text1"/>
          <w14:textFill>
            <w14:solidFill>
              <w14:schemeClr w14:val="tx1"/>
            </w14:solidFill>
          </w14:textFill>
        </w:rPr>
        <w:t>10km</w:t>
      </w: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1956</w:t>
      </w:r>
      <w:r>
        <w:rPr>
          <w:color w:val="000000" w:themeColor="text1"/>
          <w14:textFill>
            <w14:solidFill>
              <w14:schemeClr w14:val="tx1"/>
            </w14:solidFill>
          </w14:textFill>
        </w:rPr>
        <w:t>年冬开工，</w:t>
      </w:r>
      <w:r>
        <w:rPr>
          <w:rFonts w:eastAsia="Times New Roman"/>
          <w:color w:val="000000" w:themeColor="text1"/>
          <w14:textFill>
            <w14:solidFill>
              <w14:schemeClr w14:val="tx1"/>
            </w14:solidFill>
          </w14:textFill>
        </w:rPr>
        <w:t>1957</w:t>
      </w:r>
      <w:r>
        <w:rPr>
          <w:color w:val="000000" w:themeColor="text1"/>
          <w14:textFill>
            <w14:solidFill>
              <w14:schemeClr w14:val="tx1"/>
            </w14:solidFill>
          </w14:textFill>
        </w:rPr>
        <w:t>年春建成。三期工程主要为延长老南干渠</w:t>
      </w:r>
      <w:r>
        <w:rPr>
          <w:rFonts w:eastAsia="Times New Roman"/>
          <w:color w:val="000000" w:themeColor="text1"/>
          <w14:textFill>
            <w14:solidFill>
              <w14:schemeClr w14:val="tx1"/>
            </w14:solidFill>
          </w14:textFill>
        </w:rPr>
        <w:t>49.7km</w:t>
      </w: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1958</w:t>
      </w:r>
      <w:r>
        <w:rPr>
          <w:color w:val="000000" w:themeColor="text1"/>
          <w14:textFill>
            <w14:solidFill>
              <w14:schemeClr w14:val="tx1"/>
            </w14:solidFill>
          </w14:textFill>
        </w:rPr>
        <w:t>年春开工，当年建成。四期工程再向南延伸总干渠</w:t>
      </w:r>
      <w:r>
        <w:rPr>
          <w:rFonts w:eastAsia="Times New Roman"/>
          <w:color w:val="000000" w:themeColor="text1"/>
          <w14:textFill>
            <w14:solidFill>
              <w14:schemeClr w14:val="tx1"/>
            </w14:solidFill>
          </w14:textFill>
        </w:rPr>
        <w:t>12.8km</w:t>
      </w:r>
      <w:r>
        <w:rPr>
          <w:color w:val="000000" w:themeColor="text1"/>
          <w14:textFill>
            <w14:solidFill>
              <w14:schemeClr w14:val="tx1"/>
            </w14:solidFill>
          </w14:textFill>
        </w:rPr>
        <w:t>至罗家河</w:t>
      </w:r>
      <w:r>
        <w:rPr>
          <w:color w:val="000000" w:themeColor="text1"/>
          <w:spacing w:val="-3"/>
          <w14:textFill>
            <w14:solidFill>
              <w14:schemeClr w14:val="tx1"/>
            </w14:solidFill>
          </w14:textFill>
        </w:rPr>
        <w:t>坝，使总干渠全长达到</w:t>
      </w:r>
      <w:r>
        <w:rPr>
          <w:rFonts w:eastAsia="Times New Roman"/>
          <w:color w:val="000000" w:themeColor="text1"/>
          <w14:textFill>
            <w14:solidFill>
              <w14:schemeClr w14:val="tx1"/>
            </w14:solidFill>
          </w14:textFill>
        </w:rPr>
        <w:t>54.8km</w:t>
      </w:r>
      <w:r>
        <w:rPr>
          <w:color w:val="000000" w:themeColor="text1"/>
          <w14:textFill>
            <w14:solidFill>
              <w14:schemeClr w14:val="tx1"/>
            </w14:solidFill>
          </w14:textFill>
        </w:rPr>
        <w:t>；又自罗家河坝右分新南干渠</w:t>
      </w:r>
      <w:r>
        <w:rPr>
          <w:rFonts w:eastAsia="Times New Roman"/>
          <w:color w:val="000000" w:themeColor="text1"/>
          <w:spacing w:val="-3"/>
          <w14:textFill>
            <w14:solidFill>
              <w14:schemeClr w14:val="tx1"/>
            </w14:solidFill>
          </w14:textFill>
        </w:rPr>
        <w:t>77.6km</w:t>
      </w:r>
      <w:r>
        <w:rPr>
          <w:color w:val="000000" w:themeColor="text1"/>
          <w:spacing w:val="-3"/>
          <w14:textFill>
            <w14:solidFill>
              <w14:schemeClr w14:val="tx1"/>
            </w14:solidFill>
          </w14:textFill>
        </w:rPr>
        <w:t>。此期于</w:t>
      </w:r>
      <w:r>
        <w:rPr>
          <w:rFonts w:eastAsia="Times New Roman"/>
          <w:color w:val="000000" w:themeColor="text1"/>
          <w14:textFill>
            <w14:solidFill>
              <w14:schemeClr w14:val="tx1"/>
            </w14:solidFill>
          </w14:textFill>
        </w:rPr>
        <w:t>1959</w:t>
      </w:r>
      <w:r>
        <w:rPr>
          <w:color w:val="000000" w:themeColor="text1"/>
          <w14:textFill>
            <w14:solidFill>
              <w14:schemeClr w14:val="tx1"/>
            </w14:solidFill>
          </w14:textFill>
        </w:rPr>
        <w:t>年冬开工，次年春即因经济困难而停建。至</w:t>
      </w:r>
      <w:r>
        <w:rPr>
          <w:rFonts w:eastAsia="Times New Roman"/>
          <w:color w:val="000000" w:themeColor="text1"/>
          <w14:textFill>
            <w14:solidFill>
              <w14:schemeClr w14:val="tx1"/>
            </w14:solidFill>
          </w14:textFill>
        </w:rPr>
        <w:t>1966</w:t>
      </w:r>
      <w:r>
        <w:rPr>
          <w:color w:val="000000" w:themeColor="text1"/>
          <w14:textFill>
            <w14:solidFill>
              <w14:schemeClr w14:val="tx1"/>
            </w14:solidFill>
          </w14:textFill>
        </w:rPr>
        <w:t>年春复工，</w:t>
      </w:r>
      <w:r>
        <w:rPr>
          <w:rFonts w:eastAsia="Times New Roman"/>
          <w:color w:val="000000" w:themeColor="text1"/>
          <w14:textFill>
            <w14:solidFill>
              <w14:schemeClr w14:val="tx1"/>
            </w14:solidFill>
          </w14:textFill>
        </w:rPr>
        <w:t>1970</w:t>
      </w:r>
      <w:r>
        <w:rPr>
          <w:color w:val="000000" w:themeColor="text1"/>
          <w14:textFill>
            <w14:solidFill>
              <w14:schemeClr w14:val="tx1"/>
            </w14:solidFill>
          </w14:textFill>
        </w:rPr>
        <w:t>年冬建成。一至四期共建</w:t>
      </w:r>
      <w:r>
        <w:rPr>
          <w:color w:val="000000" w:themeColor="text1"/>
          <w:spacing w:val="-4"/>
          <w14:textFill>
            <w14:solidFill>
              <w14:schemeClr w14:val="tx1"/>
            </w14:solidFill>
          </w14:textFill>
        </w:rPr>
        <w:t>总干渠一条，灌溉农田</w:t>
      </w:r>
      <w:r>
        <w:rPr>
          <w:rFonts w:eastAsia="Times New Roman"/>
          <w:color w:val="000000" w:themeColor="text1"/>
          <w14:textFill>
            <w14:solidFill>
              <w14:schemeClr w14:val="tx1"/>
            </w14:solidFill>
          </w14:textFill>
        </w:rPr>
        <w:t>19.4</w:t>
      </w:r>
      <w:r>
        <w:rPr>
          <w:color w:val="000000" w:themeColor="text1"/>
          <w:spacing w:val="-9"/>
          <w14:textFill>
            <w14:solidFill>
              <w14:schemeClr w14:val="tx1"/>
            </w14:solidFill>
          </w14:textFill>
        </w:rPr>
        <w:t>万。干渠</w:t>
      </w:r>
      <w:r>
        <w:rPr>
          <w:rFonts w:eastAsia="Times New Roman"/>
          <w:color w:val="000000" w:themeColor="text1"/>
          <w14:textFill>
            <w14:solidFill>
              <w14:schemeClr w14:val="tx1"/>
            </w14:solidFill>
          </w14:textFill>
        </w:rPr>
        <w:t>4</w:t>
      </w:r>
      <w:r>
        <w:rPr>
          <w:color w:val="000000" w:themeColor="text1"/>
          <w:spacing w:val="-9"/>
          <w14:textFill>
            <w14:solidFill>
              <w14:schemeClr w14:val="tx1"/>
            </w14:solidFill>
          </w14:textFill>
        </w:rPr>
        <w:t>条，支渠</w:t>
      </w:r>
      <w:r>
        <w:rPr>
          <w:rFonts w:eastAsia="Times New Roman"/>
          <w:color w:val="000000" w:themeColor="text1"/>
          <w14:textFill>
            <w14:solidFill>
              <w14:schemeClr w14:val="tx1"/>
            </w14:solidFill>
          </w14:textFill>
        </w:rPr>
        <w:t>20</w:t>
      </w:r>
      <w:r>
        <w:rPr>
          <w:color w:val="000000" w:themeColor="text1"/>
          <w:spacing w:val="-6"/>
          <w14:textFill>
            <w14:solidFill>
              <w14:schemeClr w14:val="tx1"/>
            </w14:solidFill>
          </w14:textFill>
        </w:rPr>
        <w:t>条，其中灌溉农田：北干渠</w:t>
      </w:r>
      <w:r>
        <w:rPr>
          <w:rFonts w:eastAsia="Times New Roman"/>
          <w:color w:val="000000" w:themeColor="text1"/>
          <w14:textFill>
            <w14:solidFill>
              <w14:schemeClr w14:val="tx1"/>
            </w14:solidFill>
          </w14:textFill>
        </w:rPr>
        <w:t>10.45</w:t>
      </w:r>
      <w:r>
        <w:rPr>
          <w:color w:val="000000" w:themeColor="text1"/>
          <w14:textFill>
            <w14:solidFill>
              <w14:schemeClr w14:val="tx1"/>
            </w14:solidFill>
          </w14:textFill>
        </w:rPr>
        <w:t>万亩；东干渠</w:t>
      </w:r>
      <w:r>
        <w:rPr>
          <w:rFonts w:eastAsia="Times New Roman"/>
          <w:color w:val="000000" w:themeColor="text1"/>
          <w14:textFill>
            <w14:solidFill>
              <w14:schemeClr w14:val="tx1"/>
            </w14:solidFill>
          </w14:textFill>
        </w:rPr>
        <w:t>23.19</w:t>
      </w:r>
      <w:r>
        <w:rPr>
          <w:color w:val="000000" w:themeColor="text1"/>
          <w14:textFill>
            <w14:solidFill>
              <w14:schemeClr w14:val="tx1"/>
            </w14:solidFill>
          </w14:textFill>
        </w:rPr>
        <w:t>万亩；老南干渠</w:t>
      </w:r>
      <w:r>
        <w:rPr>
          <w:rFonts w:eastAsia="Times New Roman"/>
          <w:color w:val="000000" w:themeColor="text1"/>
          <w14:textFill>
            <w14:solidFill>
              <w14:schemeClr w14:val="tx1"/>
            </w14:solidFill>
          </w14:textFill>
        </w:rPr>
        <w:t>18.92</w:t>
      </w:r>
      <w:r>
        <w:rPr>
          <w:color w:val="000000" w:themeColor="text1"/>
          <w14:textFill>
            <w14:solidFill>
              <w14:schemeClr w14:val="tx1"/>
            </w14:solidFill>
          </w14:textFill>
        </w:rPr>
        <w:t>万亩；新南干渠则承担东风渠四、五期灌区及井研</w:t>
      </w:r>
      <w:r>
        <w:rPr>
          <w:rFonts w:eastAsia="Times New Roman"/>
          <w:color w:val="000000" w:themeColor="text1"/>
          <w14:textFill>
            <w14:solidFill>
              <w14:schemeClr w14:val="tx1"/>
            </w14:solidFill>
          </w14:textFill>
        </w:rPr>
        <w:t>14.87</w:t>
      </w:r>
      <w:r>
        <w:rPr>
          <w:color w:val="000000" w:themeColor="text1"/>
          <w:spacing w:val="-7"/>
          <w14:textFill>
            <w14:solidFill>
              <w14:schemeClr w14:val="tx1"/>
            </w14:solidFill>
          </w14:textFill>
        </w:rPr>
        <w:t>万亩扩灌区输水任务。设计总灌溉面积为</w:t>
      </w:r>
      <w:r>
        <w:rPr>
          <w:rFonts w:eastAsia="Times New Roman"/>
          <w:color w:val="000000" w:themeColor="text1"/>
          <w14:textFill>
            <w14:solidFill>
              <w14:schemeClr w14:val="tx1"/>
            </w14:solidFill>
          </w14:textFill>
        </w:rPr>
        <w:t>159.81</w:t>
      </w:r>
      <w:r>
        <w:rPr>
          <w:color w:val="000000" w:themeColor="text1"/>
          <w:spacing w:val="-17"/>
          <w14:textFill>
            <w14:solidFill>
              <w14:schemeClr w14:val="tx1"/>
            </w14:solidFill>
          </w14:textFill>
        </w:rPr>
        <w:t>万亩，其中四期</w:t>
      </w:r>
      <w:r>
        <w:rPr>
          <w:rFonts w:eastAsia="Times New Roman"/>
          <w:color w:val="000000" w:themeColor="text1"/>
          <w14:textFill>
            <w14:solidFill>
              <w14:schemeClr w14:val="tx1"/>
            </w14:solidFill>
          </w14:textFill>
        </w:rPr>
        <w:t>38.88</w:t>
      </w:r>
      <w:r>
        <w:rPr>
          <w:color w:val="000000" w:themeColor="text1"/>
          <w14:textFill>
            <w14:solidFill>
              <w14:schemeClr w14:val="tx1"/>
            </w14:solidFill>
          </w14:textFill>
        </w:rPr>
        <w:t>万亩；解决了龙泉山以西平原及浅丘区农灌问题。</w:t>
      </w:r>
    </w:p>
    <w:p>
      <w:pPr>
        <w:pStyle w:val="14"/>
        <w:adjustRightInd w:val="0"/>
        <w:snapToGrid w:val="0"/>
        <w:spacing w:line="360" w:lineRule="auto"/>
        <w:ind w:firstLine="472" w:firstLineChars="200"/>
        <w:jc w:val="both"/>
        <w:rPr>
          <w:color w:val="000000" w:themeColor="text1"/>
          <w14:textFill>
            <w14:solidFill>
              <w14:schemeClr w14:val="tx1"/>
            </w14:solidFill>
          </w14:textFill>
        </w:rPr>
      </w:pPr>
      <w:r>
        <w:rPr>
          <w:color w:val="000000" w:themeColor="text1"/>
          <w:spacing w:val="-2"/>
          <w14:textFill>
            <w14:solidFill>
              <w14:schemeClr w14:val="tx1"/>
            </w14:solidFill>
          </w14:textFill>
        </w:rPr>
        <w:t>为将水源引至龙泉山以东丘陵旱区，采取引洪囤蓄方式，兴建五期工程，即以黑龙</w:t>
      </w:r>
      <w:r>
        <w:rPr>
          <w:color w:val="000000" w:themeColor="text1"/>
          <w14:textFill>
            <w14:solidFill>
              <w14:schemeClr w14:val="tx1"/>
            </w14:solidFill>
          </w14:textFill>
        </w:rPr>
        <w:t>滩水库为充囤工程，在新南干渠</w:t>
      </w:r>
      <w:r>
        <w:rPr>
          <w:rFonts w:eastAsia="Times New Roman"/>
          <w:color w:val="000000" w:themeColor="text1"/>
          <w14:textFill>
            <w14:solidFill>
              <w14:schemeClr w14:val="tx1"/>
            </w14:solidFill>
          </w14:textFill>
        </w:rPr>
        <w:t>60km</w:t>
      </w:r>
      <w:r>
        <w:rPr>
          <w:color w:val="000000" w:themeColor="text1"/>
          <w14:textFill>
            <w14:solidFill>
              <w14:schemeClr w14:val="tx1"/>
            </w14:solidFill>
          </w14:textFill>
        </w:rPr>
        <w:t>流程处引水充库，充水渠长</w:t>
      </w:r>
      <w:r>
        <w:rPr>
          <w:rFonts w:eastAsia="Times New Roman"/>
          <w:color w:val="000000" w:themeColor="text1"/>
          <w14:textFill>
            <w14:solidFill>
              <w14:schemeClr w14:val="tx1"/>
            </w14:solidFill>
          </w14:textFill>
        </w:rPr>
        <w:t>3.6km</w:t>
      </w:r>
      <w:r>
        <w:rPr>
          <w:color w:val="000000" w:themeColor="text1"/>
          <w14:textFill>
            <w14:solidFill>
              <w14:schemeClr w14:val="tx1"/>
            </w14:solidFill>
          </w14:textFill>
        </w:rPr>
        <w:t>；水库以下左分黑龙滩东干渠</w:t>
      </w:r>
      <w:r>
        <w:rPr>
          <w:rFonts w:eastAsia="Times New Roman"/>
          <w:color w:val="000000" w:themeColor="text1"/>
          <w14:textFill>
            <w14:solidFill>
              <w14:schemeClr w14:val="tx1"/>
            </w14:solidFill>
          </w14:textFill>
        </w:rPr>
        <w:t>121km</w:t>
      </w:r>
      <w:r>
        <w:rPr>
          <w:color w:val="000000" w:themeColor="text1"/>
          <w14:textFill>
            <w14:solidFill>
              <w14:schemeClr w14:val="tx1"/>
            </w14:solidFill>
          </w14:textFill>
        </w:rPr>
        <w:t>，右分黑龙滩南干渠</w:t>
      </w:r>
      <w:r>
        <w:rPr>
          <w:rFonts w:eastAsia="Times New Roman"/>
          <w:color w:val="000000" w:themeColor="text1"/>
          <w14:textFill>
            <w14:solidFill>
              <w14:schemeClr w14:val="tx1"/>
            </w14:solidFill>
          </w14:textFill>
        </w:rPr>
        <w:t>119km</w:t>
      </w: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1970</w:t>
      </w:r>
      <w:r>
        <w:rPr>
          <w:color w:val="000000" w:themeColor="text1"/>
          <w14:textFill>
            <w14:solidFill>
              <w14:schemeClr w14:val="tx1"/>
            </w14:solidFill>
          </w14:textFill>
        </w:rPr>
        <w:t>年冬开工，</w:t>
      </w:r>
      <w:r>
        <w:rPr>
          <w:rFonts w:eastAsia="Times New Roman"/>
          <w:color w:val="000000" w:themeColor="text1"/>
          <w14:textFill>
            <w14:solidFill>
              <w14:schemeClr w14:val="tx1"/>
            </w14:solidFill>
          </w14:textFill>
        </w:rPr>
        <w:t>1978</w:t>
      </w:r>
      <w:r>
        <w:rPr>
          <w:color w:val="000000" w:themeColor="text1"/>
          <w14:textFill>
            <w14:solidFill>
              <w14:schemeClr w14:val="tx1"/>
            </w14:solidFill>
          </w14:textFill>
        </w:rPr>
        <w:t>年建成。同</w:t>
      </w:r>
      <w:r>
        <w:rPr>
          <w:color w:val="000000" w:themeColor="text1"/>
          <w:spacing w:val="-2"/>
          <w14:textFill>
            <w14:solidFill>
              <w14:schemeClr w14:val="tx1"/>
            </w14:solidFill>
          </w14:textFill>
        </w:rPr>
        <w:t>时兴建六期工程，以张家岩水库左右串联石盘、三岔水库充囤工程为主体自总干渠末</w:t>
      </w:r>
      <w:r>
        <w:rPr>
          <w:color w:val="000000" w:themeColor="text1"/>
          <w14:textFill>
            <w14:solidFill>
              <w14:schemeClr w14:val="tx1"/>
            </w14:solidFill>
          </w14:textFill>
        </w:rPr>
        <w:t>端通过</w:t>
      </w:r>
      <w:r>
        <w:rPr>
          <w:rFonts w:eastAsia="Times New Roman"/>
          <w:color w:val="000000" w:themeColor="text1"/>
          <w14:textFill>
            <w14:solidFill>
              <w14:schemeClr w14:val="tx1"/>
            </w14:solidFill>
          </w14:textFill>
        </w:rPr>
        <w:t>7.42km</w:t>
      </w:r>
      <w:r>
        <w:rPr>
          <w:color w:val="000000" w:themeColor="text1"/>
          <w14:textFill>
            <w14:solidFill>
              <w14:schemeClr w14:val="tx1"/>
            </w14:solidFill>
          </w14:textFill>
        </w:rPr>
        <w:t>（其中隧洞</w:t>
      </w:r>
      <w:r>
        <w:rPr>
          <w:rFonts w:eastAsia="Times New Roman"/>
          <w:color w:val="000000" w:themeColor="text1"/>
          <w14:textFill>
            <w14:solidFill>
              <w14:schemeClr w14:val="tx1"/>
            </w14:solidFill>
          </w14:textFill>
        </w:rPr>
        <w:t>6.37km</w:t>
      </w:r>
      <w:r>
        <w:rPr>
          <w:color w:val="000000" w:themeColor="text1"/>
          <w14:textFill>
            <w14:solidFill>
              <w14:schemeClr w14:val="tx1"/>
            </w14:solidFill>
          </w14:textFill>
        </w:rPr>
        <w:t>）充水渠至张家岩水库。</w:t>
      </w:r>
    </w:p>
    <w:p>
      <w:pPr>
        <w:pStyle w:val="14"/>
        <w:spacing w:line="338" w:lineRule="auto"/>
        <w:ind w:right="45" w:firstLine="482"/>
        <w:rPr>
          <w:color w:val="000000" w:themeColor="text1"/>
          <w14:textFill>
            <w14:solidFill>
              <w14:schemeClr w14:val="tx1"/>
            </w14:solidFill>
          </w14:textFill>
        </w:rPr>
      </w:pPr>
      <w:r>
        <w:rPr>
          <w:color w:val="000000" w:themeColor="text1"/>
          <w14:textFill>
            <w14:solidFill>
              <w14:schemeClr w14:val="tx1"/>
            </w14:solidFill>
          </w14:textFill>
        </w:rPr>
        <w:t>水库左分北干渠</w:t>
      </w:r>
      <w:r>
        <w:rPr>
          <w:rFonts w:eastAsia="Times New Roman"/>
          <w:color w:val="000000" w:themeColor="text1"/>
          <w14:textFill>
            <w14:solidFill>
              <w14:schemeClr w14:val="tx1"/>
            </w14:solidFill>
          </w14:textFill>
        </w:rPr>
        <w:t>17.37km</w:t>
      </w:r>
      <w:r>
        <w:rPr>
          <w:color w:val="000000" w:themeColor="text1"/>
          <w14:textFill>
            <w14:solidFill>
              <w14:schemeClr w14:val="tx1"/>
            </w14:solidFill>
          </w14:textFill>
        </w:rPr>
        <w:t>至盘石水库，右分南干渠</w:t>
      </w:r>
      <w:r>
        <w:rPr>
          <w:rFonts w:eastAsia="Times New Roman"/>
          <w:color w:val="000000" w:themeColor="text1"/>
          <w14:textFill>
            <w14:solidFill>
              <w14:schemeClr w14:val="tx1"/>
            </w14:solidFill>
          </w14:textFill>
        </w:rPr>
        <w:t>13.5km</w:t>
      </w:r>
      <w:r>
        <w:rPr>
          <w:color w:val="000000" w:themeColor="text1"/>
          <w14:textFill>
            <w14:solidFill>
              <w14:schemeClr w14:val="tx1"/>
            </w14:solidFill>
          </w14:textFill>
        </w:rPr>
        <w:t>至官河堰，充水入三岔水库；再延伸</w:t>
      </w:r>
      <w:r>
        <w:rPr>
          <w:rFonts w:eastAsia="Times New Roman"/>
          <w:color w:val="000000" w:themeColor="text1"/>
          <w14:textFill>
            <w14:solidFill>
              <w14:schemeClr w14:val="tx1"/>
            </w14:solidFill>
          </w14:textFill>
        </w:rPr>
        <w:t>32.44km</w:t>
      </w:r>
      <w:r>
        <w:rPr>
          <w:color w:val="000000" w:themeColor="text1"/>
          <w14:textFill>
            <w14:solidFill>
              <w14:schemeClr w14:val="tx1"/>
            </w14:solidFill>
          </w14:textFill>
        </w:rPr>
        <w:t>仍入三岔水库库区。</w:t>
      </w:r>
      <w:r>
        <w:rPr>
          <w:rFonts w:eastAsia="Times New Roman"/>
          <w:color w:val="000000" w:themeColor="text1"/>
          <w14:textFill>
            <w14:solidFill>
              <w14:schemeClr w14:val="tx1"/>
            </w14:solidFill>
          </w14:textFill>
        </w:rPr>
        <w:t>1970</w:t>
      </w:r>
      <w:r>
        <w:rPr>
          <w:color w:val="000000" w:themeColor="text1"/>
          <w14:textFill>
            <w14:solidFill>
              <w14:schemeClr w14:val="tx1"/>
            </w14:solidFill>
          </w14:textFill>
        </w:rPr>
        <w:t>年春开工，</w:t>
      </w:r>
      <w:r>
        <w:rPr>
          <w:rFonts w:eastAsia="Times New Roman"/>
          <w:color w:val="000000" w:themeColor="text1"/>
          <w14:textFill>
            <w14:solidFill>
              <w14:schemeClr w14:val="tx1"/>
            </w14:solidFill>
          </w14:textFill>
        </w:rPr>
        <w:t>1980</w:t>
      </w:r>
      <w:r>
        <w:rPr>
          <w:color w:val="000000" w:themeColor="text1"/>
          <w14:textFill>
            <w14:solidFill>
              <w14:schemeClr w14:val="tx1"/>
            </w14:solidFill>
          </w14:textFill>
        </w:rPr>
        <w:t>年基本建成。</w:t>
      </w:r>
    </w:p>
    <w:p>
      <w:pPr>
        <w:pStyle w:val="14"/>
        <w:spacing w:before="27" w:line="340" w:lineRule="auto"/>
        <w:ind w:right="232" w:firstLine="482"/>
        <w:jc w:val="both"/>
        <w:rPr>
          <w:color w:val="000000" w:themeColor="text1"/>
          <w14:textFill>
            <w14:solidFill>
              <w14:schemeClr w14:val="tx1"/>
            </w14:solidFill>
          </w14:textFill>
        </w:rPr>
      </w:pPr>
      <w:r>
        <w:rPr>
          <w:color w:val="000000" w:themeColor="text1"/>
          <w14:textFill>
            <w14:solidFill>
              <w14:schemeClr w14:val="tx1"/>
            </w14:solidFill>
          </w14:textFill>
        </w:rPr>
        <w:t>东风渠灌区跨越龙泉山西与东的龙泉山前平原及山后丘陵区</w:t>
      </w:r>
      <w:r>
        <w:rPr>
          <w:rFonts w:eastAsia="Times New Roman"/>
          <w:color w:val="000000" w:themeColor="text1"/>
          <w14:textFill>
            <w14:solidFill>
              <w14:schemeClr w14:val="tx1"/>
            </w14:solidFill>
          </w14:textFill>
        </w:rPr>
        <w:t>1738km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。山前灌区有</w:t>
      </w:r>
      <w:r>
        <w:rPr>
          <w:color w:val="000000" w:themeColor="text1"/>
          <w:spacing w:val="-12"/>
          <w14:textFill>
            <w14:solidFill>
              <w14:schemeClr w14:val="tx1"/>
            </w14:solidFill>
          </w14:textFill>
        </w:rPr>
        <w:t>总干渠、北干渠、东干渠、老南干渠、新南干渠</w:t>
      </w:r>
      <w:r>
        <w:rPr>
          <w:rFonts w:hint="eastAsia"/>
          <w:color w:val="000000" w:themeColor="text1"/>
          <w14:textFill>
            <w14:solidFill>
              <w14:schemeClr w14:val="tx1"/>
            </w14:solidFill>
          </w14:textFill>
        </w:rPr>
        <w:t>5</w:t>
      </w:r>
      <w:r>
        <w:rPr>
          <w:color w:val="000000" w:themeColor="text1"/>
          <w:spacing w:val="-10"/>
          <w14:textFill>
            <w14:solidFill>
              <w14:schemeClr w14:val="tx1"/>
            </w14:solidFill>
          </w14:textFill>
        </w:rPr>
        <w:t>条主干，全长</w:t>
      </w:r>
      <w:r>
        <w:rPr>
          <w:rFonts w:eastAsia="Times New Roman"/>
          <w:color w:val="000000" w:themeColor="text1"/>
          <w:spacing w:val="-6"/>
          <w14:textFill>
            <w14:solidFill>
              <w14:schemeClr w14:val="tx1"/>
            </w14:solidFill>
          </w14:textFill>
        </w:rPr>
        <w:t>283.1km</w:t>
      </w:r>
      <w:r>
        <w:rPr>
          <w:color w:val="000000" w:themeColor="text1"/>
          <w:spacing w:val="-6"/>
          <w14:textFill>
            <w14:solidFill>
              <w14:schemeClr w14:val="tx1"/>
            </w14:solidFill>
          </w14:textFill>
        </w:rPr>
        <w:t>；有支渠</w:t>
      </w:r>
      <w:r>
        <w:rPr>
          <w:rFonts w:eastAsia="Times New Roman"/>
          <w:color w:val="000000" w:themeColor="text1"/>
          <w14:textFill>
            <w14:solidFill>
              <w14:schemeClr w14:val="tx1"/>
            </w14:solidFill>
          </w14:textFill>
        </w:rPr>
        <w:t>19</w:t>
      </w:r>
      <w:r>
        <w:rPr>
          <w:color w:val="000000" w:themeColor="text1"/>
          <w14:textFill>
            <w14:solidFill>
              <w14:schemeClr w14:val="tx1"/>
            </w14:solidFill>
          </w14:textFill>
        </w:rPr>
        <w:t>条，总长</w:t>
      </w:r>
      <w:r>
        <w:rPr>
          <w:rFonts w:eastAsia="Times New Roman"/>
          <w:color w:val="000000" w:themeColor="text1"/>
          <w:spacing w:val="-8"/>
          <w14:textFill>
            <w14:solidFill>
              <w14:schemeClr w14:val="tx1"/>
            </w14:solidFill>
          </w14:textFill>
        </w:rPr>
        <w:t>452.7km</w:t>
      </w:r>
      <w:r>
        <w:rPr>
          <w:color w:val="000000" w:themeColor="text1"/>
          <w:spacing w:val="-8"/>
          <w14:textFill>
            <w14:solidFill>
              <w14:schemeClr w14:val="tx1"/>
            </w14:solidFill>
          </w14:textFill>
        </w:rPr>
        <w:t>，灌溉农田</w:t>
      </w:r>
      <w:r>
        <w:rPr>
          <w:rFonts w:eastAsia="Times New Roman"/>
          <w:color w:val="000000" w:themeColor="text1"/>
          <w14:textFill>
            <w14:solidFill>
              <w14:schemeClr w14:val="tx1"/>
            </w14:solidFill>
          </w14:textFill>
        </w:rPr>
        <w:t>110.75</w:t>
      </w:r>
      <w:r>
        <w:rPr>
          <w:color w:val="000000" w:themeColor="text1"/>
          <w:spacing w:val="-6"/>
          <w14:textFill>
            <w14:solidFill>
              <w14:schemeClr w14:val="tx1"/>
            </w14:solidFill>
          </w14:textFill>
        </w:rPr>
        <w:t>万亩。山后丘陵灌区有骨干充囤工程</w:t>
      </w:r>
      <w:r>
        <w:rPr>
          <w:rFonts w:eastAsia="Times New Roman"/>
          <w:color w:val="000000" w:themeColor="text1"/>
          <w14:textFill>
            <w14:solidFill>
              <w14:schemeClr w14:val="tx1"/>
            </w14:solidFill>
          </w14:textFill>
        </w:rPr>
        <w:t>4</w:t>
      </w:r>
      <w:r>
        <w:rPr>
          <w:color w:val="000000" w:themeColor="text1"/>
          <w:spacing w:val="-20"/>
          <w14:textFill>
            <w14:solidFill>
              <w14:schemeClr w14:val="tx1"/>
            </w14:solidFill>
          </w14:textFill>
        </w:rPr>
        <w:t>处，主干渠</w:t>
      </w:r>
      <w:r>
        <w:rPr>
          <w:rFonts w:eastAsia="Times New Roman"/>
          <w:color w:val="000000" w:themeColor="text1"/>
          <w14:textFill>
            <w14:solidFill>
              <w14:schemeClr w14:val="tx1"/>
            </w14:solidFill>
          </w14:textFill>
        </w:rPr>
        <w:t>4</w:t>
      </w:r>
      <w:r>
        <w:rPr>
          <w:color w:val="000000" w:themeColor="text1"/>
          <w14:textFill>
            <w14:solidFill>
              <w14:schemeClr w14:val="tx1"/>
            </w14:solidFill>
          </w14:textFill>
        </w:rPr>
        <w:t>条，干渠</w:t>
      </w:r>
      <w:r>
        <w:rPr>
          <w:rFonts w:eastAsia="Times New Roman"/>
          <w:color w:val="000000" w:themeColor="text1"/>
          <w14:textFill>
            <w14:solidFill>
              <w14:schemeClr w14:val="tx1"/>
            </w14:solidFill>
          </w14:textFill>
        </w:rPr>
        <w:t>8</w:t>
      </w:r>
      <w:r>
        <w:rPr>
          <w:color w:val="000000" w:themeColor="text1"/>
          <w14:textFill>
            <w14:solidFill>
              <w14:schemeClr w14:val="tx1"/>
            </w14:solidFill>
          </w14:textFill>
        </w:rPr>
        <w:t>条，设计控灌农田</w:t>
      </w:r>
      <w:r>
        <w:rPr>
          <w:rFonts w:eastAsia="Times New Roman"/>
          <w:color w:val="000000" w:themeColor="text1"/>
          <w14:textFill>
            <w14:solidFill>
              <w14:schemeClr w14:val="tx1"/>
            </w14:solidFill>
          </w14:textFill>
        </w:rPr>
        <w:t>241.18</w:t>
      </w:r>
      <w:r>
        <w:rPr>
          <w:color w:val="000000" w:themeColor="text1"/>
          <w14:textFill>
            <w14:solidFill>
              <w14:schemeClr w14:val="tx1"/>
            </w14:solidFill>
          </w14:textFill>
        </w:rPr>
        <w:t>万亩。一至六期设计灌溉面积为</w:t>
      </w:r>
      <w:r>
        <w:rPr>
          <w:rFonts w:eastAsia="Times New Roman"/>
          <w:color w:val="000000" w:themeColor="text1"/>
          <w14:textFill>
            <w14:solidFill>
              <w14:schemeClr w14:val="tx1"/>
            </w14:solidFill>
          </w14:textFill>
        </w:rPr>
        <w:t>351.93</w:t>
      </w:r>
      <w:r>
        <w:rPr>
          <w:color w:val="000000" w:themeColor="text1"/>
          <w14:textFill>
            <w14:solidFill>
              <w14:schemeClr w14:val="tx1"/>
            </w14:solidFill>
          </w14:textFill>
        </w:rPr>
        <w:t>万亩，灌区包</w:t>
      </w:r>
      <w:r>
        <w:rPr>
          <w:color w:val="000000" w:themeColor="text1"/>
          <w:spacing w:val="-2"/>
          <w14:textFill>
            <w14:solidFill>
              <w14:schemeClr w14:val="tx1"/>
            </w14:solidFill>
          </w14:textFill>
        </w:rPr>
        <w:t>括郫都区、新都、</w:t>
      </w:r>
      <w:r>
        <w:rPr>
          <w:rFonts w:hint="eastAsia"/>
          <w:color w:val="000000" w:themeColor="text1"/>
          <w:spacing w:val="-2"/>
          <w14:textFill>
            <w14:solidFill>
              <w14:schemeClr w14:val="tx1"/>
            </w14:solidFill>
          </w14:textFill>
        </w:rPr>
        <w:t>青</w:t>
      </w:r>
      <w:r>
        <w:rPr>
          <w:color w:val="000000" w:themeColor="text1"/>
          <w:spacing w:val="-2"/>
          <w14:textFill>
            <w14:solidFill>
              <w14:schemeClr w14:val="tx1"/>
            </w14:solidFill>
          </w14:textFill>
        </w:rPr>
        <w:t>白江区、金牛区、龙泉驿区、双流、金堂、仁寿、井研、眉山、简</w:t>
      </w:r>
      <w:r>
        <w:rPr>
          <w:color w:val="000000" w:themeColor="text1"/>
          <w14:textFill>
            <w14:solidFill>
              <w14:schemeClr w14:val="tx1"/>
            </w14:solidFill>
          </w14:textFill>
        </w:rPr>
        <w:t>阳、资阳、资中等区市县。</w:t>
      </w:r>
    </w:p>
    <w:p>
      <w:pPr>
        <w:pStyle w:val="14"/>
        <w:spacing w:before="27" w:line="340" w:lineRule="auto"/>
        <w:ind w:right="232" w:firstLine="482"/>
        <w:jc w:val="both"/>
        <w:rPr>
          <w:color w:val="000000" w:themeColor="text1"/>
          <w14:textFill>
            <w14:solidFill>
              <w14:schemeClr w14:val="tx1"/>
            </w14:solidFill>
          </w14:textFill>
        </w:rPr>
      </w:pPr>
      <w:r>
        <w:rPr>
          <w:color w:val="000000" w:themeColor="text1"/>
          <w14:textFill>
            <w14:solidFill>
              <w14:schemeClr w14:val="tx1"/>
            </w14:solidFill>
          </w14:textFill>
        </w:rPr>
        <w:t>东风渠灌区北干渠是东风渠灌区总干渠中三条重要的分干渠之一的骨干渠系工程，于</w:t>
      </w:r>
      <w:r>
        <w:rPr>
          <w:rFonts w:eastAsia="Times New Roman"/>
          <w:color w:val="000000" w:themeColor="text1"/>
          <w14:textFill>
            <w14:solidFill>
              <w14:schemeClr w14:val="tx1"/>
            </w14:solidFill>
          </w14:textFill>
        </w:rPr>
        <w:t>1956</w:t>
      </w:r>
      <w:r>
        <w:rPr>
          <w:color w:val="000000" w:themeColor="text1"/>
          <w14:textFill>
            <w14:solidFill>
              <w14:schemeClr w14:val="tx1"/>
            </w14:solidFill>
          </w14:textFill>
        </w:rPr>
        <w:t>年</w:t>
      </w:r>
      <w:r>
        <w:rPr>
          <w:rFonts w:eastAsia="Times New Roman"/>
          <w:color w:val="000000" w:themeColor="text1"/>
          <w14:textFill>
            <w14:solidFill>
              <w14:schemeClr w14:val="tx1"/>
            </w14:solidFill>
          </w14:textFill>
        </w:rPr>
        <w:t>3</w:t>
      </w:r>
      <w:r>
        <w:rPr>
          <w:color w:val="000000" w:themeColor="text1"/>
          <w14:textFill>
            <w14:solidFill>
              <w14:schemeClr w14:val="tx1"/>
            </w14:solidFill>
          </w14:textFill>
        </w:rPr>
        <w:t>月初动工，同年</w:t>
      </w:r>
      <w:r>
        <w:rPr>
          <w:rFonts w:eastAsia="Times New Roman"/>
          <w:color w:val="000000" w:themeColor="text1"/>
          <w14:textFill>
            <w14:solidFill>
              <w14:schemeClr w14:val="tx1"/>
            </w14:solidFill>
          </w14:textFill>
        </w:rPr>
        <w:t>4</w:t>
      </w:r>
      <w:r>
        <w:rPr>
          <w:color w:val="000000" w:themeColor="text1"/>
          <w14:textFill>
            <w14:solidFill>
              <w14:schemeClr w14:val="tx1"/>
            </w14:solidFill>
          </w14:textFill>
        </w:rPr>
        <w:t>月初，初具规模，形成通水能力并正式通水运行。它起</w:t>
      </w:r>
      <w:r>
        <w:rPr>
          <w:color w:val="000000" w:themeColor="text1"/>
          <w:spacing w:val="-4"/>
          <w14:textFill>
            <w14:solidFill>
              <w14:schemeClr w14:val="tx1"/>
            </w14:solidFill>
          </w14:textFill>
        </w:rPr>
        <w:t>于总干渠南北闸（</w:t>
      </w:r>
      <w:r>
        <w:rPr>
          <w:rFonts w:eastAsia="Times New Roman"/>
          <w:color w:val="000000" w:themeColor="text1"/>
          <w:spacing w:val="-4"/>
          <w14:textFill>
            <w14:solidFill>
              <w14:schemeClr w14:val="tx1"/>
            </w14:solidFill>
          </w14:textFill>
        </w:rPr>
        <w:t>15+640km</w:t>
      </w:r>
      <w:r>
        <w:rPr>
          <w:color w:val="000000" w:themeColor="text1"/>
          <w:spacing w:val="-4"/>
          <w14:textFill>
            <w14:solidFill>
              <w14:schemeClr w14:val="tx1"/>
            </w14:solidFill>
          </w14:textFill>
        </w:rPr>
        <w:t>）左岸，经成都市的新都区和青白江区，至青白江区的日新</w:t>
      </w:r>
      <w:r>
        <w:rPr>
          <w:color w:val="000000" w:themeColor="text1"/>
          <w14:textFill>
            <w14:solidFill>
              <w14:schemeClr w14:val="tx1"/>
            </w14:solidFill>
          </w14:textFill>
        </w:rPr>
        <w:t>乡境内注入西江河，全长</w:t>
      </w:r>
      <w:r>
        <w:rPr>
          <w:rFonts w:eastAsia="Times New Roman"/>
          <w:color w:val="000000" w:themeColor="text1"/>
          <w14:textFill>
            <w14:solidFill>
              <w14:schemeClr w14:val="tx1"/>
            </w14:solidFill>
          </w14:textFill>
        </w:rPr>
        <w:t>35.967km</w:t>
      </w:r>
      <w:r>
        <w:rPr>
          <w:color w:val="000000" w:themeColor="text1"/>
          <w14:textFill>
            <w14:solidFill>
              <w14:schemeClr w14:val="tx1"/>
            </w14:solidFill>
          </w14:textFill>
        </w:rPr>
        <w:t>，实测北干渠长度为</w:t>
      </w:r>
      <w:r>
        <w:rPr>
          <w:rFonts w:eastAsia="Times New Roman"/>
          <w:color w:val="000000" w:themeColor="text1"/>
          <w14:textFill>
            <w14:solidFill>
              <w14:schemeClr w14:val="tx1"/>
            </w14:solidFill>
          </w14:textFill>
        </w:rPr>
        <w:t>34.832km</w:t>
      </w:r>
      <w:r>
        <w:rPr>
          <w:color w:val="000000" w:themeColor="text1"/>
          <w14:textFill>
            <w14:solidFill>
              <w14:schemeClr w14:val="tx1"/>
            </w14:solidFill>
          </w14:textFill>
        </w:rPr>
        <w:t>。根据业主“三查三</w:t>
      </w:r>
      <w:r>
        <w:rPr>
          <w:color w:val="000000" w:themeColor="text1"/>
          <w:spacing w:val="-7"/>
          <w14:textFill>
            <w14:solidFill>
              <w14:schemeClr w14:val="tx1"/>
            </w14:solidFill>
          </w14:textFill>
        </w:rPr>
        <w:t>定”资料以及本次设计时的水量衡计算复核，渠首设计流量</w:t>
      </w:r>
      <w:r>
        <w:rPr>
          <w:rFonts w:eastAsia="Times New Roman"/>
          <w:color w:val="000000" w:themeColor="text1"/>
          <w:spacing w:val="-7"/>
          <w14:textFill>
            <w14:solidFill>
              <w14:schemeClr w14:val="tx1"/>
            </w14:solidFill>
          </w14:textFill>
        </w:rPr>
        <w:t>10.5m</w:t>
      </w:r>
      <w:r>
        <w:rPr>
          <w:rFonts w:eastAsia="Times New Roman"/>
          <w:color w:val="000000" w:themeColor="text1"/>
          <w:spacing w:val="-7"/>
          <w:position w:val="9"/>
          <w:sz w:val="16"/>
          <w:szCs w:val="16"/>
          <w14:textFill>
            <w14:solidFill>
              <w14:schemeClr w14:val="tx1"/>
            </w14:solidFill>
          </w14:textFill>
        </w:rPr>
        <w:t>3</w:t>
      </w:r>
      <w:r>
        <w:rPr>
          <w:rFonts w:eastAsia="Times New Roman"/>
          <w:color w:val="000000" w:themeColor="text1"/>
          <w:spacing w:val="-7"/>
          <w14:textFill>
            <w14:solidFill>
              <w14:schemeClr w14:val="tx1"/>
            </w14:solidFill>
          </w14:textFill>
        </w:rPr>
        <w:t>/s</w:t>
      </w:r>
      <w:r>
        <w:rPr>
          <w:color w:val="000000" w:themeColor="text1"/>
          <w:spacing w:val="-7"/>
          <w14:textFill>
            <w14:solidFill>
              <w14:schemeClr w14:val="tx1"/>
            </w14:solidFill>
          </w14:textFill>
        </w:rPr>
        <w:t>，该渠有</w:t>
      </w:r>
      <w:r>
        <w:rPr>
          <w:rFonts w:eastAsia="Times New Roman"/>
          <w:color w:val="000000" w:themeColor="text1"/>
          <w14:textFill>
            <w14:solidFill>
              <w14:schemeClr w14:val="tx1"/>
            </w14:solidFill>
          </w14:textFill>
        </w:rPr>
        <w:t>1</w:t>
      </w:r>
      <w:r>
        <w:rPr>
          <w:color w:val="000000" w:themeColor="text1"/>
          <w14:textFill>
            <w14:solidFill>
              <w14:schemeClr w14:val="tx1"/>
            </w14:solidFill>
          </w14:textFill>
        </w:rPr>
        <w:t>条支渠，渠长</w:t>
      </w:r>
      <w:r>
        <w:rPr>
          <w:rFonts w:eastAsia="Times New Roman"/>
          <w:color w:val="000000" w:themeColor="text1"/>
          <w14:textFill>
            <w14:solidFill>
              <w14:schemeClr w14:val="tx1"/>
            </w14:solidFill>
          </w14:textFill>
        </w:rPr>
        <w:t>13.36km</w:t>
      </w:r>
      <w:r>
        <w:rPr>
          <w:color w:val="000000" w:themeColor="text1"/>
          <w14:textFill>
            <w14:solidFill>
              <w14:schemeClr w14:val="tx1"/>
            </w14:solidFill>
          </w14:textFill>
        </w:rPr>
        <w:t>。</w:t>
      </w:r>
    </w:p>
    <w:p>
      <w:pPr>
        <w:pStyle w:val="14"/>
        <w:spacing w:before="24" w:line="340" w:lineRule="auto"/>
        <w:ind w:right="45" w:firstLine="466"/>
        <w:rPr>
          <w:color w:val="000000" w:themeColor="text1"/>
          <w14:textFill>
            <w14:solidFill>
              <w14:schemeClr w14:val="tx1"/>
            </w14:solidFill>
          </w14:textFill>
        </w:rPr>
      </w:pPr>
      <w:r>
        <w:rPr>
          <w:color w:val="000000" w:themeColor="text1"/>
          <w:spacing w:val="-4"/>
          <w14:textFill>
            <w14:solidFill>
              <w14:schemeClr w14:val="tx1"/>
            </w14:solidFill>
          </w14:textFill>
        </w:rPr>
        <w:t>北支一渠：</w:t>
      </w:r>
      <w:r>
        <w:rPr>
          <w:rFonts w:eastAsia="Times New Roman"/>
          <w:color w:val="000000" w:themeColor="text1"/>
          <w:spacing w:val="-4"/>
          <w14:textFill>
            <w14:solidFill>
              <w14:schemeClr w14:val="tx1"/>
            </w14:solidFill>
          </w14:textFill>
        </w:rPr>
        <w:t>1956</w:t>
      </w:r>
      <w:r>
        <w:rPr>
          <w:color w:val="000000" w:themeColor="text1"/>
          <w:spacing w:val="-3"/>
          <w14:textFill>
            <w14:solidFill>
              <w14:schemeClr w14:val="tx1"/>
            </w14:solidFill>
          </w14:textFill>
        </w:rPr>
        <w:t>年与北干渠同时兴建。其在新都木兰镇狮子村自北干引水，拦河闸</w:t>
      </w:r>
      <w:r>
        <w:rPr>
          <w:color w:val="000000" w:themeColor="text1"/>
          <w14:textFill>
            <w14:solidFill>
              <w14:schemeClr w14:val="tx1"/>
            </w14:solidFill>
          </w14:textFill>
        </w:rPr>
        <w:t>进水，进口渠底高程</w:t>
      </w:r>
      <w:r>
        <w:rPr>
          <w:rFonts w:eastAsia="Times New Roman"/>
          <w:color w:val="000000" w:themeColor="text1"/>
          <w14:textFill>
            <w14:solidFill>
              <w14:schemeClr w14:val="tx1"/>
            </w14:solidFill>
          </w14:textFill>
        </w:rPr>
        <w:t>505.703m</w:t>
      </w:r>
      <w:r>
        <w:rPr>
          <w:color w:val="000000" w:themeColor="text1"/>
          <w14:textFill>
            <w14:solidFill>
              <w14:schemeClr w14:val="tx1"/>
            </w14:solidFill>
          </w14:textFill>
        </w:rPr>
        <w:t>，分水洞桩号</w:t>
      </w:r>
      <w:r>
        <w:rPr>
          <w:rFonts w:eastAsia="Times New Roman"/>
          <w:color w:val="000000" w:themeColor="text1"/>
          <w14:textFill>
            <w14:solidFill>
              <w14:schemeClr w14:val="tx1"/>
            </w14:solidFill>
          </w14:textFill>
        </w:rPr>
        <w:t>K5+657</w:t>
      </w:r>
      <w:r>
        <w:rPr>
          <w:color w:val="000000" w:themeColor="text1"/>
          <w14:textFill>
            <w14:solidFill>
              <w14:schemeClr w14:val="tx1"/>
            </w14:solidFill>
          </w14:textFill>
        </w:rPr>
        <w:t>，渠道总长</w:t>
      </w:r>
      <w:r>
        <w:rPr>
          <w:rFonts w:eastAsia="Times New Roman"/>
          <w:color w:val="000000" w:themeColor="text1"/>
          <w14:textFill>
            <w14:solidFill>
              <w14:schemeClr w14:val="tx1"/>
            </w14:solidFill>
          </w14:textFill>
        </w:rPr>
        <w:t>13.36km</w:t>
      </w:r>
      <w:r>
        <w:rPr>
          <w:color w:val="000000" w:themeColor="text1"/>
          <w14:textFill>
            <w14:solidFill>
              <w14:schemeClr w14:val="tx1"/>
            </w14:solidFill>
          </w14:textFill>
        </w:rPr>
        <w:t>，境内渠道长</w:t>
      </w:r>
      <w:r>
        <w:rPr>
          <w:rFonts w:eastAsia="Times New Roman"/>
          <w:color w:val="000000" w:themeColor="text1"/>
          <w14:textFill>
            <w14:solidFill>
              <w14:schemeClr w14:val="tx1"/>
            </w14:solidFill>
          </w14:textFill>
        </w:rPr>
        <w:t>10.85km</w:t>
      </w:r>
      <w:r>
        <w:rPr>
          <w:color w:val="000000" w:themeColor="text1"/>
          <w14:textFill>
            <w14:solidFill>
              <w14:schemeClr w14:val="tx1"/>
            </w14:solidFill>
          </w14:textFill>
        </w:rPr>
        <w:t>。进口设计流量</w:t>
      </w:r>
      <w:r>
        <w:rPr>
          <w:rFonts w:eastAsia="Times New Roman"/>
          <w:color w:val="000000" w:themeColor="text1"/>
          <w14:textFill>
            <w14:solidFill>
              <w14:schemeClr w14:val="tx1"/>
            </w14:solidFill>
          </w14:textFill>
        </w:rPr>
        <w:t>5.50m</w:t>
      </w:r>
      <w:r>
        <w:rPr>
          <w:rFonts w:eastAsia="Times New Roman"/>
          <w:color w:val="000000" w:themeColor="text1"/>
          <w:position w:val="9"/>
          <w:sz w:val="16"/>
          <w:szCs w:val="16"/>
          <w14:textFill>
            <w14:solidFill>
              <w14:schemeClr w14:val="tx1"/>
            </w14:solidFill>
          </w14:textFill>
        </w:rPr>
        <w:t>3</w:t>
      </w:r>
      <w:r>
        <w:rPr>
          <w:rFonts w:eastAsia="Times New Roman"/>
          <w:color w:val="000000" w:themeColor="text1"/>
          <w14:textFill>
            <w14:solidFill>
              <w14:schemeClr w14:val="tx1"/>
            </w14:solidFill>
          </w14:textFill>
        </w:rPr>
        <w:t>/s</w:t>
      </w:r>
      <w:r>
        <w:rPr>
          <w:color w:val="000000" w:themeColor="text1"/>
          <w14:textFill>
            <w14:solidFill>
              <w14:schemeClr w14:val="tx1"/>
            </w14:solidFill>
          </w14:textFill>
        </w:rPr>
        <w:t>，设计灌面</w:t>
      </w:r>
      <w:r>
        <w:rPr>
          <w:rFonts w:eastAsia="Times New Roman"/>
          <w:color w:val="000000" w:themeColor="text1"/>
          <w14:textFill>
            <w14:solidFill>
              <w14:schemeClr w14:val="tx1"/>
            </w14:solidFill>
          </w14:textFill>
        </w:rPr>
        <w:t>4.67</w:t>
      </w:r>
      <w:r>
        <w:rPr>
          <w:color w:val="000000" w:themeColor="text1"/>
          <w14:textFill>
            <w14:solidFill>
              <w14:schemeClr w14:val="tx1"/>
            </w14:solidFill>
          </w14:textFill>
        </w:rPr>
        <w:t>万亩（田</w:t>
      </w:r>
      <w:r>
        <w:rPr>
          <w:rFonts w:eastAsia="Times New Roman"/>
          <w:color w:val="000000" w:themeColor="text1"/>
          <w14:textFill>
            <w14:solidFill>
              <w14:schemeClr w14:val="tx1"/>
            </w14:solidFill>
          </w14:textFill>
        </w:rPr>
        <w:t>3.40</w:t>
      </w:r>
      <w:r>
        <w:rPr>
          <w:color w:val="000000" w:themeColor="text1"/>
          <w14:textFill>
            <w14:solidFill>
              <w14:schemeClr w14:val="tx1"/>
            </w14:solidFill>
          </w14:textFill>
        </w:rPr>
        <w:t>万亩、土</w:t>
      </w:r>
      <w:r>
        <w:rPr>
          <w:rFonts w:eastAsia="Times New Roman"/>
          <w:color w:val="000000" w:themeColor="text1"/>
          <w14:textFill>
            <w14:solidFill>
              <w14:schemeClr w14:val="tx1"/>
            </w14:solidFill>
          </w14:textFill>
        </w:rPr>
        <w:t>1.27</w:t>
      </w:r>
      <w:r>
        <w:rPr>
          <w:color w:val="000000" w:themeColor="text1"/>
          <w14:textFill>
            <w14:solidFill>
              <w14:schemeClr w14:val="tx1"/>
            </w14:solidFill>
          </w14:textFill>
        </w:rPr>
        <w:t>万亩）。北支一渠东行穿木兰镇南端，进入石板滩镇北部，又斜往东北过泰兴镇到达青白江区。</w:t>
      </w:r>
      <w:r>
        <w:rPr>
          <w:rFonts w:eastAsia="Times New Roman"/>
          <w:color w:val="000000" w:themeColor="text1"/>
          <w14:textFill>
            <w14:solidFill>
              <w14:schemeClr w14:val="tx1"/>
            </w14:solidFill>
          </w14:textFill>
        </w:rPr>
        <w:t>1983</w:t>
      </w:r>
      <w:r>
        <w:rPr>
          <w:color w:val="000000" w:themeColor="text1"/>
          <w14:textFill>
            <w14:solidFill>
              <w14:schemeClr w14:val="tx1"/>
            </w14:solidFill>
          </w14:textFill>
        </w:rPr>
        <w:t>年，最大进水流量</w:t>
      </w:r>
      <w:r>
        <w:rPr>
          <w:rFonts w:eastAsia="Times New Roman"/>
          <w:color w:val="000000" w:themeColor="text1"/>
          <w14:textFill>
            <w14:solidFill>
              <w14:schemeClr w14:val="tx1"/>
            </w14:solidFill>
          </w14:textFill>
        </w:rPr>
        <w:t>5.5m</w:t>
      </w:r>
      <w:r>
        <w:rPr>
          <w:rFonts w:eastAsia="Times New Roman"/>
          <w:color w:val="000000" w:themeColor="text1"/>
          <w:position w:val="9"/>
          <w:sz w:val="16"/>
          <w:szCs w:val="16"/>
          <w14:textFill>
            <w14:solidFill>
              <w14:schemeClr w14:val="tx1"/>
            </w14:solidFill>
          </w14:textFill>
        </w:rPr>
        <w:t>3</w:t>
      </w:r>
      <w:r>
        <w:rPr>
          <w:rFonts w:eastAsia="Times New Roman"/>
          <w:color w:val="000000" w:themeColor="text1"/>
          <w14:textFill>
            <w14:solidFill>
              <w14:schemeClr w14:val="tx1"/>
            </w14:solidFill>
          </w14:textFill>
        </w:rPr>
        <w:t>/s</w:t>
      </w:r>
      <w:r>
        <w:rPr>
          <w:color w:val="000000" w:themeColor="text1"/>
          <w14:textFill>
            <w14:solidFill>
              <w14:schemeClr w14:val="tx1"/>
            </w14:solidFill>
          </w14:textFill>
        </w:rPr>
        <w:t>。有斗渠</w:t>
      </w:r>
      <w:r>
        <w:rPr>
          <w:rFonts w:eastAsia="Times New Roman"/>
          <w:color w:val="000000" w:themeColor="text1"/>
          <w14:textFill>
            <w14:solidFill>
              <w14:schemeClr w14:val="tx1"/>
            </w14:solidFill>
          </w14:textFill>
        </w:rPr>
        <w:t>8</w:t>
      </w:r>
      <w:r>
        <w:rPr>
          <w:color w:val="000000" w:themeColor="text1"/>
          <w14:textFill>
            <w14:solidFill>
              <w14:schemeClr w14:val="tx1"/>
            </w14:solidFill>
          </w14:textFill>
        </w:rPr>
        <w:t>条和</w:t>
      </w:r>
      <w:r>
        <w:rPr>
          <w:rFonts w:eastAsia="Times New Roman"/>
          <w:color w:val="000000" w:themeColor="text1"/>
          <w14:textFill>
            <w14:solidFill>
              <w14:schemeClr w14:val="tx1"/>
            </w14:solidFill>
          </w14:textFill>
        </w:rPr>
        <w:t>64</w:t>
      </w:r>
      <w:r>
        <w:rPr>
          <w:color w:val="000000" w:themeColor="text1"/>
          <w14:textFill>
            <w14:solidFill>
              <w14:schemeClr w14:val="tx1"/>
            </w14:solidFill>
          </w14:textFill>
        </w:rPr>
        <w:t>个分水洞，灌溉石板滩镇</w:t>
      </w:r>
      <w:r>
        <w:rPr>
          <w:rFonts w:eastAsia="Times New Roman"/>
          <w:color w:val="000000" w:themeColor="text1"/>
          <w14:textFill>
            <w14:solidFill>
              <w14:schemeClr w14:val="tx1"/>
            </w14:solidFill>
          </w14:textFill>
        </w:rPr>
        <w:t>15</w:t>
      </w:r>
      <w:r>
        <w:rPr>
          <w:color w:val="000000" w:themeColor="text1"/>
          <w14:textFill>
            <w14:solidFill>
              <w14:schemeClr w14:val="tx1"/>
            </w14:solidFill>
          </w14:textFill>
        </w:rPr>
        <w:t>个村、木兰镇</w:t>
      </w:r>
      <w:r>
        <w:rPr>
          <w:rFonts w:eastAsia="Times New Roman"/>
          <w:color w:val="000000" w:themeColor="text1"/>
          <w14:textFill>
            <w14:solidFill>
              <w14:schemeClr w14:val="tx1"/>
            </w14:solidFill>
          </w14:textFill>
        </w:rPr>
        <w:t>14</w:t>
      </w:r>
      <w:r>
        <w:rPr>
          <w:color w:val="000000" w:themeColor="text1"/>
          <w14:textFill>
            <w14:solidFill>
              <w14:schemeClr w14:val="tx1"/>
            </w14:solidFill>
          </w14:textFill>
        </w:rPr>
        <w:t>个村和泰兴镇</w:t>
      </w:r>
      <w:r>
        <w:rPr>
          <w:rFonts w:eastAsia="Times New Roman"/>
          <w:color w:val="000000" w:themeColor="text1"/>
          <w14:textFill>
            <w14:solidFill>
              <w14:schemeClr w14:val="tx1"/>
            </w14:solidFill>
          </w14:textFill>
        </w:rPr>
        <w:t>1</w:t>
      </w:r>
      <w:r>
        <w:rPr>
          <w:color w:val="000000" w:themeColor="text1"/>
          <w14:textFill>
            <w14:solidFill>
              <w14:schemeClr w14:val="tx1"/>
            </w14:solidFill>
          </w14:textFill>
        </w:rPr>
        <w:t>个村的部分田地，共有灌面</w:t>
      </w:r>
      <w:r>
        <w:rPr>
          <w:rFonts w:eastAsia="Times New Roman"/>
          <w:color w:val="000000" w:themeColor="text1"/>
          <w14:textFill>
            <w14:solidFill>
              <w14:schemeClr w14:val="tx1"/>
            </w14:solidFill>
          </w14:textFill>
        </w:rPr>
        <w:t>31056</w:t>
      </w:r>
      <w:r>
        <w:rPr>
          <w:color w:val="000000" w:themeColor="text1"/>
          <w14:textFill>
            <w14:solidFill>
              <w14:schemeClr w14:val="tx1"/>
            </w14:solidFill>
          </w14:textFill>
        </w:rPr>
        <w:t>亩（田</w:t>
      </w:r>
      <w:r>
        <w:rPr>
          <w:rFonts w:eastAsia="Times New Roman"/>
          <w:color w:val="000000" w:themeColor="text1"/>
          <w14:textFill>
            <w14:solidFill>
              <w14:schemeClr w14:val="tx1"/>
            </w14:solidFill>
          </w14:textFill>
        </w:rPr>
        <w:t>23527</w:t>
      </w:r>
      <w:r>
        <w:rPr>
          <w:color w:val="000000" w:themeColor="text1"/>
          <w14:textFill>
            <w14:solidFill>
              <w14:schemeClr w14:val="tx1"/>
            </w14:solidFill>
          </w14:textFill>
        </w:rPr>
        <w:t>亩、土</w:t>
      </w:r>
      <w:r>
        <w:rPr>
          <w:rFonts w:eastAsia="Times New Roman"/>
          <w:color w:val="000000" w:themeColor="text1"/>
          <w14:textFill>
            <w14:solidFill>
              <w14:schemeClr w14:val="tx1"/>
            </w14:solidFill>
          </w14:textFill>
        </w:rPr>
        <w:t>7529</w:t>
      </w:r>
      <w:r>
        <w:rPr>
          <w:color w:val="000000" w:themeColor="text1"/>
          <w14:textFill>
            <w14:solidFill>
              <w14:schemeClr w14:val="tx1"/>
            </w14:solidFill>
          </w14:textFill>
        </w:rPr>
        <w:t>亩）。</w:t>
      </w:r>
    </w:p>
    <w:p>
      <w:pPr>
        <w:pStyle w:val="14"/>
        <w:adjustRightInd w:val="0"/>
        <w:snapToGrid w:val="0"/>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董家堰补水渠：发源于保利蝴蝶谷，流经绕城高速，后汇入太平河。标段内全长约</w:t>
      </w:r>
      <w:r>
        <w:rPr>
          <w:rFonts w:eastAsia="Times New Roman"/>
          <w:color w:val="000000" w:themeColor="text1"/>
          <w14:textFill>
            <w14:solidFill>
              <w14:schemeClr w14:val="tx1"/>
            </w14:solidFill>
          </w14:textFill>
        </w:rPr>
        <w:t>0.17km</w:t>
      </w:r>
      <w:r>
        <w:rPr>
          <w:color w:val="000000" w:themeColor="text1"/>
          <w14:textFill>
            <w14:solidFill>
              <w14:schemeClr w14:val="tx1"/>
            </w14:solidFill>
          </w14:textFill>
        </w:rPr>
        <w:t>，流域面积</w:t>
      </w:r>
      <w:r>
        <w:rPr>
          <w:rFonts w:eastAsia="Times New Roman"/>
          <w:color w:val="000000" w:themeColor="text1"/>
          <w14:textFill>
            <w14:solidFill>
              <w14:schemeClr w14:val="tx1"/>
            </w14:solidFill>
          </w14:textFill>
        </w:rPr>
        <w:t>0.44km</w:t>
      </w:r>
      <w:r>
        <w:rPr>
          <w:rFonts w:eastAsia="Times New Roman"/>
          <w:color w:val="000000" w:themeColor="text1"/>
          <w:position w:val="9"/>
          <w:sz w:val="16"/>
          <w:szCs w:val="16"/>
          <w14:textFill>
            <w14:solidFill>
              <w14:schemeClr w14:val="tx1"/>
            </w14:solidFill>
          </w14:textFill>
        </w:rPr>
        <w:t>2</w:t>
      </w:r>
      <w:r>
        <w:rPr>
          <w:color w:val="000000" w:themeColor="text1"/>
          <w14:textFill>
            <w14:solidFill>
              <w14:schemeClr w14:val="tx1"/>
            </w14:solidFill>
          </w14:textFill>
        </w:rPr>
        <w:t>，平均比降</w:t>
      </w:r>
      <w:r>
        <w:rPr>
          <w:rFonts w:eastAsia="Times New Roman"/>
          <w:color w:val="000000" w:themeColor="text1"/>
          <w14:textFill>
            <w14:solidFill>
              <w14:schemeClr w14:val="tx1"/>
            </w14:solidFill>
          </w14:textFill>
        </w:rPr>
        <w:t>2.34</w:t>
      </w:r>
      <w:r>
        <w:rPr>
          <w:color w:val="000000" w:themeColor="text1"/>
          <w14:textFill>
            <w14:solidFill>
              <w14:schemeClr w14:val="tx1"/>
            </w14:solidFill>
          </w14:textFill>
        </w:rPr>
        <w:t>‰。</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南支五渠：起水于龙泉驿区十陵街道南，东风渠总干渠</w:t>
      </w:r>
      <w:r>
        <w:rPr>
          <w:rFonts w:eastAsia="Times New Roman"/>
          <w:color w:val="000000" w:themeColor="text1"/>
          <w14:textFill>
            <w14:solidFill>
              <w14:schemeClr w14:val="tx1"/>
            </w14:solidFill>
          </w14:textFill>
        </w:rPr>
        <w:t>29+637</w:t>
      </w:r>
      <w:r>
        <w:rPr>
          <w:color w:val="000000" w:themeColor="text1"/>
          <w14:textFill>
            <w14:solidFill>
              <w14:schemeClr w14:val="tx1"/>
            </w14:solidFill>
          </w14:textFill>
        </w:rPr>
        <w:t>处，东过五里店，至西河镇南汇入西江河。渠长</w:t>
      </w:r>
      <w:r>
        <w:rPr>
          <w:rFonts w:eastAsia="Times New Roman"/>
          <w:color w:val="000000" w:themeColor="text1"/>
          <w14:textFill>
            <w14:solidFill>
              <w14:schemeClr w14:val="tx1"/>
            </w14:solidFill>
          </w14:textFill>
        </w:rPr>
        <w:t>7.13km</w:t>
      </w:r>
      <w:r>
        <w:rPr>
          <w:color w:val="000000" w:themeColor="text1"/>
          <w14:textFill>
            <w14:solidFill>
              <w14:schemeClr w14:val="tx1"/>
            </w14:solidFill>
          </w14:textFill>
        </w:rPr>
        <w:t>，进水流量</w:t>
      </w:r>
      <w:r>
        <w:rPr>
          <w:rFonts w:eastAsia="Times New Roman"/>
          <w:color w:val="000000" w:themeColor="text1"/>
          <w14:textFill>
            <w14:solidFill>
              <w14:schemeClr w14:val="tx1"/>
            </w14:solidFill>
          </w14:textFill>
        </w:rPr>
        <w:t>0.8m</w:t>
      </w:r>
      <w:r>
        <w:rPr>
          <w:rFonts w:eastAsia="Times New Roman"/>
          <w:color w:val="000000" w:themeColor="text1"/>
          <w:position w:val="9"/>
          <w:sz w:val="16"/>
          <w:szCs w:val="16"/>
          <w14:textFill>
            <w14:solidFill>
              <w14:schemeClr w14:val="tx1"/>
            </w14:solidFill>
          </w14:textFill>
        </w:rPr>
        <w:t>3</w:t>
      </w:r>
      <w:r>
        <w:rPr>
          <w:rFonts w:eastAsia="Times New Roman"/>
          <w:color w:val="000000" w:themeColor="text1"/>
          <w14:textFill>
            <w14:solidFill>
              <w14:schemeClr w14:val="tx1"/>
            </w14:solidFill>
          </w14:textFill>
        </w:rPr>
        <w:t>/s</w:t>
      </w:r>
      <w:r>
        <w:rPr>
          <w:color w:val="000000" w:themeColor="text1"/>
          <w14:textFill>
            <w14:solidFill>
              <w14:schemeClr w14:val="tx1"/>
            </w14:solidFill>
          </w14:textFill>
        </w:rPr>
        <w:t>，有斗渠</w:t>
      </w:r>
      <w:r>
        <w:rPr>
          <w:rFonts w:eastAsia="Times New Roman"/>
          <w:color w:val="000000" w:themeColor="text1"/>
          <w14:textFill>
            <w14:solidFill>
              <w14:schemeClr w14:val="tx1"/>
            </w14:solidFill>
          </w14:textFill>
        </w:rPr>
        <w:t>6</w:t>
      </w:r>
      <w:r>
        <w:rPr>
          <w:color w:val="000000" w:themeColor="text1"/>
          <w14:textFill>
            <w14:solidFill>
              <w14:schemeClr w14:val="tx1"/>
            </w14:solidFill>
          </w14:textFill>
        </w:rPr>
        <w:t>条，灌溉龙泉驿区农田。河道长度</w:t>
      </w:r>
      <w:r>
        <w:rPr>
          <w:rFonts w:eastAsia="Times New Roman"/>
          <w:color w:val="000000" w:themeColor="text1"/>
          <w14:textFill>
            <w14:solidFill>
              <w14:schemeClr w14:val="tx1"/>
            </w14:solidFill>
          </w14:textFill>
        </w:rPr>
        <w:t>3.06km</w:t>
      </w:r>
      <w:r>
        <w:rPr>
          <w:color w:val="000000" w:themeColor="text1"/>
          <w14:textFill>
            <w14:solidFill>
              <w14:schemeClr w14:val="tx1"/>
            </w14:solidFill>
          </w14:textFill>
        </w:rPr>
        <w:t>，流域面积</w:t>
      </w:r>
      <w:r>
        <w:rPr>
          <w:rFonts w:eastAsia="Times New Roman"/>
          <w:color w:val="000000" w:themeColor="text1"/>
          <w14:textFill>
            <w14:solidFill>
              <w14:schemeClr w14:val="tx1"/>
            </w14:solidFill>
          </w14:textFill>
        </w:rPr>
        <w:t>0.24km</w:t>
      </w:r>
      <w:r>
        <w:rPr>
          <w:rFonts w:hint="eastAsia"/>
          <w:color w:val="000000" w:themeColor="text1"/>
          <w:position w:val="9"/>
          <w:sz w:val="16"/>
          <w:szCs w:val="16"/>
          <w14:textFill>
            <w14:solidFill>
              <w14:schemeClr w14:val="tx1"/>
            </w14:solidFill>
          </w14:textFill>
        </w:rPr>
        <w:t>2</w:t>
      </w:r>
      <w:r>
        <w:rPr>
          <w:color w:val="000000" w:themeColor="text1"/>
          <w14:textFill>
            <w14:solidFill>
              <w14:schemeClr w14:val="tx1"/>
            </w14:solidFill>
          </w14:textFill>
        </w:rPr>
        <w:t>，平均比降</w:t>
      </w:r>
      <w:r>
        <w:rPr>
          <w:rFonts w:eastAsia="Times New Roman"/>
          <w:color w:val="000000" w:themeColor="text1"/>
          <w14:textFill>
            <w14:solidFill>
              <w14:schemeClr w14:val="tx1"/>
            </w14:solidFill>
          </w14:textFill>
        </w:rPr>
        <w:t>1.8</w:t>
      </w:r>
      <w:r>
        <w:rPr>
          <w:color w:val="000000" w:themeColor="text1"/>
          <w14:textFill>
            <w14:solidFill>
              <w14:schemeClr w14:val="tx1"/>
            </w14:solidFill>
          </w14:textFill>
        </w:rPr>
        <w:t>‰。</w:t>
      </w:r>
    </w:p>
    <w:p>
      <w:pPr>
        <w:pStyle w:val="14"/>
        <w:adjustRightInd w:val="0"/>
        <w:snapToGrid w:val="0"/>
        <w:spacing w:line="360" w:lineRule="auto"/>
        <w:ind w:firstLine="528" w:firstLineChars="200"/>
        <w:jc w:val="both"/>
        <w:rPr>
          <w:rFonts w:ascii="Times New Roman" w:hAnsi="Times New Roman" w:eastAsia="宋体" w:cs="Times New Roman"/>
          <w:color w:val="000000" w:themeColor="text1"/>
          <w14:textFill>
            <w14:solidFill>
              <w14:schemeClr w14:val="tx1"/>
            </w14:solidFill>
          </w14:textFill>
        </w:rPr>
      </w:pPr>
      <w:r>
        <w:rPr>
          <w:color w:val="000000" w:themeColor="text1"/>
          <w:spacing w:val="12"/>
          <w14:textFill>
            <w14:solidFill>
              <w14:schemeClr w14:val="tx1"/>
            </w14:solidFill>
          </w14:textFill>
        </w:rPr>
        <w:t>南支六渠：属东风渠总干渠左支，起水于龙泉驿区十陵双林盘</w:t>
      </w:r>
      <w:r>
        <w:rPr>
          <w:rFonts w:hint="eastAsia"/>
          <w:color w:val="000000" w:themeColor="text1"/>
          <w:spacing w:val="12"/>
          <w14:textFill>
            <w14:solidFill>
              <w14:schemeClr w14:val="tx1"/>
            </w14:solidFill>
          </w14:textFill>
        </w:rPr>
        <w:t>，</w:t>
      </w:r>
      <w:r>
        <w:rPr>
          <w:color w:val="000000" w:themeColor="text1"/>
          <w:spacing w:val="12"/>
          <w14:textFill>
            <w14:solidFill>
              <w14:schemeClr w14:val="tx1"/>
            </w14:solidFill>
          </w14:textFill>
        </w:rPr>
        <w:t>东</w:t>
      </w:r>
      <w:r>
        <w:rPr>
          <w:rFonts w:ascii="Times New Roman" w:hAnsi="Times New Roman" w:eastAsia="宋体" w:cs="Times New Roman"/>
          <w:color w:val="000000" w:themeColor="text1"/>
          <w14:textFill>
            <w14:solidFill>
              <w14:schemeClr w14:val="tx1"/>
            </w14:solidFill>
          </w14:textFill>
        </w:rPr>
        <w:t>风渠总干渠31+851处，东流汇入西江河。渠长1.333km，进水流量1.0m3/s，灌溉龙泉驿区。河道长度2.55km，流域面积0.23m2，平均比降2.1‰。</w:t>
      </w:r>
    </w:p>
    <w:p>
      <w:pPr>
        <w:pStyle w:val="14"/>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半截河支沟：为青龙湖</w:t>
      </w:r>
      <w:r>
        <w:rPr>
          <w:rFonts w:hint="default" w:ascii="Times New Roman" w:hAnsi="Times New Roman" w:eastAsia="宋体" w:cs="Times New Roman"/>
          <w:color w:val="000000" w:themeColor="text1"/>
          <w:lang w:val="en-US" w:eastAsia="zh-CN"/>
          <w14:textFill>
            <w14:solidFill>
              <w14:schemeClr w14:val="tx1"/>
            </w14:solidFill>
          </w14:textFill>
        </w:rPr>
        <w:t>2#</w:t>
      </w:r>
      <w:r>
        <w:rPr>
          <w:rFonts w:hint="eastAsia" w:ascii="Times New Roman" w:hAnsi="Times New Roman" w:eastAsia="宋体" w:cs="Times New Roman"/>
          <w:color w:val="000000" w:themeColor="text1"/>
          <w:lang w:val="en-US" w:eastAsia="zh-CN"/>
          <w14:textFill>
            <w14:solidFill>
              <w14:schemeClr w14:val="tx1"/>
            </w14:solidFill>
          </w14:textFill>
        </w:rPr>
        <w:t>闸门泄洪渠道，青龙湖最大下泄流量</w:t>
      </w:r>
      <w:r>
        <w:rPr>
          <w:rFonts w:hint="default" w:ascii="Times New Roman" w:hAnsi="Times New Roman" w:eastAsia="宋体" w:cs="Times New Roman"/>
          <w:color w:val="000000" w:themeColor="text1"/>
          <w:lang w:val="en-US" w:eastAsia="zh-CN"/>
          <w14:textFill>
            <w14:solidFill>
              <w14:schemeClr w14:val="tx1"/>
            </w14:solidFill>
          </w14:textFill>
        </w:rPr>
        <w:t>4m</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 xml:space="preserve">3 </w:t>
      </w:r>
      <w:r>
        <w:rPr>
          <w:rFonts w:hint="default" w:ascii="Times New Roman" w:hAnsi="Times New Roman" w:eastAsia="宋体" w:cs="Times New Roman"/>
          <w:color w:val="000000" w:themeColor="text1"/>
          <w:lang w:val="en-US" w:eastAsia="zh-CN"/>
          <w14:textFill>
            <w14:solidFill>
              <w14:schemeClr w14:val="tx1"/>
            </w14:solidFill>
          </w14:textFill>
        </w:rPr>
        <w:t>/s</w:t>
      </w:r>
      <w:r>
        <w:rPr>
          <w:rFonts w:hint="eastAsia" w:ascii="Times New Roman" w:hAnsi="Times New Roman" w:eastAsia="宋体" w:cs="Times New Roman"/>
          <w:color w:val="000000" w:themeColor="text1"/>
          <w:lang w:val="en-US" w:eastAsia="zh-CN"/>
          <w14:textFill>
            <w14:solidFill>
              <w14:schemeClr w14:val="tx1"/>
            </w14:solidFill>
          </w14:textFill>
        </w:rPr>
        <w:t>，半截河支沟汇入半截河。半截河支沟河道长度</w:t>
      </w:r>
      <w:r>
        <w:rPr>
          <w:rFonts w:hint="default" w:ascii="Times New Roman" w:hAnsi="Times New Roman" w:eastAsia="宋体" w:cs="Times New Roman"/>
          <w:color w:val="000000" w:themeColor="text1"/>
          <w:lang w:val="en-US" w:eastAsia="zh-CN"/>
          <w14:textFill>
            <w14:solidFill>
              <w14:schemeClr w14:val="tx1"/>
            </w14:solidFill>
          </w14:textFill>
        </w:rPr>
        <w:t>0.98km</w:t>
      </w:r>
      <w:r>
        <w:rPr>
          <w:rFonts w:hint="eastAsia" w:ascii="Times New Roman" w:hAnsi="Times New Roman" w:eastAsia="宋体" w:cs="Times New Roman"/>
          <w:color w:val="000000" w:themeColor="text1"/>
          <w:lang w:val="en-US" w:eastAsia="zh-CN"/>
          <w14:textFill>
            <w14:solidFill>
              <w14:schemeClr w14:val="tx1"/>
            </w14:solidFill>
          </w14:textFill>
        </w:rPr>
        <w:t xml:space="preserve">，流域面积 </w:t>
      </w:r>
      <w:r>
        <w:rPr>
          <w:rFonts w:hint="default" w:ascii="Times New Roman" w:hAnsi="Times New Roman" w:eastAsia="宋体" w:cs="Times New Roman"/>
          <w:color w:val="000000" w:themeColor="text1"/>
          <w:lang w:val="en-US" w:eastAsia="zh-CN"/>
          <w14:textFill>
            <w14:solidFill>
              <w14:schemeClr w14:val="tx1"/>
            </w14:solidFill>
          </w14:textFill>
        </w:rPr>
        <w:t>0.59km</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lang w:val="en-US" w:eastAsia="zh-CN"/>
          <w14:textFill>
            <w14:solidFill>
              <w14:schemeClr w14:val="tx1"/>
            </w14:solidFill>
          </w14:textFill>
        </w:rPr>
        <w:t>，平均比降</w:t>
      </w:r>
      <w:r>
        <w:rPr>
          <w:rFonts w:hint="default" w:ascii="Times New Roman" w:hAnsi="Times New Roman" w:eastAsia="宋体" w:cs="Times New Roman"/>
          <w:color w:val="000000" w:themeColor="text1"/>
          <w:lang w:val="en-US" w:eastAsia="zh-CN"/>
          <w14:textFill>
            <w14:solidFill>
              <w14:schemeClr w14:val="tx1"/>
            </w14:solidFill>
          </w14:textFill>
        </w:rPr>
        <w:t>4.0</w:t>
      </w:r>
      <w:r>
        <w:rPr>
          <w:rFonts w:hint="eastAsia" w:ascii="Times New Roman" w:hAnsi="Times New Roman" w:eastAsia="宋体" w:cs="Times New Roman"/>
          <w:color w:val="000000" w:themeColor="text1"/>
          <w:lang w:val="en-US" w:eastAsia="zh-CN"/>
          <w14:textFill>
            <w14:solidFill>
              <w14:schemeClr w14:val="tx1"/>
            </w14:solidFill>
          </w14:textFill>
        </w:rPr>
        <w:t>‰。</w:t>
      </w:r>
    </w:p>
    <w:p>
      <w:pPr>
        <w:pStyle w:val="14"/>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半截河</w:t>
      </w:r>
      <w:r>
        <w:rPr>
          <w:rFonts w:hint="default" w:ascii="Times New Roman" w:hAnsi="Times New Roman" w:eastAsia="宋体" w:cs="Times New Roman"/>
          <w:color w:val="000000" w:themeColor="text1"/>
          <w:lang w:val="en-US" w:eastAsia="zh-CN"/>
          <w14:textFill>
            <w14:solidFill>
              <w14:schemeClr w14:val="tx1"/>
            </w14:solidFill>
          </w14:textFill>
        </w:rPr>
        <w:t>2</w:t>
      </w:r>
      <w:r>
        <w:rPr>
          <w:rFonts w:hint="eastAsia" w:ascii="Times New Roman" w:hAnsi="Times New Roman" w:eastAsia="宋体" w:cs="Times New Roman"/>
          <w:color w:val="000000" w:themeColor="text1"/>
          <w:lang w:val="en-US" w:eastAsia="zh-CN"/>
          <w14:textFill>
            <w14:solidFill>
              <w14:schemeClr w14:val="tx1"/>
            </w14:solidFill>
          </w14:textFill>
        </w:rPr>
        <w:t>支沟：经过绕城高速后汇入半截河支沟，半截河</w:t>
      </w:r>
      <w:r>
        <w:rPr>
          <w:rFonts w:hint="default" w:ascii="Times New Roman" w:hAnsi="Times New Roman" w:eastAsia="宋体" w:cs="Times New Roman"/>
          <w:color w:val="000000" w:themeColor="text1"/>
          <w:lang w:val="en-US" w:eastAsia="zh-CN"/>
          <w14:textFill>
            <w14:solidFill>
              <w14:schemeClr w14:val="tx1"/>
            </w14:solidFill>
          </w14:textFill>
        </w:rPr>
        <w:t>2#</w:t>
      </w:r>
      <w:r>
        <w:rPr>
          <w:rFonts w:hint="eastAsia" w:ascii="Times New Roman" w:hAnsi="Times New Roman" w:eastAsia="宋体" w:cs="Times New Roman"/>
          <w:color w:val="000000" w:themeColor="text1"/>
          <w:lang w:val="en-US" w:eastAsia="zh-CN"/>
          <w14:textFill>
            <w14:solidFill>
              <w14:schemeClr w14:val="tx1"/>
            </w14:solidFill>
          </w14:textFill>
        </w:rPr>
        <w:t xml:space="preserve">支沟河道长度 </w:t>
      </w:r>
      <w:r>
        <w:rPr>
          <w:rFonts w:hint="default" w:ascii="Times New Roman" w:hAnsi="Times New Roman" w:eastAsia="宋体" w:cs="Times New Roman"/>
          <w:color w:val="000000" w:themeColor="text1"/>
          <w:lang w:val="en-US" w:eastAsia="zh-CN"/>
          <w14:textFill>
            <w14:solidFill>
              <w14:schemeClr w14:val="tx1"/>
            </w14:solidFill>
          </w14:textFill>
        </w:rPr>
        <w:t>0.70km</w:t>
      </w:r>
      <w:r>
        <w:rPr>
          <w:rFonts w:hint="eastAsia" w:ascii="Times New Roman" w:hAnsi="Times New Roman" w:eastAsia="宋体" w:cs="Times New Roman"/>
          <w:color w:val="000000" w:themeColor="text1"/>
          <w:lang w:val="en-US" w:eastAsia="zh-CN"/>
          <w14:textFill>
            <w14:solidFill>
              <w14:schemeClr w14:val="tx1"/>
            </w14:solidFill>
          </w14:textFill>
        </w:rPr>
        <w:t>，流域面积</w:t>
      </w:r>
      <w:r>
        <w:rPr>
          <w:rFonts w:hint="default" w:ascii="Times New Roman" w:hAnsi="Times New Roman" w:eastAsia="宋体" w:cs="Times New Roman"/>
          <w:color w:val="000000" w:themeColor="text1"/>
          <w:lang w:val="en-US" w:eastAsia="zh-CN"/>
          <w14:textFill>
            <w14:solidFill>
              <w14:schemeClr w14:val="tx1"/>
            </w14:solidFill>
          </w14:textFill>
        </w:rPr>
        <w:t>0.24km</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lang w:val="en-US" w:eastAsia="zh-CN"/>
          <w14:textFill>
            <w14:solidFill>
              <w14:schemeClr w14:val="tx1"/>
            </w14:solidFill>
          </w14:textFill>
        </w:rPr>
        <w:t>，平均比降</w:t>
      </w:r>
      <w:r>
        <w:rPr>
          <w:rFonts w:hint="default" w:ascii="Times New Roman" w:hAnsi="Times New Roman" w:eastAsia="宋体" w:cs="Times New Roman"/>
          <w:color w:val="000000" w:themeColor="text1"/>
          <w:lang w:val="en-US" w:eastAsia="zh-CN"/>
          <w14:textFill>
            <w14:solidFill>
              <w14:schemeClr w14:val="tx1"/>
            </w14:solidFill>
          </w14:textFill>
        </w:rPr>
        <w:t>4.01</w:t>
      </w:r>
      <w:r>
        <w:rPr>
          <w:rFonts w:hint="eastAsia" w:ascii="Times New Roman" w:hAnsi="Times New Roman" w:eastAsia="宋体" w:cs="Times New Roman"/>
          <w:color w:val="000000" w:themeColor="text1"/>
          <w:lang w:val="en-US" w:eastAsia="zh-CN"/>
          <w14:textFill>
            <w14:solidFill>
              <w14:schemeClr w14:val="tx1"/>
            </w14:solidFill>
          </w14:textFill>
        </w:rPr>
        <w:t>‰</w:t>
      </w:r>
    </w:p>
    <w:p>
      <w:pPr>
        <w:pStyle w:val="14"/>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湖江河</w:t>
      </w:r>
      <w:r>
        <w:rPr>
          <w:rFonts w:hint="eastAsia" w:cs="Times New Roman"/>
          <w:color w:val="000000" w:themeColor="text1"/>
          <w:lang w:val="en-US" w:eastAsia="zh-CN"/>
          <w14:textFill>
            <w14:solidFill>
              <w14:schemeClr w14:val="tx1"/>
            </w14:solidFill>
          </w14:textFill>
        </w:rPr>
        <w:t>（小西江河）</w:t>
      </w:r>
      <w:r>
        <w:rPr>
          <w:rFonts w:hint="eastAsia" w:ascii="Times New Roman" w:hAnsi="Times New Roman" w:eastAsia="宋体" w:cs="Times New Roman"/>
          <w:color w:val="000000" w:themeColor="text1"/>
          <w:lang w:val="en-US" w:eastAsia="zh-CN"/>
          <w14:textFill>
            <w14:solidFill>
              <w14:schemeClr w14:val="tx1"/>
            </w14:solidFill>
          </w14:textFill>
        </w:rPr>
        <w:t xml:space="preserve">：起点位于北支一渠，流经回龙村、城北绕城高速，后汇入太平河。标段内全长约 </w:t>
      </w:r>
      <w:r>
        <w:rPr>
          <w:rFonts w:hint="default" w:ascii="Times New Roman" w:hAnsi="Times New Roman" w:eastAsia="宋体" w:cs="Times New Roman"/>
          <w:color w:val="000000" w:themeColor="text1"/>
          <w:lang w:val="en-US" w:eastAsia="zh-CN"/>
          <w14:textFill>
            <w14:solidFill>
              <w14:schemeClr w14:val="tx1"/>
            </w14:solidFill>
          </w14:textFill>
        </w:rPr>
        <w:t>3.22km</w:t>
      </w:r>
      <w:r>
        <w:rPr>
          <w:rFonts w:hint="eastAsia" w:ascii="Times New Roman" w:hAnsi="Times New Roman" w:eastAsia="宋体" w:cs="Times New Roman"/>
          <w:color w:val="000000" w:themeColor="text1"/>
          <w:lang w:val="en-US" w:eastAsia="zh-CN"/>
          <w14:textFill>
            <w14:solidFill>
              <w14:schemeClr w14:val="tx1"/>
            </w14:solidFill>
          </w14:textFill>
        </w:rPr>
        <w:t xml:space="preserve">，流域面积 </w:t>
      </w:r>
      <w:r>
        <w:rPr>
          <w:rFonts w:hint="default" w:ascii="Times New Roman" w:hAnsi="Times New Roman" w:eastAsia="宋体" w:cs="Times New Roman"/>
          <w:color w:val="000000" w:themeColor="text1"/>
          <w:lang w:val="en-US" w:eastAsia="zh-CN"/>
          <w14:textFill>
            <w14:solidFill>
              <w14:schemeClr w14:val="tx1"/>
            </w14:solidFill>
          </w14:textFill>
        </w:rPr>
        <w:t>3.23km</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eastAsia" w:ascii="Times New Roman" w:hAnsi="Times New Roman" w:eastAsia="宋体" w:cs="Times New Roman"/>
          <w:color w:val="000000" w:themeColor="text1"/>
          <w:lang w:val="en-US" w:eastAsia="zh-CN"/>
          <w14:textFill>
            <w14:solidFill>
              <w14:schemeClr w14:val="tx1"/>
            </w14:solidFill>
          </w14:textFill>
        </w:rPr>
        <w:t xml:space="preserve">，平均比降 </w:t>
      </w:r>
      <w:r>
        <w:rPr>
          <w:rFonts w:hint="default" w:ascii="Times New Roman" w:hAnsi="Times New Roman" w:eastAsia="宋体" w:cs="Times New Roman"/>
          <w:color w:val="000000" w:themeColor="text1"/>
          <w:lang w:val="en-US" w:eastAsia="zh-CN"/>
          <w14:textFill>
            <w14:solidFill>
              <w14:schemeClr w14:val="tx1"/>
            </w14:solidFill>
          </w14:textFill>
        </w:rPr>
        <w:t>2.7</w:t>
      </w:r>
      <w:r>
        <w:rPr>
          <w:rFonts w:hint="eastAsia" w:ascii="Times New Roman" w:hAnsi="Times New Roman" w:eastAsia="宋体" w:cs="Times New Roman"/>
          <w:color w:val="000000" w:themeColor="text1"/>
          <w:lang w:val="en-US" w:eastAsia="zh-CN"/>
          <w14:textFill>
            <w14:solidFill>
              <w14:schemeClr w14:val="tx1"/>
            </w14:solidFill>
          </w14:textFill>
        </w:rPr>
        <w:t>‰。</w:t>
      </w:r>
    </w:p>
    <w:p>
      <w:pPr>
        <w:pStyle w:val="14"/>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西江河：为行洪河道，全长51公里，该河源于龙泉山顶张飞营，汇于毗河石龙堰。小西江河源于三河街道二台子的山溪水，流经木兰、石板滩、泰兴镇，注入龙王乡西江河。</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2.1.1.2水功能区</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地表水功能区采用两级区划体系，即：水功能一级区分为保护区、保留区、开发利用区和缓冲区4类；在一级区的开发利用区中进行水功能二级区划分，二级区分为饮用水源区、工业用水区、农业用水区、渔业用水区、景观娱乐用水区、过渡区和排污控制区7类。</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成都市共</w:t>
      </w:r>
      <w:r>
        <w:rPr>
          <w:color w:val="000000" w:themeColor="text1"/>
          <w:kern w:val="0"/>
          <w:sz w:val="24"/>
          <w:szCs w:val="24"/>
          <w14:textFill>
            <w14:solidFill>
              <w14:schemeClr w14:val="tx1"/>
            </w14:solidFill>
          </w14:textFill>
        </w:rPr>
        <w:t>涉及</w:t>
      </w:r>
      <w:r>
        <w:rPr>
          <w:rFonts w:hint="eastAsia"/>
          <w:color w:val="000000" w:themeColor="text1"/>
          <w:kern w:val="0"/>
          <w:sz w:val="24"/>
          <w:szCs w:val="24"/>
          <w14:textFill>
            <w14:solidFill>
              <w14:schemeClr w14:val="tx1"/>
            </w14:solidFill>
          </w14:textFill>
        </w:rPr>
        <w:t>22</w:t>
      </w:r>
      <w:r>
        <w:rPr>
          <w:color w:val="000000" w:themeColor="text1"/>
          <w:kern w:val="0"/>
          <w:sz w:val="24"/>
          <w:szCs w:val="24"/>
          <w14:textFill>
            <w14:solidFill>
              <w14:schemeClr w14:val="tx1"/>
            </w14:solidFill>
          </w14:textFill>
        </w:rPr>
        <w:t>个水功能一级</w:t>
      </w:r>
      <w:r>
        <w:rPr>
          <w:rFonts w:hint="eastAsia"/>
          <w:color w:val="000000" w:themeColor="text1"/>
          <w:kern w:val="0"/>
          <w:sz w:val="24"/>
          <w:szCs w:val="24"/>
          <w14:textFill>
            <w14:solidFill>
              <w14:schemeClr w14:val="tx1"/>
            </w14:solidFill>
          </w14:textFill>
        </w:rPr>
        <w:t>功能</w:t>
      </w:r>
      <w:r>
        <w:rPr>
          <w:color w:val="000000" w:themeColor="text1"/>
          <w:kern w:val="0"/>
          <w:sz w:val="24"/>
          <w:szCs w:val="24"/>
          <w14:textFill>
            <w14:solidFill>
              <w14:schemeClr w14:val="tx1"/>
            </w14:solidFill>
          </w14:textFill>
        </w:rPr>
        <w:t>区</w:t>
      </w:r>
      <w:r>
        <w:rPr>
          <w:rFonts w:hint="eastAsia"/>
          <w:color w:val="000000" w:themeColor="text1"/>
          <w:kern w:val="0"/>
          <w:sz w:val="24"/>
          <w:szCs w:val="24"/>
          <w14:textFill>
            <w14:solidFill>
              <w14:schemeClr w14:val="tx1"/>
            </w14:solidFill>
          </w14:textFill>
        </w:rPr>
        <w:t>，区划河长3</w:t>
      </w:r>
      <w:r>
        <w:rPr>
          <w:color w:val="000000" w:themeColor="text1"/>
          <w:kern w:val="0"/>
          <w:sz w:val="24"/>
          <w:szCs w:val="24"/>
          <w14:textFill>
            <w14:solidFill>
              <w14:schemeClr w14:val="tx1"/>
            </w14:solidFill>
          </w14:textFill>
        </w:rPr>
        <w:t>7</w:t>
      </w:r>
      <w:r>
        <w:rPr>
          <w:rFonts w:hint="eastAsia"/>
          <w:color w:val="000000" w:themeColor="text1"/>
          <w:kern w:val="0"/>
          <w:sz w:val="24"/>
          <w:szCs w:val="24"/>
          <w14:textFill>
            <w14:solidFill>
              <w14:schemeClr w14:val="tx1"/>
            </w14:solidFill>
          </w14:textFill>
        </w:rPr>
        <w:t>7.9km。结合成都市实际水资源开发利用情况及相关规划和标准，成都市一级水功能区主要类型有保护区、开发利用区和保留区三类。在3</w:t>
      </w:r>
      <w:r>
        <w:rPr>
          <w:color w:val="000000" w:themeColor="text1"/>
          <w:kern w:val="0"/>
          <w:sz w:val="24"/>
          <w:szCs w:val="24"/>
          <w14:textFill>
            <w14:solidFill>
              <w14:schemeClr w14:val="tx1"/>
            </w14:solidFill>
          </w14:textFill>
        </w:rPr>
        <w:t>7</w:t>
      </w:r>
      <w:r>
        <w:rPr>
          <w:rFonts w:hint="eastAsia"/>
          <w:color w:val="000000" w:themeColor="text1"/>
          <w:kern w:val="0"/>
          <w:sz w:val="24"/>
          <w:szCs w:val="24"/>
          <w14:textFill>
            <w14:solidFill>
              <w14:schemeClr w14:val="tx1"/>
            </w14:solidFill>
          </w14:textFill>
        </w:rPr>
        <w:t>7.9km区划河长中，保护区共</w:t>
      </w:r>
      <w:r>
        <w:rPr>
          <w:color w:val="000000" w:themeColor="text1"/>
          <w:kern w:val="0"/>
          <w:sz w:val="24"/>
          <w:szCs w:val="24"/>
          <w14:textFill>
            <w14:solidFill>
              <w14:schemeClr w14:val="tx1"/>
            </w14:solidFill>
          </w14:textFill>
        </w:rPr>
        <w:t>80</w:t>
      </w:r>
      <w:r>
        <w:rPr>
          <w:rFonts w:hint="eastAsia"/>
          <w:color w:val="000000" w:themeColor="text1"/>
          <w:kern w:val="0"/>
          <w:sz w:val="24"/>
          <w:szCs w:val="24"/>
          <w14:textFill>
            <w14:solidFill>
              <w14:schemeClr w14:val="tx1"/>
            </w14:solidFill>
          </w14:textFill>
        </w:rPr>
        <w:t>.4km，占区划总河长的2</w:t>
      </w:r>
      <w:r>
        <w:rPr>
          <w:color w:val="000000" w:themeColor="text1"/>
          <w:kern w:val="0"/>
          <w:sz w:val="24"/>
          <w:szCs w:val="24"/>
          <w14:textFill>
            <w14:solidFill>
              <w14:schemeClr w14:val="tx1"/>
            </w14:solidFill>
          </w14:textFill>
        </w:rPr>
        <w:t>1.3</w:t>
      </w:r>
      <w:r>
        <w:rPr>
          <w:rFonts w:hint="eastAsia"/>
          <w:color w:val="000000" w:themeColor="text1"/>
          <w:kern w:val="0"/>
          <w:sz w:val="24"/>
          <w:szCs w:val="24"/>
          <w14:textFill>
            <w14:solidFill>
              <w14:schemeClr w14:val="tx1"/>
            </w14:solidFill>
          </w14:textFill>
        </w:rPr>
        <w:t>%；开发利用区共92.7km，占区划总河长的24.5%；保留区共</w:t>
      </w:r>
      <w:r>
        <w:rPr>
          <w:color w:val="000000" w:themeColor="text1"/>
          <w:kern w:val="0"/>
          <w:sz w:val="24"/>
          <w:szCs w:val="24"/>
          <w14:textFill>
            <w14:solidFill>
              <w14:schemeClr w14:val="tx1"/>
            </w14:solidFill>
          </w14:textFill>
        </w:rPr>
        <w:t>204</w:t>
      </w:r>
      <w:r>
        <w:rPr>
          <w:rFonts w:hint="eastAsia"/>
          <w:color w:val="000000" w:themeColor="text1"/>
          <w:kern w:val="0"/>
          <w:sz w:val="24"/>
          <w:szCs w:val="24"/>
          <w14:textFill>
            <w14:solidFill>
              <w14:schemeClr w14:val="tx1"/>
            </w14:solidFill>
          </w14:textFill>
        </w:rPr>
        <w:t>.8km，占区划总河长的5</w:t>
      </w:r>
      <w:r>
        <w:rPr>
          <w:color w:val="000000" w:themeColor="text1"/>
          <w:kern w:val="0"/>
          <w:sz w:val="24"/>
          <w:szCs w:val="24"/>
          <w14:textFill>
            <w14:solidFill>
              <w14:schemeClr w14:val="tx1"/>
            </w14:solidFill>
          </w14:textFill>
        </w:rPr>
        <w:t>4.2</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二级水功能区</w:t>
      </w:r>
      <w:r>
        <w:rPr>
          <w:rFonts w:hint="eastAsia"/>
          <w:color w:val="000000" w:themeColor="text1"/>
          <w:kern w:val="0"/>
          <w:sz w:val="24"/>
          <w:szCs w:val="24"/>
          <w14:textFill>
            <w14:solidFill>
              <w14:schemeClr w14:val="tx1"/>
            </w14:solidFill>
          </w14:textFill>
        </w:rPr>
        <w:t>7</w:t>
      </w:r>
      <w:r>
        <w:rPr>
          <w:color w:val="000000" w:themeColor="text1"/>
          <w:kern w:val="0"/>
          <w:sz w:val="24"/>
          <w:szCs w:val="24"/>
          <w14:textFill>
            <w14:solidFill>
              <w14:schemeClr w14:val="tx1"/>
            </w14:solidFill>
          </w14:textFill>
        </w:rPr>
        <w:t>个，总长</w:t>
      </w:r>
      <w:r>
        <w:rPr>
          <w:rFonts w:hint="eastAsia"/>
          <w:color w:val="000000" w:themeColor="text1"/>
          <w:kern w:val="0"/>
          <w:sz w:val="24"/>
          <w:szCs w:val="24"/>
          <w14:textFill>
            <w14:solidFill>
              <w14:schemeClr w14:val="tx1"/>
            </w14:solidFill>
          </w14:textFill>
        </w:rPr>
        <w:t>度17.2km。</w:t>
      </w:r>
    </w:p>
    <w:p>
      <w:pPr>
        <w:widowControl/>
        <w:autoSpaceDE/>
        <w:autoSpaceDN/>
        <w:jc w:val="center"/>
        <w:rPr>
          <w:rFonts w:eastAsia="黑体"/>
          <w:color w:val="000000" w:themeColor="text1"/>
          <w:kern w:val="0"/>
          <w:szCs w:val="22"/>
          <w14:textFill>
            <w14:solidFill>
              <w14:schemeClr w14:val="tx1"/>
            </w14:solidFill>
          </w14:textFill>
        </w:rPr>
      </w:pPr>
      <w:r>
        <w:rPr>
          <w:rFonts w:eastAsia="黑体"/>
          <w:color w:val="000000" w:themeColor="text1"/>
          <w:kern w:val="0"/>
          <w:sz w:val="24"/>
          <w:szCs w:val="22"/>
          <w14:textFill>
            <w14:solidFill>
              <w14:schemeClr w14:val="tx1"/>
            </w14:solidFill>
          </w14:textFill>
        </w:rPr>
        <w:t>表2.1-1</w:t>
      </w:r>
      <w:r>
        <w:rPr>
          <w:rFonts w:hint="eastAsia" w:eastAsia="黑体"/>
          <w:color w:val="000000" w:themeColor="text1"/>
          <w:kern w:val="0"/>
          <w:sz w:val="24"/>
          <w:szCs w:val="22"/>
          <w14:textFill>
            <w14:solidFill>
              <w14:schemeClr w14:val="tx1"/>
            </w14:solidFill>
          </w14:textFill>
        </w:rPr>
        <w:t>成都市</w:t>
      </w:r>
      <w:r>
        <w:rPr>
          <w:rFonts w:eastAsia="黑体"/>
          <w:color w:val="000000" w:themeColor="text1"/>
          <w:kern w:val="0"/>
          <w:sz w:val="24"/>
          <w:szCs w:val="22"/>
          <w14:textFill>
            <w14:solidFill>
              <w14:schemeClr w14:val="tx1"/>
            </w14:solidFill>
          </w14:textFill>
        </w:rPr>
        <w:t>水功能一级区</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89"/>
        <w:gridCol w:w="1142"/>
        <w:gridCol w:w="2479"/>
        <w:gridCol w:w="18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2" w:hRule="atLeast"/>
          <w:tblHeader/>
          <w:jc w:val="center"/>
        </w:trPr>
        <w:tc>
          <w:tcPr>
            <w:tcW w:w="1813" w:type="pct"/>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color w:val="000000" w:themeColor="text1"/>
                <w:kern w:val="0"/>
                <w14:textFill>
                  <w14:solidFill>
                    <w14:schemeClr w14:val="tx1"/>
                  </w14:solidFill>
                </w14:textFill>
              </w:rPr>
            </w:pPr>
            <w:r>
              <w:rPr>
                <w:rFonts w:hint="default" w:eastAsiaTheme="minorEastAsia"/>
                <w:b/>
                <w:color w:val="000000" w:themeColor="text1"/>
                <w:kern w:val="0"/>
                <w14:textFill>
                  <w14:solidFill>
                    <w14:schemeClr w14:val="tx1"/>
                  </w14:solidFill>
                </w14:textFill>
              </w:rPr>
              <w:t>一级功能区名称</w:t>
            </w:r>
          </w:p>
        </w:tc>
        <w:tc>
          <w:tcPr>
            <w:tcW w:w="3187" w:type="pct"/>
            <w:gridSpan w:val="3"/>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color w:val="000000" w:themeColor="text1"/>
                <w:kern w:val="0"/>
                <w14:textFill>
                  <w14:solidFill>
                    <w14:schemeClr w14:val="tx1"/>
                  </w14:solidFill>
                </w14:textFill>
              </w:rPr>
            </w:pPr>
            <w:r>
              <w:rPr>
                <w:rFonts w:hint="default" w:eastAsiaTheme="minorEastAsia"/>
                <w:b/>
                <w:color w:val="000000" w:themeColor="text1"/>
                <w:kern w:val="0"/>
                <w14:textFill>
                  <w14:solidFill>
                    <w14:schemeClr w14:val="tx1"/>
                  </w14:solidFill>
                </w14:textFill>
              </w:rPr>
              <w:t>河流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jc w:val="center"/>
        </w:trPr>
        <w:tc>
          <w:tcPr>
            <w:tcW w:w="1813" w:type="pct"/>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firstLine="480"/>
              <w:jc w:val="center"/>
              <w:rPr>
                <w:rFonts w:hint="default" w:eastAsiaTheme="minorEastAsia"/>
                <w:b/>
                <w:color w:val="000000" w:themeColor="text1"/>
                <w:kern w:val="0"/>
                <w14:textFill>
                  <w14:solidFill>
                    <w14:schemeClr w14:val="tx1"/>
                  </w14:solidFill>
                </w14:textFill>
              </w:rPr>
            </w:pPr>
          </w:p>
        </w:tc>
        <w:tc>
          <w:tcPr>
            <w:tcW w:w="670"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color w:val="000000" w:themeColor="text1"/>
                <w:kern w:val="0"/>
                <w14:textFill>
                  <w14:solidFill>
                    <w14:schemeClr w14:val="tx1"/>
                  </w14:solidFill>
                </w14:textFill>
              </w:rPr>
            </w:pPr>
            <w:r>
              <w:rPr>
                <w:rFonts w:hint="default" w:eastAsiaTheme="minorEastAsia"/>
                <w:b/>
                <w:color w:val="000000" w:themeColor="text1"/>
                <w:kern w:val="0"/>
                <w14:textFill>
                  <w14:solidFill>
                    <w14:schemeClr w14:val="tx1"/>
                  </w14:solidFill>
                </w14:textFill>
              </w:rPr>
              <w:t>个数</w:t>
            </w:r>
          </w:p>
        </w:tc>
        <w:tc>
          <w:tcPr>
            <w:tcW w:w="145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color w:val="000000" w:themeColor="text1"/>
                <w:kern w:val="0"/>
                <w14:textFill>
                  <w14:solidFill>
                    <w14:schemeClr w14:val="tx1"/>
                  </w14:solidFill>
                </w14:textFill>
              </w:rPr>
            </w:pPr>
            <w:r>
              <w:rPr>
                <w:rFonts w:hint="default" w:eastAsiaTheme="minorEastAsia"/>
                <w:b/>
                <w:color w:val="000000" w:themeColor="text1"/>
                <w:kern w:val="0"/>
                <w14:textFill>
                  <w14:solidFill>
                    <w14:schemeClr w14:val="tx1"/>
                  </w14:solidFill>
                </w14:textFill>
              </w:rPr>
              <w:t>长度</w:t>
            </w:r>
            <w:r>
              <w:rPr>
                <w:rFonts w:hint="eastAsia" w:eastAsiaTheme="minorEastAsia"/>
                <w:b/>
                <w:color w:val="000000" w:themeColor="text1"/>
                <w:kern w:val="0"/>
                <w14:textFill>
                  <w14:solidFill>
                    <w14:schemeClr w14:val="tx1"/>
                  </w14:solidFill>
                </w14:textFill>
              </w:rPr>
              <w:t>（</w:t>
            </w:r>
            <w:r>
              <w:rPr>
                <w:rFonts w:hint="default" w:eastAsiaTheme="minorEastAsia"/>
                <w:b/>
                <w:color w:val="000000" w:themeColor="text1"/>
                <w:kern w:val="0"/>
                <w14:textFill>
                  <w14:solidFill>
                    <w14:schemeClr w14:val="tx1"/>
                  </w14:solidFill>
                </w14:textFill>
              </w:rPr>
              <w:t>km</w:t>
            </w:r>
            <w:r>
              <w:rPr>
                <w:rFonts w:hint="eastAsia" w:eastAsiaTheme="minorEastAsia"/>
                <w:b/>
                <w:color w:val="000000" w:themeColor="text1"/>
                <w:kern w:val="0"/>
                <w14:textFill>
                  <w14:solidFill>
                    <w14:schemeClr w14:val="tx1"/>
                  </w14:solidFill>
                </w14:textFill>
              </w:rPr>
              <w:t>）</w:t>
            </w:r>
          </w:p>
        </w:tc>
        <w:tc>
          <w:tcPr>
            <w:tcW w:w="1062"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color w:val="000000" w:themeColor="text1"/>
                <w:kern w:val="0"/>
                <w14:textFill>
                  <w14:solidFill>
                    <w14:schemeClr w14:val="tx1"/>
                  </w14:solidFill>
                </w14:textFill>
              </w:rPr>
            </w:pPr>
            <w:r>
              <w:rPr>
                <w:rFonts w:hint="default" w:eastAsiaTheme="minorEastAsia"/>
                <w:b/>
                <w:color w:val="000000" w:themeColor="text1"/>
                <w:kern w:val="0"/>
                <w14:textFill>
                  <w14:solidFill>
                    <w14:schemeClr w14:val="tx1"/>
                  </w14:solidFill>
                </w14:textFill>
              </w:rPr>
              <w:t>所占比例</w:t>
            </w:r>
            <w:r>
              <w:rPr>
                <w:rFonts w:hint="eastAsia" w:eastAsiaTheme="minorEastAsia"/>
                <w:b/>
                <w:color w:val="000000" w:themeColor="text1"/>
                <w:kern w:val="0"/>
                <w14:textFill>
                  <w14:solidFill>
                    <w14:schemeClr w14:val="tx1"/>
                  </w14:solidFill>
                </w14:textFill>
              </w:rPr>
              <w:t>（</w:t>
            </w:r>
            <w:r>
              <w:rPr>
                <w:rFonts w:hint="default" w:eastAsiaTheme="minorEastAsia"/>
                <w:b/>
                <w:color w:val="000000" w:themeColor="text1"/>
                <w:kern w:val="0"/>
                <w14:textFill>
                  <w14:solidFill>
                    <w14:schemeClr w14:val="tx1"/>
                  </w14:solidFill>
                </w14:textFill>
              </w:rPr>
              <w:t>%</w:t>
            </w:r>
            <w:r>
              <w:rPr>
                <w:rFonts w:hint="eastAsia" w:eastAsiaTheme="minorEastAsia"/>
                <w:b/>
                <w:color w:val="000000" w:themeColor="text1"/>
                <w:kern w:val="0"/>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813"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保护区</w:t>
            </w:r>
          </w:p>
        </w:tc>
        <w:tc>
          <w:tcPr>
            <w:tcW w:w="670"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6</w:t>
            </w:r>
          </w:p>
        </w:tc>
        <w:tc>
          <w:tcPr>
            <w:tcW w:w="145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80.4</w:t>
            </w:r>
          </w:p>
        </w:tc>
        <w:tc>
          <w:tcPr>
            <w:tcW w:w="1062"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21.3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813"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保留区</w:t>
            </w:r>
          </w:p>
        </w:tc>
        <w:tc>
          <w:tcPr>
            <w:tcW w:w="670"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11</w:t>
            </w:r>
          </w:p>
        </w:tc>
        <w:tc>
          <w:tcPr>
            <w:tcW w:w="145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204.8</w:t>
            </w:r>
          </w:p>
        </w:tc>
        <w:tc>
          <w:tcPr>
            <w:tcW w:w="1062"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54.2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813"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开发利用区</w:t>
            </w:r>
          </w:p>
        </w:tc>
        <w:tc>
          <w:tcPr>
            <w:tcW w:w="670"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5</w:t>
            </w:r>
          </w:p>
        </w:tc>
        <w:tc>
          <w:tcPr>
            <w:tcW w:w="145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92.7</w:t>
            </w:r>
          </w:p>
        </w:tc>
        <w:tc>
          <w:tcPr>
            <w:tcW w:w="1062"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813"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合计</w:t>
            </w:r>
          </w:p>
        </w:tc>
        <w:tc>
          <w:tcPr>
            <w:tcW w:w="670"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22</w:t>
            </w:r>
          </w:p>
        </w:tc>
        <w:tc>
          <w:tcPr>
            <w:tcW w:w="145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377.9</w:t>
            </w:r>
          </w:p>
        </w:tc>
        <w:tc>
          <w:tcPr>
            <w:tcW w:w="1062"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100</w:t>
            </w:r>
          </w:p>
        </w:tc>
      </w:tr>
    </w:tbl>
    <w:p>
      <w:pPr>
        <w:widowControl/>
        <w:autoSpaceDE/>
        <w:autoSpaceDN/>
        <w:jc w:val="center"/>
        <w:rPr>
          <w:rFonts w:eastAsia="黑体"/>
          <w:color w:val="000000" w:themeColor="text1"/>
          <w:kern w:val="0"/>
          <w:sz w:val="24"/>
          <w:szCs w:val="22"/>
          <w14:textFill>
            <w14:solidFill>
              <w14:schemeClr w14:val="tx1"/>
            </w14:solidFill>
          </w14:textFill>
        </w:rPr>
      </w:pPr>
      <w:r>
        <w:rPr>
          <w:rFonts w:eastAsia="黑体"/>
          <w:color w:val="000000" w:themeColor="text1"/>
          <w:kern w:val="0"/>
          <w:sz w:val="24"/>
          <w:szCs w:val="22"/>
          <w14:textFill>
            <w14:solidFill>
              <w14:schemeClr w14:val="tx1"/>
            </w14:solidFill>
          </w14:textFill>
        </w:rPr>
        <w:t>表2.1-2</w:t>
      </w:r>
      <w:r>
        <w:rPr>
          <w:rFonts w:hint="eastAsia" w:eastAsia="黑体"/>
          <w:color w:val="000000" w:themeColor="text1"/>
          <w:kern w:val="0"/>
          <w:sz w:val="24"/>
          <w:szCs w:val="22"/>
          <w14:textFill>
            <w14:solidFill>
              <w14:schemeClr w14:val="tx1"/>
            </w14:solidFill>
          </w14:textFill>
        </w:rPr>
        <w:t>成都市</w:t>
      </w:r>
      <w:r>
        <w:rPr>
          <w:rFonts w:eastAsia="黑体"/>
          <w:color w:val="000000" w:themeColor="text1"/>
          <w:kern w:val="0"/>
          <w:sz w:val="24"/>
          <w:szCs w:val="22"/>
          <w14:textFill>
            <w14:solidFill>
              <w14:schemeClr w14:val="tx1"/>
            </w14:solidFill>
          </w14:textFill>
        </w:rPr>
        <w:t>水功能二级区</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35"/>
        <w:gridCol w:w="1036"/>
        <w:gridCol w:w="2363"/>
        <w:gridCol w:w="17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9" w:hRule="atLeast"/>
          <w:tblHeader/>
          <w:jc w:val="center"/>
        </w:trPr>
        <w:tc>
          <w:tcPr>
            <w:tcW w:w="1957" w:type="pct"/>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bCs/>
                <w:color w:val="000000" w:themeColor="text1"/>
                <w:kern w:val="0"/>
                <w14:textFill>
                  <w14:solidFill>
                    <w14:schemeClr w14:val="tx1"/>
                  </w14:solidFill>
                </w14:textFill>
              </w:rPr>
            </w:pPr>
            <w:r>
              <w:rPr>
                <w:rFonts w:hint="default" w:eastAsiaTheme="minorEastAsia"/>
                <w:b/>
                <w:bCs/>
                <w:color w:val="000000" w:themeColor="text1"/>
                <w:kern w:val="0"/>
                <w14:textFill>
                  <w14:solidFill>
                    <w14:schemeClr w14:val="tx1"/>
                  </w14:solidFill>
                </w14:textFill>
              </w:rPr>
              <w:t>二级功能区名称</w:t>
            </w:r>
          </w:p>
        </w:tc>
        <w:tc>
          <w:tcPr>
            <w:tcW w:w="3043" w:type="pct"/>
            <w:gridSpan w:val="3"/>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bCs/>
                <w:color w:val="000000" w:themeColor="text1"/>
                <w:kern w:val="0"/>
                <w14:textFill>
                  <w14:solidFill>
                    <w14:schemeClr w14:val="tx1"/>
                  </w14:solidFill>
                </w14:textFill>
              </w:rPr>
            </w:pPr>
            <w:r>
              <w:rPr>
                <w:rFonts w:hint="eastAsia" w:eastAsiaTheme="minorEastAsia"/>
                <w:b/>
                <w:bCs/>
                <w:color w:val="000000" w:themeColor="text1"/>
                <w:kern w:val="0"/>
                <w14:textFill>
                  <w14:solidFill>
                    <w14:schemeClr w14:val="tx1"/>
                  </w14:solidFill>
                </w14:textFill>
              </w:rPr>
              <w:t>河流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4" w:hRule="atLeast"/>
          <w:tblHeader/>
          <w:jc w:val="center"/>
        </w:trPr>
        <w:tc>
          <w:tcPr>
            <w:tcW w:w="1957" w:type="pct"/>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firstLine="480"/>
              <w:jc w:val="center"/>
              <w:rPr>
                <w:rFonts w:hint="default" w:eastAsiaTheme="minorEastAsia"/>
                <w:b/>
                <w:bCs/>
                <w:color w:val="000000" w:themeColor="text1"/>
                <w:kern w:val="0"/>
                <w14:textFill>
                  <w14:solidFill>
                    <w14:schemeClr w14:val="tx1"/>
                  </w14:solidFill>
                </w14:textFill>
              </w:rPr>
            </w:pPr>
          </w:p>
        </w:tc>
        <w:tc>
          <w:tcPr>
            <w:tcW w:w="60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bCs/>
                <w:color w:val="000000" w:themeColor="text1"/>
                <w:kern w:val="0"/>
                <w14:textFill>
                  <w14:solidFill>
                    <w14:schemeClr w14:val="tx1"/>
                  </w14:solidFill>
                </w14:textFill>
              </w:rPr>
            </w:pPr>
            <w:r>
              <w:rPr>
                <w:rFonts w:hint="default" w:eastAsiaTheme="minorEastAsia"/>
                <w:b/>
                <w:bCs/>
                <w:color w:val="000000" w:themeColor="text1"/>
                <w:kern w:val="0"/>
                <w14:textFill>
                  <w14:solidFill>
                    <w14:schemeClr w14:val="tx1"/>
                  </w14:solidFill>
                </w14:textFill>
              </w:rPr>
              <w:t>个数</w:t>
            </w:r>
          </w:p>
        </w:tc>
        <w:tc>
          <w:tcPr>
            <w:tcW w:w="138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bCs/>
                <w:color w:val="000000" w:themeColor="text1"/>
                <w:kern w:val="0"/>
                <w14:textFill>
                  <w14:solidFill>
                    <w14:schemeClr w14:val="tx1"/>
                  </w14:solidFill>
                </w14:textFill>
              </w:rPr>
            </w:pPr>
            <w:r>
              <w:rPr>
                <w:rFonts w:hint="default" w:eastAsiaTheme="minorEastAsia"/>
                <w:b/>
                <w:bCs/>
                <w:color w:val="000000" w:themeColor="text1"/>
                <w:kern w:val="0"/>
                <w14:textFill>
                  <w14:solidFill>
                    <w14:schemeClr w14:val="tx1"/>
                  </w14:solidFill>
                </w14:textFill>
              </w:rPr>
              <w:t>长度(km)</w:t>
            </w:r>
          </w:p>
        </w:tc>
        <w:tc>
          <w:tcPr>
            <w:tcW w:w="10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b/>
                <w:bCs/>
                <w:color w:val="000000" w:themeColor="text1"/>
                <w:kern w:val="0"/>
                <w14:textFill>
                  <w14:solidFill>
                    <w14:schemeClr w14:val="tx1"/>
                  </w14:solidFill>
                </w14:textFill>
              </w:rPr>
            </w:pPr>
            <w:r>
              <w:rPr>
                <w:rFonts w:hint="default" w:eastAsiaTheme="minorEastAsia"/>
                <w:b/>
                <w:bCs/>
                <w:color w:val="000000" w:themeColor="text1"/>
                <w:kern w:val="0"/>
                <w14:textFill>
                  <w14:solidFill>
                    <w14:schemeClr w14:val="tx1"/>
                  </w14:solidFill>
                </w14:textFill>
              </w:rPr>
              <w:t>所占比例(%)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95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饮用水源区</w:t>
            </w:r>
          </w:p>
        </w:tc>
        <w:tc>
          <w:tcPr>
            <w:tcW w:w="60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2</w:t>
            </w:r>
          </w:p>
        </w:tc>
        <w:tc>
          <w:tcPr>
            <w:tcW w:w="138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11.4</w:t>
            </w:r>
          </w:p>
        </w:tc>
        <w:tc>
          <w:tcPr>
            <w:tcW w:w="10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95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农业</w:t>
            </w:r>
            <w:r>
              <w:rPr>
                <w:rFonts w:hint="eastAsia" w:eastAsiaTheme="minorEastAsia"/>
                <w:color w:val="000000" w:themeColor="text1"/>
                <w:kern w:val="0"/>
                <w14:textFill>
                  <w14:solidFill>
                    <w14:schemeClr w14:val="tx1"/>
                  </w14:solidFill>
                </w14:textFill>
              </w:rPr>
              <w:t>、</w:t>
            </w:r>
            <w:r>
              <w:rPr>
                <w:rFonts w:hint="default" w:eastAsiaTheme="minorEastAsia"/>
                <w:color w:val="000000" w:themeColor="text1"/>
                <w:kern w:val="0"/>
                <w14:textFill>
                  <w14:solidFill>
                    <w14:schemeClr w14:val="tx1"/>
                  </w14:solidFill>
                </w14:textFill>
              </w:rPr>
              <w:t>工业用水区</w:t>
            </w:r>
          </w:p>
        </w:tc>
        <w:tc>
          <w:tcPr>
            <w:tcW w:w="60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3</w:t>
            </w:r>
          </w:p>
        </w:tc>
        <w:tc>
          <w:tcPr>
            <w:tcW w:w="138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51.8</w:t>
            </w:r>
          </w:p>
        </w:tc>
        <w:tc>
          <w:tcPr>
            <w:tcW w:w="10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55.9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95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工业</w:t>
            </w:r>
            <w:r>
              <w:rPr>
                <w:rFonts w:hint="eastAsia" w:eastAsiaTheme="minorEastAsia"/>
                <w:color w:val="000000" w:themeColor="text1"/>
                <w:kern w:val="0"/>
                <w14:textFill>
                  <w14:solidFill>
                    <w14:schemeClr w14:val="tx1"/>
                  </w14:solidFill>
                </w14:textFill>
              </w:rPr>
              <w:t>、</w:t>
            </w:r>
            <w:r>
              <w:rPr>
                <w:rFonts w:hint="default" w:eastAsiaTheme="minorEastAsia"/>
                <w:color w:val="000000" w:themeColor="text1"/>
                <w:kern w:val="0"/>
                <w14:textFill>
                  <w14:solidFill>
                    <w14:schemeClr w14:val="tx1"/>
                  </w14:solidFill>
                </w14:textFill>
              </w:rPr>
              <w:t>农业用水区</w:t>
            </w:r>
          </w:p>
        </w:tc>
        <w:tc>
          <w:tcPr>
            <w:tcW w:w="60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w:t>
            </w:r>
          </w:p>
        </w:tc>
        <w:tc>
          <w:tcPr>
            <w:tcW w:w="138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17.9</w:t>
            </w:r>
          </w:p>
        </w:tc>
        <w:tc>
          <w:tcPr>
            <w:tcW w:w="10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95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景观</w:t>
            </w:r>
            <w:r>
              <w:rPr>
                <w:rFonts w:hint="eastAsia" w:eastAsiaTheme="minorEastAsia"/>
                <w:color w:val="000000" w:themeColor="text1"/>
                <w:kern w:val="0"/>
                <w14:textFill>
                  <w14:solidFill>
                    <w14:schemeClr w14:val="tx1"/>
                  </w14:solidFill>
                </w14:textFill>
              </w:rPr>
              <w:t>娱乐</w:t>
            </w:r>
            <w:r>
              <w:rPr>
                <w:rFonts w:hint="default" w:eastAsiaTheme="minorEastAsia"/>
                <w:color w:val="000000" w:themeColor="text1"/>
                <w:kern w:val="0"/>
                <w14:textFill>
                  <w14:solidFill>
                    <w14:schemeClr w14:val="tx1"/>
                  </w14:solidFill>
                </w14:textFill>
              </w:rPr>
              <w:t>用水区</w:t>
            </w:r>
            <w:r>
              <w:rPr>
                <w:rFonts w:hint="eastAsia" w:eastAsiaTheme="minorEastAsia"/>
                <w:color w:val="000000" w:themeColor="text1"/>
                <w:kern w:val="0"/>
                <w14:textFill>
                  <w14:solidFill>
                    <w14:schemeClr w14:val="tx1"/>
                  </w14:solidFill>
                </w14:textFill>
              </w:rPr>
              <w:t>、</w:t>
            </w:r>
            <w:r>
              <w:rPr>
                <w:rFonts w:hint="default" w:eastAsiaTheme="minorEastAsia"/>
                <w:color w:val="000000" w:themeColor="text1"/>
                <w:kern w:val="0"/>
                <w14:textFill>
                  <w14:solidFill>
                    <w14:schemeClr w14:val="tx1"/>
                  </w14:solidFill>
                </w14:textFill>
              </w:rPr>
              <w:t>农业用水区</w:t>
            </w:r>
          </w:p>
        </w:tc>
        <w:tc>
          <w:tcPr>
            <w:tcW w:w="60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w:t>
            </w:r>
          </w:p>
        </w:tc>
        <w:tc>
          <w:tcPr>
            <w:tcW w:w="138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11.6</w:t>
            </w:r>
          </w:p>
        </w:tc>
        <w:tc>
          <w:tcPr>
            <w:tcW w:w="10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95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合计</w:t>
            </w:r>
          </w:p>
        </w:tc>
        <w:tc>
          <w:tcPr>
            <w:tcW w:w="60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7</w:t>
            </w:r>
          </w:p>
        </w:tc>
        <w:tc>
          <w:tcPr>
            <w:tcW w:w="1387"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92.7</w:t>
            </w:r>
          </w:p>
        </w:tc>
        <w:tc>
          <w:tcPr>
            <w:tcW w:w="10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rPr>
                <w:rFonts w:hint="default" w:eastAsiaTheme="minorEastAsia"/>
                <w:color w:val="000000" w:themeColor="text1"/>
                <w:kern w:val="0"/>
                <w14:textFill>
                  <w14:solidFill>
                    <w14:schemeClr w14:val="tx1"/>
                  </w14:solidFill>
                </w14:textFill>
              </w:rPr>
            </w:pPr>
            <w:r>
              <w:rPr>
                <w:rFonts w:hint="default" w:eastAsiaTheme="minorEastAsia"/>
                <w:color w:val="000000" w:themeColor="text1"/>
                <w:kern w:val="0"/>
                <w14:textFill>
                  <w14:solidFill>
                    <w14:schemeClr w14:val="tx1"/>
                  </w14:solidFill>
                </w14:textFill>
              </w:rPr>
              <w:t>100</w:t>
            </w:r>
          </w:p>
        </w:tc>
      </w:tr>
    </w:tbl>
    <w:p>
      <w:pPr>
        <w:widowControl/>
        <w:spacing w:line="360" w:lineRule="auto"/>
        <w:ind w:firstLine="472" w:firstLineChars="200"/>
        <w:jc w:val="both"/>
        <w:rPr>
          <w:color w:val="000000" w:themeColor="text1"/>
          <w:spacing w:val="-2"/>
          <w:sz w:val="24"/>
          <w:szCs w:val="24"/>
          <w14:textFill>
            <w14:solidFill>
              <w14:schemeClr w14:val="tx1"/>
            </w14:solidFill>
          </w14:textFill>
        </w:rPr>
      </w:pPr>
      <w:r>
        <w:rPr>
          <w:rFonts w:hint="eastAsia"/>
          <w:color w:val="000000" w:themeColor="text1"/>
          <w:spacing w:val="-2"/>
          <w:sz w:val="24"/>
          <w:szCs w:val="24"/>
          <w14:textFill>
            <w14:solidFill>
              <w14:schemeClr w14:val="tx1"/>
            </w14:solidFill>
          </w14:textFill>
        </w:rPr>
        <w:t>根据调查，项目南五、南六支渠渠道来水为东风渠；北支一渠、董家堰补水渠（上、下）来水为东风渠北干渠。根据调查，项目涉及渠道均为人工渠道，尚未划定水环境功能区。</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2.1.1.3</w:t>
      </w:r>
      <w:r>
        <w:rPr>
          <w:rFonts w:hint="eastAsia"/>
          <w:b/>
          <w:color w:val="000000" w:themeColor="text1"/>
          <w:kern w:val="0"/>
          <w:sz w:val="24"/>
          <w:szCs w:val="24"/>
          <w14:textFill>
            <w14:solidFill>
              <w14:schemeClr w14:val="tx1"/>
            </w14:solidFill>
          </w14:textFill>
        </w:rPr>
        <w:t>灌区概况</w:t>
      </w:r>
    </w:p>
    <w:p>
      <w:pPr>
        <w:pStyle w:val="14"/>
        <w:adjustRightInd w:val="0"/>
        <w:snapToGrid w:val="0"/>
        <w:spacing w:line="360" w:lineRule="auto"/>
        <w:ind w:firstLine="472" w:firstLineChars="200"/>
        <w:jc w:val="both"/>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都江堰灌区是全国特大型灌区，地处华中亚热带湿润气候区，气候温和，土壤肥沃，一年可收两熟到三熟，是中国重要的粮、油基地之一。都江堰灌区设计灌面1519万亩，有效灌面1130万亩，东风渠管理处所管辖的东风渠灌区位于成都平原腹地，是都江堰灌区的重要组成部分。东风渠原名东山灌溉工程，自都江堰府河引水自流灌溉成都市区东、新都区南、龙泉驿区北、毗河以南至龙泉山西麓丘陵地带，包括龙泉驿区平坝丘陵,并提水灌溉部分深丘山区农田。东风渠灌区位于成都都市圈核心区域，灌区体量、河渠长度、涉水工程数量位居都江堰灌区首位。灌区设计灌面277.13万亩，实际有效灌面291.72万亩，控灌面积860万亩。直接管辖干渠16条，总长816公里，其中在干渠上取水的支渠有218条。东风渠水利工程担负着四川盆地中西部地区成都眉山、资阳3个市22个县（市、区）19.47万hm</w:t>
      </w:r>
      <w:r>
        <w:rPr>
          <w:rFonts w:hint="eastAsia"/>
          <w:color w:val="000000" w:themeColor="text1"/>
          <w:spacing w:val="-2"/>
          <w:vertAlign w:val="superscript"/>
          <w14:textFill>
            <w14:solidFill>
              <w14:schemeClr w14:val="tx1"/>
            </w14:solidFill>
          </w14:textFill>
        </w:rPr>
        <w:t>2</w:t>
      </w:r>
      <w:r>
        <w:rPr>
          <w:rFonts w:hint="eastAsia"/>
          <w:color w:val="000000" w:themeColor="text1"/>
          <w:spacing w:val="-2"/>
          <w14:textFill>
            <w14:solidFill>
              <w14:schemeClr w14:val="tx1"/>
            </w14:solidFill>
          </w14:textFill>
        </w:rPr>
        <w:t>农田的灌溉用水、成都市50多家重点企业和城市生活供水以及防洪、发电、水产、养殖、林果、旅游、环保等多项目标综合服务，是促进四川省国民经济发展不可替代的水利基础设施。</w:t>
      </w:r>
    </w:p>
    <w:p>
      <w:pPr>
        <w:pStyle w:val="14"/>
        <w:adjustRightInd w:val="0"/>
        <w:snapToGrid w:val="0"/>
        <w:spacing w:line="360" w:lineRule="auto"/>
        <w:ind w:firstLine="472" w:firstLineChars="200"/>
        <w:jc w:val="both"/>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环城生态区农田整治灌面位于成都平原区东风渠管理处灌区内，在府河、毗河、清水河等东风渠管理处灌区的水系骨架上，构建有完整的灌溉渠系，该类灌渠是都江堰向成都平原源源不断供水的骨干通道，承担着区域灌溉、生产生活、排洪及城市景观等功能。按行政区域统计，涉及11个区县，即成华区、高新区、金牛区、锦江区（含内部天府新区）、龙泉驿区、郫都区、青羊区、双流区、温江区、武侯区、新都区。</w:t>
      </w:r>
    </w:p>
    <w:p>
      <w:pPr>
        <w:pStyle w:val="14"/>
        <w:adjustRightInd w:val="0"/>
        <w:snapToGrid w:val="0"/>
        <w:spacing w:line="360" w:lineRule="auto"/>
        <w:ind w:firstLine="472" w:firstLineChars="200"/>
        <w:jc w:val="both"/>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本项目区域均位于东风渠管理处灌区内，灌区分为3个片区，分别为东风渠北片区、东风渠南片区、南府河片区。按行政区域统计，涉及成都市金牛区、新都区、成华区、龙泉驿区、锦江区、双流区、高新南区、天府新区成都直管区等8个区。</w:t>
      </w:r>
    </w:p>
    <w:p>
      <w:pPr>
        <w:pStyle w:val="14"/>
        <w:adjustRightInd w:val="0"/>
        <w:snapToGrid w:val="0"/>
        <w:spacing w:line="360" w:lineRule="auto"/>
        <w:ind w:firstLine="480" w:firstLineChars="200"/>
        <w:jc w:val="both"/>
        <w:rPr>
          <w:color w:val="000000" w:themeColor="text1"/>
          <w:spacing w:val="-2"/>
          <w14:textFill>
            <w14:solidFill>
              <w14:schemeClr w14:val="tx1"/>
            </w14:solidFill>
          </w14:textFill>
        </w:rPr>
      </w:pPr>
      <w:r>
        <w:rPr>
          <w:rFonts w:hint="eastAsia"/>
          <w:color w:val="000000" w:themeColor="text1"/>
          <w14:textFill>
            <w14:solidFill>
              <w14:schemeClr w14:val="tx1"/>
            </w14:solidFill>
          </w14:textFill>
        </w:rPr>
        <w:t>本项目南五支渠和南六支渠位于龙泉驿，属于东风渠南片区，北支一渠、董家堰补水渠（上）、董家堰补水渠（下）位于</w:t>
      </w:r>
      <w:r>
        <w:rPr>
          <w:rFonts w:hint="eastAsia"/>
          <w:color w:val="000000" w:themeColor="text1"/>
          <w:lang w:val="en-US" w:eastAsia="zh-CN"/>
          <w14:textFill>
            <w14:solidFill>
              <w14:schemeClr w14:val="tx1"/>
            </w14:solidFill>
          </w14:textFill>
        </w:rPr>
        <w:t>新都</w:t>
      </w:r>
      <w:r>
        <w:rPr>
          <w:rFonts w:hint="eastAsia"/>
          <w:color w:val="000000" w:themeColor="text1"/>
          <w14:textFill>
            <w14:solidFill>
              <w14:schemeClr w14:val="tx1"/>
            </w14:solidFill>
          </w14:textFill>
        </w:rPr>
        <w:t>区，属于东风渠北片区。</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2.1.1.4</w:t>
      </w:r>
      <w:r>
        <w:rPr>
          <w:rFonts w:hint="eastAsia"/>
          <w:b/>
          <w:color w:val="000000" w:themeColor="text1"/>
          <w:kern w:val="0"/>
          <w:sz w:val="24"/>
          <w:szCs w:val="24"/>
          <w14:textFill>
            <w14:solidFill>
              <w14:schemeClr w14:val="tx1"/>
            </w14:solidFill>
          </w14:textFill>
        </w:rPr>
        <w:t>灌区水资源配置情况</w:t>
      </w:r>
    </w:p>
    <w:p>
      <w:pPr>
        <w:pStyle w:val="14"/>
        <w:adjustRightInd w:val="0"/>
        <w:snapToGrid w:val="0"/>
        <w:spacing w:line="360" w:lineRule="auto"/>
        <w:ind w:firstLine="472" w:firstLineChars="200"/>
        <w:jc w:val="both"/>
        <w:rPr>
          <w:color w:val="000000" w:themeColor="text1"/>
          <w14:textFill>
            <w14:solidFill>
              <w14:schemeClr w14:val="tx1"/>
            </w14:solidFill>
          </w14:textFill>
        </w:rPr>
      </w:pPr>
      <w:r>
        <w:rPr>
          <w:color w:val="000000" w:themeColor="text1"/>
          <w:spacing w:val="-2"/>
          <w14:textFill>
            <w14:solidFill>
              <w14:schemeClr w14:val="tx1"/>
            </w14:solidFill>
          </w14:textFill>
        </w:rPr>
        <w:t>根据以往规划对都江堰供水区的水源方案论述，都江堰供水区是四川省国民经济发展举足轻重的区域，综合用水部门多，需水量大，尤其是特大城市成都市需水量大，所以必须充分发挥多水源优势，共同完成供水任务</w:t>
      </w:r>
      <w:r>
        <w:rPr>
          <w:rFonts w:hint="eastAsia"/>
          <w:color w:val="000000" w:themeColor="text1"/>
          <w:spacing w:val="-2"/>
          <w14:textFill>
            <w14:solidFill>
              <w14:schemeClr w14:val="tx1"/>
            </w14:solidFill>
          </w14:textFill>
        </w:rPr>
        <w:t>；</w:t>
      </w:r>
      <w:r>
        <w:rPr>
          <w:color w:val="000000" w:themeColor="text1"/>
          <w:spacing w:val="-2"/>
          <w14:textFill>
            <w14:solidFill>
              <w14:schemeClr w14:val="tx1"/>
            </w14:solidFill>
          </w14:textFill>
        </w:rPr>
        <w:t>坚定不移优先开发岷江上游水源；同时挖掘当地水源现有工程的供水潜力，加大当地径流利用率；边缘山区水源是岷江水源的必要补充，应有选择地逐步开发；在远期实施引大济岷（含引青济岷）工程补充都江</w:t>
      </w:r>
      <w:r>
        <w:rPr>
          <w:color w:val="000000" w:themeColor="text1"/>
          <w14:textFill>
            <w14:solidFill>
              <w14:schemeClr w14:val="tx1"/>
            </w14:solidFill>
          </w14:textFill>
        </w:rPr>
        <w:t>堰供水区的供水不足。</w:t>
      </w:r>
    </w:p>
    <w:p>
      <w:pPr>
        <w:pStyle w:val="14"/>
        <w:adjustRightInd w:val="0"/>
        <w:snapToGrid w:val="0"/>
        <w:spacing w:line="360" w:lineRule="auto"/>
        <w:ind w:firstLine="460" w:firstLineChars="200"/>
        <w:rPr>
          <w:color w:val="000000" w:themeColor="text1"/>
          <w14:textFill>
            <w14:solidFill>
              <w14:schemeClr w14:val="tx1"/>
            </w14:solidFill>
          </w14:textFill>
        </w:rPr>
      </w:pPr>
      <w:r>
        <w:rPr>
          <w:color w:val="000000" w:themeColor="text1"/>
          <w:spacing w:val="-5"/>
          <w14:textFill>
            <w14:solidFill>
              <w14:schemeClr w14:val="tx1"/>
            </w14:solidFill>
          </w14:textFill>
        </w:rPr>
        <w:t>岷江上游水资源比较丰富，开发条件优越，但目前开发利用程度在省内来说已较高，</w:t>
      </w:r>
      <w:r>
        <w:rPr>
          <w:color w:val="000000" w:themeColor="text1"/>
          <w14:textFill>
            <w14:solidFill>
              <w14:schemeClr w14:val="tx1"/>
            </w14:solidFill>
          </w14:textFill>
        </w:rPr>
        <w:t>要增加岷江的引水必须提高岷江上游调蓄能力，并优化紫坪铺等水库的调配作用。</w:t>
      </w:r>
      <w:r>
        <w:rPr>
          <w:color w:val="000000" w:themeColor="text1"/>
          <w:spacing w:val="-5"/>
          <w14:textFill>
            <w14:solidFill>
              <w14:schemeClr w14:val="tx1"/>
            </w14:solidFill>
          </w14:textFill>
        </w:rPr>
        <w:t>都江堰供水区平原区的当地径流较少，且多以汛期雨洪的形式出现，难以集中利用；</w:t>
      </w:r>
      <w:r>
        <w:rPr>
          <w:color w:val="000000" w:themeColor="text1"/>
          <w14:textFill>
            <w14:solidFill>
              <w14:schemeClr w14:val="tx1"/>
            </w14:solidFill>
          </w14:textFill>
        </w:rPr>
        <w:t>丘陵区的当地径流可以通过兴建一些中小型蓄水工程进一步加大当地水源的利用。</w:t>
      </w:r>
    </w:p>
    <w:p>
      <w:pPr>
        <w:pStyle w:val="14"/>
        <w:adjustRightInd w:val="0"/>
        <w:snapToGrid w:val="0"/>
        <w:spacing w:line="360" w:lineRule="auto"/>
        <w:ind w:firstLine="472" w:firstLineChars="200"/>
        <w:rPr>
          <w:color w:val="000000" w:themeColor="text1"/>
          <w14:textFill>
            <w14:solidFill>
              <w14:schemeClr w14:val="tx1"/>
            </w14:solidFill>
          </w14:textFill>
        </w:rPr>
      </w:pPr>
      <w:r>
        <w:rPr>
          <w:color w:val="000000" w:themeColor="text1"/>
          <w:spacing w:val="-2"/>
          <w14:textFill>
            <w14:solidFill>
              <w14:schemeClr w14:val="tx1"/>
            </w14:solidFill>
          </w14:textFill>
        </w:rPr>
        <w:t>都江堰供水区边缘山区水源可作为本区的补充水源，但这些入境水资源边缘山区河</w:t>
      </w:r>
      <w:r>
        <w:rPr>
          <w:color w:val="000000" w:themeColor="text1"/>
          <w14:textFill>
            <w14:solidFill>
              <w14:schemeClr w14:val="tx1"/>
            </w14:solidFill>
          </w14:textFill>
        </w:rPr>
        <w:t>流具有时空分布不均、丰枯径流变化大的特点，</w:t>
      </w:r>
      <w:r>
        <w:rPr>
          <w:rFonts w:eastAsia="Times New Roman"/>
          <w:color w:val="000000" w:themeColor="text1"/>
          <w14:textFill>
            <w14:solidFill>
              <w14:schemeClr w14:val="tx1"/>
            </w14:solidFill>
          </w14:textFill>
        </w:rPr>
        <w:t>70%</w:t>
      </w: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80%</w:t>
      </w:r>
      <w:r>
        <w:rPr>
          <w:color w:val="000000" w:themeColor="text1"/>
          <w14:textFill>
            <w14:solidFill>
              <w14:schemeClr w14:val="tx1"/>
            </w14:solidFill>
          </w14:textFill>
        </w:rPr>
        <w:t>的水量集中在</w:t>
      </w:r>
      <w:r>
        <w:rPr>
          <w:rFonts w:eastAsia="Times New Roman"/>
          <w:color w:val="000000" w:themeColor="text1"/>
          <w:spacing w:val="-3"/>
          <w14:textFill>
            <w14:solidFill>
              <w14:schemeClr w14:val="tx1"/>
            </w14:solidFill>
          </w14:textFill>
        </w:rPr>
        <w:t>6</w:t>
      </w:r>
      <w:r>
        <w:rPr>
          <w:color w:val="000000" w:themeColor="text1"/>
          <w:spacing w:val="-3"/>
          <w14:textFill>
            <w14:solidFill>
              <w14:schemeClr w14:val="tx1"/>
            </w14:solidFill>
          </w14:textFill>
        </w:rPr>
        <w:t>～</w:t>
      </w:r>
      <w:r>
        <w:rPr>
          <w:rFonts w:eastAsia="Times New Roman"/>
          <w:color w:val="000000" w:themeColor="text1"/>
          <w:spacing w:val="-3"/>
          <w14:textFill>
            <w14:solidFill>
              <w14:schemeClr w14:val="tx1"/>
            </w14:solidFill>
          </w14:textFill>
        </w:rPr>
        <w:t>11</w:t>
      </w:r>
      <w:r>
        <w:rPr>
          <w:color w:val="000000" w:themeColor="text1"/>
          <w14:textFill>
            <w14:solidFill>
              <w14:schemeClr w14:val="tx1"/>
            </w14:solidFill>
          </w14:textFill>
        </w:rPr>
        <w:t>月，目</w:t>
      </w:r>
      <w:r>
        <w:rPr>
          <w:color w:val="000000" w:themeColor="text1"/>
          <w:spacing w:val="-2"/>
          <w14:textFill>
            <w14:solidFill>
              <w14:schemeClr w14:val="tx1"/>
            </w14:solidFill>
          </w14:textFill>
        </w:rPr>
        <w:t>前这些河流均无调节工程，要进一步利用周边河流水资源，必须修建骨干蓄水工程提高</w:t>
      </w:r>
      <w:r>
        <w:rPr>
          <w:color w:val="000000" w:themeColor="text1"/>
          <w14:textFill>
            <w14:solidFill>
              <w14:schemeClr w14:val="tx1"/>
            </w14:solidFill>
          </w14:textFill>
        </w:rPr>
        <w:t>水资源利用率。目前成都市李家岩水库、䢺江三坝水库已经开工建设。</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2.1.1.</w:t>
      </w:r>
      <w:r>
        <w:rPr>
          <w:rFonts w:hint="eastAsia"/>
          <w:b/>
          <w:color w:val="000000" w:themeColor="text1"/>
          <w:kern w:val="0"/>
          <w:sz w:val="24"/>
          <w:szCs w:val="24"/>
          <w14:textFill>
            <w14:solidFill>
              <w14:schemeClr w14:val="tx1"/>
            </w14:solidFill>
          </w14:textFill>
        </w:rPr>
        <w:t>5水资源开发利用现状</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项目所在地属于岷江干流水系。岷江是四川的“母亲河”，它孕育着四川的良田沃土，将成都平原变成举世闻名的“天府之国”，它的水资源开发利用是四川省经济社会发展的重要保障。</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岷江干流全长740km，总落差3560m，其中都江堰（鱼嘴）以上称上游，上游干流长340km，落差3009km。岷江上游除承担本区域供水外，还通过都江堰向沱江、涪江丘陵区补水。岷江干流（含青衣江）现状总的水资源开发利用程度14.3%，高于全省平均8.9%的水平，是四川省除沱江外开发利用程度较高的地区。四川省特大引水工程都江堰位于岷江干流上游的鱼嘴河段下端，是四川特大城市成都市、成都平原灌区、以及沱江、涪江上中游丘陵区的重要供水水源地。在历史上就形成的宝瓶口（及沙黑总河）高比例引入水量的事实，都江堰引水工程（多年平均）可以引进岷江上游水量的63.6%~81%，这是由于都江堰工程所具有的优势所决定的，成为全省水资源开发利用程度最高的河段。</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本次项目涉及灌区均属于都江堰灌区东风渠管理处。根据统计，都江堰已成灌区已建各类水利工程9.2万处，其中：蓄水工程6.6万处，兴利库容20.26亿m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；引水工程155处，现状供水能力7.07亿m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；提水工程15074处，均为小型，现状提水能力1.53亿m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；地下水利用工程10144处现状供水能力2.69亿m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。项目区内具有供水能力的塘堰数量较少，仅有8处，可利用库容总计8.9万m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东风渠是引用都江堰内江渠系水源的大型引水灌溉工程，又名东山引水灌溉工程。始建于1956年春，时称东山引水灌溉工程，至1966年方改称东风渠。东风渠总干渠是都江堰灌区的一条重要输水干渠。始于府河郫都区安靖东风渠总干引水枢纽，东南流进入成都市城区，至南北节制闸、麻石桥节制闸、团结节制闸、罗家河坝分水枢纽分出北干渠、东干渠、老南干渠和新南干渠。东风渠总干渠全长54.3km，进水闸设计流量80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/s。绕城高速公路以内，东风渠总干渠河道岸线总长度22.2km，工程共分六期建设。</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293" w:name="_Toc70496260"/>
      <w:bookmarkStart w:id="294" w:name="_Toc4800"/>
      <w:r>
        <w:rPr>
          <w:rFonts w:eastAsia="黑体"/>
          <w:b/>
          <w:bCs/>
          <w:color w:val="000000" w:themeColor="text1"/>
          <w:kern w:val="0"/>
          <w:sz w:val="32"/>
          <w:szCs w:val="32"/>
          <w14:textFill>
            <w14:solidFill>
              <w14:schemeClr w14:val="tx1"/>
            </w14:solidFill>
          </w14:textFill>
        </w:rPr>
        <w:t>2.2项目概况</w:t>
      </w:r>
      <w:bookmarkEnd w:id="293"/>
      <w:bookmarkEnd w:id="294"/>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295" w:name="_Toc70496261"/>
      <w:bookmarkStart w:id="296" w:name="_Toc31635"/>
      <w:r>
        <w:rPr>
          <w:rFonts w:eastAsia="黑体"/>
          <w:b/>
          <w:color w:val="000000" w:themeColor="text1"/>
          <w:kern w:val="0"/>
          <w:sz w:val="28"/>
          <w:szCs w:val="24"/>
          <w14:textFill>
            <w14:solidFill>
              <w14:schemeClr w14:val="tx1"/>
            </w14:solidFill>
          </w14:textFill>
        </w:rPr>
        <w:t>2.2.1项目基本情况</w:t>
      </w:r>
      <w:bookmarkEnd w:id="295"/>
      <w:bookmarkEnd w:id="296"/>
    </w:p>
    <w:p>
      <w:pPr>
        <w:autoSpaceDE/>
        <w:autoSpaceDN/>
        <w:spacing w:line="360" w:lineRule="auto"/>
        <w:ind w:firstLine="482" w:firstLineChars="200"/>
        <w:jc w:val="both"/>
        <w:rPr>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项目名称：</w:t>
      </w:r>
      <w:r>
        <w:rPr>
          <w:rFonts w:hint="eastAsia"/>
          <w:color w:val="000000" w:themeColor="text1"/>
          <w:kern w:val="0"/>
          <w:sz w:val="24"/>
          <w:szCs w:val="24"/>
          <w14:textFill>
            <w14:solidFill>
              <w14:schemeClr w14:val="tx1"/>
            </w14:solidFill>
          </w14:textFill>
        </w:rPr>
        <w:t>成都市环城生态区农田综合整治及农业灌区设施建设项目灌区水利设施建设（二标段）一期</w:t>
      </w:r>
    </w:p>
    <w:p>
      <w:pPr>
        <w:autoSpaceDE/>
        <w:autoSpaceDN/>
        <w:spacing w:line="360" w:lineRule="auto"/>
        <w:ind w:firstLine="482" w:firstLineChars="200"/>
        <w:jc w:val="both"/>
        <w:rPr>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建设单位：</w:t>
      </w:r>
      <w:r>
        <w:rPr>
          <w:rFonts w:hint="eastAsia"/>
          <w:color w:val="000000" w:themeColor="text1"/>
          <w:kern w:val="0"/>
          <w:sz w:val="24"/>
          <w:szCs w:val="24"/>
          <w14:textFill>
            <w14:solidFill>
              <w14:schemeClr w14:val="tx1"/>
            </w14:solidFill>
          </w14:textFill>
        </w:rPr>
        <w:t>成都天府绿道建设投资集团有限公司</w:t>
      </w:r>
    </w:p>
    <w:p>
      <w:pPr>
        <w:autoSpaceDE/>
        <w:autoSpaceDN/>
        <w:spacing w:line="360" w:lineRule="auto"/>
        <w:ind w:firstLine="482" w:firstLineChars="200"/>
        <w:jc w:val="both"/>
        <w:rPr>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建设性质：</w:t>
      </w:r>
      <w:r>
        <w:rPr>
          <w:rFonts w:hint="eastAsia"/>
          <w:color w:val="000000" w:themeColor="text1"/>
          <w:kern w:val="0"/>
          <w:sz w:val="24"/>
          <w:szCs w:val="24"/>
          <w14:textFill>
            <w14:solidFill>
              <w14:schemeClr w14:val="tx1"/>
            </w14:solidFill>
          </w14:textFill>
        </w:rPr>
        <w:t>改建</w:t>
      </w:r>
    </w:p>
    <w:p>
      <w:pPr>
        <w:autoSpaceDE/>
        <w:autoSpaceDN/>
        <w:spacing w:line="360" w:lineRule="auto"/>
        <w:ind w:firstLine="482" w:firstLineChars="200"/>
        <w:jc w:val="both"/>
        <w:rPr>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建设地址：</w:t>
      </w:r>
      <w:r>
        <w:rPr>
          <w:rFonts w:hint="eastAsia"/>
          <w:color w:val="000000" w:themeColor="text1"/>
          <w:kern w:val="0"/>
          <w:sz w:val="24"/>
          <w:szCs w:val="24"/>
          <w14:textFill>
            <w14:solidFill>
              <w14:schemeClr w14:val="tx1"/>
            </w14:solidFill>
          </w14:textFill>
        </w:rPr>
        <w:t>四川省成都市新都区、龙泉驿区</w:t>
      </w:r>
    </w:p>
    <w:p>
      <w:pPr>
        <w:autoSpaceDE/>
        <w:autoSpaceDN/>
        <w:adjustRightInd w:val="0"/>
        <w:snapToGrid w:val="0"/>
        <w:spacing w:line="360" w:lineRule="auto"/>
        <w:ind w:firstLine="482" w:firstLineChars="200"/>
        <w:jc w:val="both"/>
        <w:rPr>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项目投资：</w:t>
      </w:r>
      <w:r>
        <w:rPr>
          <w:rFonts w:hint="eastAsia"/>
          <w:color w:val="000000" w:themeColor="text1"/>
          <w:kern w:val="0"/>
          <w:sz w:val="24"/>
          <w:szCs w:val="24"/>
          <w14:textFill>
            <w14:solidFill>
              <w14:schemeClr w14:val="tx1"/>
            </w14:solidFill>
          </w14:textFill>
        </w:rPr>
        <w:t>工程总投资为4460.56万元，静态总投资4416.05万元，建设期利息44.51万。</w:t>
      </w:r>
      <w:r>
        <w:rPr>
          <w:color w:val="000000" w:themeColor="text1"/>
          <w:kern w:val="0"/>
          <w:sz w:val="24"/>
          <w:szCs w:val="24"/>
          <w14:textFill>
            <w14:solidFill>
              <w14:schemeClr w14:val="tx1"/>
            </w14:solidFill>
          </w14:textFill>
        </w:rPr>
        <w:t>资金</w:t>
      </w:r>
      <w:r>
        <w:rPr>
          <w:rFonts w:hint="eastAsia"/>
          <w:color w:val="000000" w:themeColor="text1"/>
          <w:kern w:val="0"/>
          <w:sz w:val="24"/>
          <w:szCs w:val="24"/>
          <w14:textFill>
            <w14:solidFill>
              <w14:schemeClr w14:val="tx1"/>
            </w14:solidFill>
          </w14:textFill>
        </w:rPr>
        <w:t>来源为</w:t>
      </w:r>
      <w:r>
        <w:rPr>
          <w:color w:val="000000" w:themeColor="text1"/>
          <w:kern w:val="0"/>
          <w:sz w:val="24"/>
          <w:szCs w:val="24"/>
          <w14:textFill>
            <w14:solidFill>
              <w14:schemeClr w14:val="tx1"/>
            </w14:solidFill>
          </w14:textFill>
        </w:rPr>
        <w:t>企业自</w:t>
      </w:r>
      <w:r>
        <w:rPr>
          <w:rFonts w:hint="eastAsia"/>
          <w:color w:val="000000" w:themeColor="text1"/>
          <w:kern w:val="0"/>
          <w:sz w:val="24"/>
          <w:szCs w:val="24"/>
          <w14:textFill>
            <w14:solidFill>
              <w14:schemeClr w14:val="tx1"/>
            </w14:solidFill>
          </w14:textFill>
        </w:rPr>
        <w:t>筹。</w:t>
      </w:r>
    </w:p>
    <w:p>
      <w:pPr>
        <w:autoSpaceDE/>
        <w:autoSpaceDN/>
        <w:spacing w:line="360" w:lineRule="auto"/>
        <w:ind w:firstLine="482" w:firstLineChars="200"/>
        <w:jc w:val="both"/>
        <w:rPr>
          <w:b/>
          <w:color w:val="000000" w:themeColor="text1"/>
          <w:kern w:val="0"/>
          <w:sz w:val="24"/>
          <w:szCs w:val="24"/>
          <w:highlight w:val="darkCyan"/>
          <w14:textFill>
            <w14:solidFill>
              <w14:schemeClr w14:val="tx1"/>
            </w14:solidFill>
          </w14:textFill>
        </w:rPr>
      </w:pPr>
      <w:r>
        <w:rPr>
          <w:b/>
          <w:color w:val="000000" w:themeColor="text1"/>
          <w:kern w:val="0"/>
          <w:sz w:val="24"/>
          <w:szCs w:val="24"/>
          <w14:textFill>
            <w14:solidFill>
              <w14:schemeClr w14:val="tx1"/>
            </w14:solidFill>
          </w14:textFill>
        </w:rPr>
        <w:t>占地面积：</w:t>
      </w:r>
      <w:r>
        <w:rPr>
          <w:rFonts w:hint="eastAsia"/>
          <w:color w:val="000000" w:themeColor="text1"/>
          <w:kern w:val="0"/>
          <w:sz w:val="24"/>
          <w:szCs w:val="24"/>
          <w14:textFill>
            <w14:solidFill>
              <w14:schemeClr w14:val="tx1"/>
            </w14:solidFill>
          </w14:textFill>
        </w:rPr>
        <w:t>总占地</w:t>
      </w:r>
      <w:r>
        <w:rPr>
          <w:rFonts w:hint="eastAsia"/>
          <w:color w:val="000000" w:themeColor="text1"/>
          <w:kern w:val="0"/>
          <w:sz w:val="24"/>
          <w:szCs w:val="24"/>
          <w:lang w:val="en-US" w:eastAsia="zh-CN"/>
          <w14:textFill>
            <w14:solidFill>
              <w14:schemeClr w14:val="tx1"/>
            </w14:solidFill>
          </w14:textFill>
        </w:rPr>
        <w:t>8.9</w:t>
      </w:r>
      <w:r>
        <w:rPr>
          <w:rFonts w:hint="eastAsia"/>
          <w:color w:val="000000" w:themeColor="text1"/>
          <w:kern w:val="0"/>
          <w:sz w:val="24"/>
          <w:szCs w:val="24"/>
          <w:lang w:eastAsia="zh-CN"/>
          <w14:textFill>
            <w14:solidFill>
              <w14:schemeClr w14:val="tx1"/>
            </w14:solidFill>
          </w14:textFill>
        </w:rPr>
        <w:t>1</w:t>
      </w:r>
      <w:r>
        <w:rPr>
          <w:rFonts w:hint="eastAsia"/>
          <w:color w:val="000000" w:themeColor="text1"/>
          <w:kern w:val="0"/>
          <w:sz w:val="24"/>
          <w:szCs w:val="24"/>
          <w14:textFill>
            <w14:solidFill>
              <w14:schemeClr w14:val="tx1"/>
            </w14:solidFill>
          </w14:textFill>
        </w:rPr>
        <w:t>h</w:t>
      </w:r>
      <w:r>
        <w:rPr>
          <w:color w:val="000000" w:themeColor="text1"/>
          <w:kern w:val="0"/>
          <w:sz w:val="24"/>
          <w:szCs w:val="24"/>
          <w14:textFill>
            <w14:solidFill>
              <w14:schemeClr w14:val="tx1"/>
            </w14:solidFill>
          </w14:textFill>
        </w:rPr>
        <w:t>m</w:t>
      </w:r>
      <w:r>
        <w:rPr>
          <w:color w:val="000000" w:themeColor="text1"/>
          <w:kern w:val="0"/>
          <w:sz w:val="24"/>
          <w:szCs w:val="24"/>
          <w:vertAlign w:val="superscript"/>
          <w14:textFill>
            <w14:solidFill>
              <w14:schemeClr w14:val="tx1"/>
            </w14:solidFill>
          </w14:textFill>
        </w:rPr>
        <w:t>2</w:t>
      </w:r>
      <w:r>
        <w:rPr>
          <w:rFonts w:hint="eastAsia"/>
          <w:color w:val="000000" w:themeColor="text1"/>
          <w:kern w:val="0"/>
          <w:sz w:val="24"/>
          <w:szCs w:val="24"/>
          <w14:textFill>
            <w14:solidFill>
              <w14:schemeClr w14:val="tx1"/>
            </w14:solidFill>
          </w14:textFill>
        </w:rPr>
        <w:t>。其中永久占地</w:t>
      </w:r>
      <w:r>
        <w:rPr>
          <w:rFonts w:hint="eastAsia"/>
          <w:color w:val="000000" w:themeColor="text1"/>
          <w:kern w:val="0"/>
          <w:sz w:val="24"/>
          <w:szCs w:val="24"/>
          <w:lang w:val="en-US" w:eastAsia="zh-CN"/>
          <w14:textFill>
            <w14:solidFill>
              <w14:schemeClr w14:val="tx1"/>
            </w14:solidFill>
          </w14:textFill>
        </w:rPr>
        <w:t>5.66</w:t>
      </w:r>
      <w:r>
        <w:rPr>
          <w:rFonts w:hint="eastAsia"/>
          <w:color w:val="000000" w:themeColor="text1"/>
          <w:kern w:val="0"/>
          <w:sz w:val="24"/>
          <w:szCs w:val="24"/>
          <w14:textFill>
            <w14:solidFill>
              <w14:schemeClr w14:val="tx1"/>
            </w14:solidFill>
          </w14:textFill>
        </w:rPr>
        <w:t>h</w:t>
      </w:r>
      <w:r>
        <w:rPr>
          <w:color w:val="000000" w:themeColor="text1"/>
          <w:kern w:val="0"/>
          <w:sz w:val="24"/>
          <w:szCs w:val="24"/>
          <w14:textFill>
            <w14:solidFill>
              <w14:schemeClr w14:val="tx1"/>
            </w14:solidFill>
          </w14:textFill>
        </w:rPr>
        <w:t>m</w:t>
      </w:r>
      <w:r>
        <w:rPr>
          <w:color w:val="000000" w:themeColor="text1"/>
          <w:kern w:val="0"/>
          <w:sz w:val="24"/>
          <w:szCs w:val="24"/>
          <w:vertAlign w:val="superscript"/>
          <w14:textFill>
            <w14:solidFill>
              <w14:schemeClr w14:val="tx1"/>
            </w14:solidFill>
          </w14:textFill>
        </w:rPr>
        <w:t>2</w:t>
      </w: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临时占地</w:t>
      </w:r>
      <w:r>
        <w:rPr>
          <w:rFonts w:hint="eastAsia"/>
          <w:color w:val="000000" w:themeColor="text1"/>
          <w:kern w:val="0"/>
          <w:sz w:val="24"/>
          <w:szCs w:val="24"/>
          <w:lang w:val="en-US" w:eastAsia="zh-CN"/>
          <w14:textFill>
            <w14:solidFill>
              <w14:schemeClr w14:val="tx1"/>
            </w14:solidFill>
          </w14:textFill>
        </w:rPr>
        <w:t>3.25</w:t>
      </w:r>
      <w:r>
        <w:rPr>
          <w:rFonts w:hint="eastAsia"/>
          <w:color w:val="000000" w:themeColor="text1"/>
          <w:kern w:val="0"/>
          <w:sz w:val="24"/>
          <w:szCs w:val="24"/>
          <w14:textFill>
            <w14:solidFill>
              <w14:schemeClr w14:val="tx1"/>
            </w14:solidFill>
          </w14:textFill>
        </w:rPr>
        <w:t>h</w:t>
      </w:r>
      <w:r>
        <w:rPr>
          <w:color w:val="000000" w:themeColor="text1"/>
          <w:kern w:val="0"/>
          <w:sz w:val="24"/>
          <w:szCs w:val="24"/>
          <w14:textFill>
            <w14:solidFill>
              <w14:schemeClr w14:val="tx1"/>
            </w14:solidFill>
          </w14:textFill>
        </w:rPr>
        <w:t>m</w:t>
      </w:r>
      <w:r>
        <w:rPr>
          <w:color w:val="000000" w:themeColor="text1"/>
          <w:kern w:val="0"/>
          <w:sz w:val="24"/>
          <w:szCs w:val="24"/>
          <w:vertAlign w:val="superscript"/>
          <w14:textFill>
            <w14:solidFill>
              <w14:schemeClr w14:val="tx1"/>
            </w14:solidFill>
          </w14:textFill>
        </w:rPr>
        <w:t>2</w:t>
      </w:r>
    </w:p>
    <w:p>
      <w:pPr>
        <w:autoSpaceDE/>
        <w:autoSpaceDN/>
        <w:spacing w:line="360" w:lineRule="auto"/>
        <w:ind w:firstLine="482" w:firstLineChars="200"/>
        <w:jc w:val="both"/>
        <w:rPr>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建设内容</w:t>
      </w:r>
      <w:r>
        <w:rPr>
          <w:b/>
          <w:color w:val="000000" w:themeColor="text1"/>
          <w:kern w:val="0"/>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对</w:t>
      </w:r>
      <w:r>
        <w:rPr>
          <w:rFonts w:hint="eastAsia"/>
          <w:color w:val="000000" w:themeColor="text1"/>
          <w:kern w:val="0"/>
          <w:sz w:val="24"/>
          <w:szCs w:val="24"/>
          <w14:textFill>
            <w14:solidFill>
              <w14:schemeClr w14:val="tx1"/>
            </w14:solidFill>
          </w14:textFill>
        </w:rPr>
        <w:t>南五支渠、南六支渠、北支一渠（上）、董家堰补水渠（上）、董家堰补水渠（下）5条渠道进行清淤、衬砌等综合治理措施，整治长度共</w:t>
      </w:r>
      <w:r>
        <w:rPr>
          <w:rFonts w:hint="eastAsia"/>
          <w:color w:val="000000" w:themeColor="text1"/>
          <w:kern w:val="0"/>
          <w:sz w:val="24"/>
          <w:szCs w:val="24"/>
          <w:lang w:eastAsia="zh-CN"/>
          <w14:textFill>
            <w14:solidFill>
              <w14:schemeClr w14:val="tx1"/>
            </w14:solidFill>
          </w14:textFill>
        </w:rPr>
        <w:t>6732m</w:t>
      </w:r>
      <w:r>
        <w:rPr>
          <w:rFonts w:hint="eastAsia"/>
          <w:color w:val="000000" w:themeColor="text1"/>
          <w:kern w:val="0"/>
          <w:sz w:val="24"/>
          <w:szCs w:val="24"/>
          <w14:textFill>
            <w14:solidFill>
              <w14:schemeClr w14:val="tx1"/>
            </w14:solidFill>
          </w14:textFill>
        </w:rPr>
        <w:t>；其中整治灌排渠道4条，长</w:t>
      </w:r>
      <w:r>
        <w:rPr>
          <w:rFonts w:hint="eastAsia"/>
          <w:color w:val="000000" w:themeColor="text1"/>
          <w:kern w:val="0"/>
          <w:sz w:val="24"/>
          <w:szCs w:val="24"/>
          <w:lang w:eastAsia="zh-CN"/>
          <w14:textFill>
            <w14:solidFill>
              <w14:schemeClr w14:val="tx1"/>
            </w14:solidFill>
          </w14:textFill>
        </w:rPr>
        <w:t>4471m</w:t>
      </w:r>
      <w:r>
        <w:rPr>
          <w:rFonts w:hint="eastAsia"/>
          <w:color w:val="000000" w:themeColor="text1"/>
          <w:kern w:val="0"/>
          <w:sz w:val="24"/>
          <w:szCs w:val="24"/>
          <w14:textFill>
            <w14:solidFill>
              <w14:schemeClr w14:val="tx1"/>
            </w14:solidFill>
          </w14:textFill>
        </w:rPr>
        <w:t>，拆除重建灌溉渠道1条，长2261m；新建节制闸和分水闸共</w:t>
      </w:r>
      <w:r>
        <w:rPr>
          <w:color w:val="000000" w:themeColor="text1"/>
          <w:kern w:val="0"/>
          <w:sz w:val="24"/>
          <w:szCs w:val="24"/>
          <w14:textFill>
            <w14:solidFill>
              <w14:schemeClr w14:val="tx1"/>
            </w14:solidFill>
          </w14:textFill>
        </w:rPr>
        <w:t>11</w:t>
      </w:r>
      <w:r>
        <w:rPr>
          <w:rFonts w:hint="eastAsia"/>
          <w:color w:val="000000" w:themeColor="text1"/>
          <w:kern w:val="0"/>
          <w:sz w:val="24"/>
          <w:szCs w:val="24"/>
          <w14:textFill>
            <w14:solidFill>
              <w14:schemeClr w14:val="tx1"/>
            </w14:solidFill>
          </w14:textFill>
        </w:rPr>
        <w:t>座，其中节制闸</w:t>
      </w:r>
      <w:r>
        <w:rPr>
          <w:color w:val="000000" w:themeColor="text1"/>
          <w:kern w:val="0"/>
          <w:sz w:val="24"/>
          <w:szCs w:val="24"/>
          <w14:textFill>
            <w14:solidFill>
              <w14:schemeClr w14:val="tx1"/>
            </w14:solidFill>
          </w14:textFill>
        </w:rPr>
        <w:t>5</w:t>
      </w:r>
      <w:r>
        <w:rPr>
          <w:rFonts w:hint="eastAsia"/>
          <w:color w:val="000000" w:themeColor="text1"/>
          <w:kern w:val="0"/>
          <w:sz w:val="24"/>
          <w:szCs w:val="24"/>
          <w14:textFill>
            <w14:solidFill>
              <w14:schemeClr w14:val="tx1"/>
            </w14:solidFill>
          </w14:textFill>
        </w:rPr>
        <w:t>座，分水闸</w:t>
      </w:r>
      <w:r>
        <w:rPr>
          <w:color w:val="000000" w:themeColor="text1"/>
          <w:kern w:val="0"/>
          <w:sz w:val="24"/>
          <w:szCs w:val="24"/>
          <w14:textFill>
            <w14:solidFill>
              <w14:schemeClr w14:val="tx1"/>
            </w14:solidFill>
          </w14:textFill>
        </w:rPr>
        <w:t>6</w:t>
      </w:r>
      <w:r>
        <w:rPr>
          <w:rFonts w:hint="eastAsia"/>
          <w:color w:val="000000" w:themeColor="text1"/>
          <w:kern w:val="0"/>
          <w:sz w:val="24"/>
          <w:szCs w:val="24"/>
          <w14:textFill>
            <w14:solidFill>
              <w14:schemeClr w14:val="tx1"/>
            </w14:solidFill>
          </w14:textFill>
        </w:rPr>
        <w:t>座；拆除重建箱涵</w:t>
      </w:r>
      <w:r>
        <w:rPr>
          <w:color w:val="000000" w:themeColor="text1"/>
          <w:kern w:val="0"/>
          <w:sz w:val="24"/>
          <w:szCs w:val="24"/>
          <w14:textFill>
            <w14:solidFill>
              <w14:schemeClr w14:val="tx1"/>
            </w14:solidFill>
          </w14:textFill>
        </w:rPr>
        <w:t>3</w:t>
      </w:r>
      <w:r>
        <w:rPr>
          <w:rFonts w:hint="eastAsia"/>
          <w:color w:val="000000" w:themeColor="text1"/>
          <w:kern w:val="0"/>
          <w:sz w:val="24"/>
          <w:szCs w:val="24"/>
          <w14:textFill>
            <w14:solidFill>
              <w14:schemeClr w14:val="tx1"/>
            </w14:solidFill>
          </w14:textFill>
        </w:rPr>
        <w:t>座；重建排水口</w:t>
      </w:r>
      <w:r>
        <w:rPr>
          <w:color w:val="000000" w:themeColor="text1"/>
          <w:kern w:val="0"/>
          <w:sz w:val="24"/>
          <w:szCs w:val="24"/>
          <w14:textFill>
            <w14:solidFill>
              <w14:schemeClr w14:val="tx1"/>
            </w14:solidFill>
          </w14:textFill>
        </w:rPr>
        <w:t>2</w:t>
      </w:r>
      <w:r>
        <w:rPr>
          <w:rFonts w:hint="eastAsia"/>
          <w:color w:val="000000" w:themeColor="text1"/>
          <w:kern w:val="0"/>
          <w:sz w:val="24"/>
          <w:szCs w:val="24"/>
          <w14:textFill>
            <w14:solidFill>
              <w14:schemeClr w14:val="tx1"/>
            </w14:solidFill>
          </w14:textFill>
        </w:rPr>
        <w:t>座。</w:t>
      </w:r>
    </w:p>
    <w:p>
      <w:pPr>
        <w:autoSpaceDE/>
        <w:autoSpaceDN/>
        <w:jc w:val="center"/>
        <w:rPr>
          <w:rFonts w:ascii="黑体" w:hAnsi="黑体" w:eastAsia="黑体" w:cs="黑体"/>
          <w:color w:val="000000" w:themeColor="text1"/>
          <w:sz w:val="7"/>
          <w:szCs w:val="7"/>
          <w14:textFill>
            <w14:solidFill>
              <w14:schemeClr w14:val="tx1"/>
            </w14:solidFill>
          </w14:textFill>
        </w:rPr>
      </w:pPr>
      <w:r>
        <w:rPr>
          <w:rFonts w:eastAsia="黑体"/>
          <w:color w:val="000000" w:themeColor="text1"/>
          <w:kern w:val="0"/>
          <w:sz w:val="24"/>
          <w:szCs w:val="24"/>
          <w14:textFill>
            <w14:solidFill>
              <w14:schemeClr w14:val="tx1"/>
            </w14:solidFill>
          </w14:textFill>
        </w:rPr>
        <w:t>2.2-1主要工程量统计表</w:t>
      </w:r>
    </w:p>
    <w:tbl>
      <w:tblPr>
        <w:tblStyle w:val="38"/>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18"/>
        <w:gridCol w:w="1211"/>
        <w:gridCol w:w="1159"/>
        <w:gridCol w:w="1048"/>
        <w:gridCol w:w="1302"/>
        <w:gridCol w:w="718"/>
        <w:gridCol w:w="747"/>
        <w:gridCol w:w="716"/>
        <w:gridCol w:w="78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72" w:type="pct"/>
            <w:vMerge w:val="restar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灌片</w:t>
            </w:r>
          </w:p>
        </w:tc>
        <w:tc>
          <w:tcPr>
            <w:tcW w:w="2842" w:type="pct"/>
            <w:gridSpan w:val="4"/>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渠道</w:t>
            </w:r>
          </w:p>
        </w:tc>
        <w:tc>
          <w:tcPr>
            <w:tcW w:w="1784" w:type="pct"/>
            <w:gridSpan w:val="4"/>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渠系建筑物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372"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14:textFill>
                  <w14:solidFill>
                    <w14:schemeClr w14:val="tx1"/>
                  </w14:solidFill>
                </w14:textFill>
              </w:rPr>
            </w:pPr>
          </w:p>
        </w:tc>
        <w:tc>
          <w:tcPr>
            <w:tcW w:w="72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名称</w:t>
            </w:r>
          </w:p>
        </w:tc>
        <w:tc>
          <w:tcPr>
            <w:tcW w:w="698"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灌排渠道长度（m）</w:t>
            </w:r>
          </w:p>
        </w:tc>
        <w:tc>
          <w:tcPr>
            <w:tcW w:w="6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渠道新建/整治</w:t>
            </w:r>
          </w:p>
        </w:tc>
        <w:tc>
          <w:tcPr>
            <w:tcW w:w="7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渠道功能</w:t>
            </w:r>
          </w:p>
        </w:tc>
        <w:tc>
          <w:tcPr>
            <w:tcW w:w="43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排水口（处）</w:t>
            </w:r>
          </w:p>
        </w:tc>
        <w:tc>
          <w:tcPr>
            <w:tcW w:w="45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箱涵（座）</w:t>
            </w:r>
          </w:p>
        </w:tc>
        <w:tc>
          <w:tcPr>
            <w:tcW w:w="4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节制闸（座）</w:t>
            </w:r>
          </w:p>
        </w:tc>
        <w:tc>
          <w:tcPr>
            <w:tcW w:w="47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分水闸（座）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jc w:val="center"/>
        </w:trPr>
        <w:tc>
          <w:tcPr>
            <w:tcW w:w="372" w:type="pct"/>
            <w:vMerge w:val="restar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东风渠北片</w:t>
            </w:r>
          </w:p>
        </w:tc>
        <w:tc>
          <w:tcPr>
            <w:tcW w:w="72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p>
        </w:tc>
        <w:tc>
          <w:tcPr>
            <w:tcW w:w="698"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235</w:t>
            </w:r>
          </w:p>
        </w:tc>
        <w:tc>
          <w:tcPr>
            <w:tcW w:w="631"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整治</w:t>
            </w:r>
          </w:p>
        </w:tc>
        <w:tc>
          <w:tcPr>
            <w:tcW w:w="782"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排涝、灌溉</w:t>
            </w:r>
          </w:p>
        </w:tc>
        <w:tc>
          <w:tcPr>
            <w:tcW w:w="43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45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4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7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jc w:val="center"/>
        </w:trPr>
        <w:tc>
          <w:tcPr>
            <w:tcW w:w="372" w:type="pct"/>
            <w:vMerge w:val="continue"/>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p>
        </w:tc>
        <w:tc>
          <w:tcPr>
            <w:tcW w:w="72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698"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34</w:t>
            </w:r>
          </w:p>
        </w:tc>
        <w:tc>
          <w:tcPr>
            <w:tcW w:w="631"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整治</w:t>
            </w:r>
          </w:p>
        </w:tc>
        <w:tc>
          <w:tcPr>
            <w:tcW w:w="782"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排涝、灌溉</w:t>
            </w:r>
          </w:p>
        </w:tc>
        <w:tc>
          <w:tcPr>
            <w:tcW w:w="43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7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jc w:val="center"/>
        </w:trPr>
        <w:tc>
          <w:tcPr>
            <w:tcW w:w="372" w:type="pct"/>
            <w:vMerge w:val="continue"/>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p>
        </w:tc>
        <w:tc>
          <w:tcPr>
            <w:tcW w:w="72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北支一渠（上）</w:t>
            </w:r>
          </w:p>
        </w:tc>
        <w:tc>
          <w:tcPr>
            <w:tcW w:w="698"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2261</w:t>
            </w:r>
          </w:p>
        </w:tc>
        <w:tc>
          <w:tcPr>
            <w:tcW w:w="631"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拆除重建</w:t>
            </w:r>
          </w:p>
        </w:tc>
        <w:tc>
          <w:tcPr>
            <w:tcW w:w="782"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灌溉</w:t>
            </w:r>
          </w:p>
        </w:tc>
        <w:tc>
          <w:tcPr>
            <w:tcW w:w="43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7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jc w:val="center"/>
        </w:trPr>
        <w:tc>
          <w:tcPr>
            <w:tcW w:w="372" w:type="pct"/>
            <w:vMerge w:val="restar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东风渠南片</w:t>
            </w:r>
          </w:p>
        </w:tc>
        <w:tc>
          <w:tcPr>
            <w:tcW w:w="72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698"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3056</w:t>
            </w:r>
          </w:p>
        </w:tc>
        <w:tc>
          <w:tcPr>
            <w:tcW w:w="631"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整治</w:t>
            </w:r>
          </w:p>
        </w:tc>
        <w:tc>
          <w:tcPr>
            <w:tcW w:w="782"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排涝、灌溉</w:t>
            </w:r>
          </w:p>
        </w:tc>
        <w:tc>
          <w:tcPr>
            <w:tcW w:w="43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45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47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firstLine="281"/>
              <w:rPr>
                <w:rFonts w:hint="default" w:ascii="黑体" w:hAnsi="黑体" w:eastAsia="黑体" w:cs="黑体"/>
                <w:color w:val="000000" w:themeColor="text1"/>
                <w14:textFill>
                  <w14:solidFill>
                    <w14:schemeClr w14:val="tx1"/>
                  </w14:solidFill>
                </w14:textFill>
              </w:rPr>
            </w:pPr>
          </w:p>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jc w:val="center"/>
        </w:trPr>
        <w:tc>
          <w:tcPr>
            <w:tcW w:w="372" w:type="pct"/>
            <w:vMerge w:val="continue"/>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p>
        </w:tc>
        <w:tc>
          <w:tcPr>
            <w:tcW w:w="72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698"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1305</w:t>
            </w:r>
          </w:p>
        </w:tc>
        <w:tc>
          <w:tcPr>
            <w:tcW w:w="631"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整治</w:t>
            </w:r>
          </w:p>
        </w:tc>
        <w:tc>
          <w:tcPr>
            <w:tcW w:w="782" w:type="pct"/>
            <w:tcBorders>
              <w:tl2br w:val="nil"/>
              <w:tr2bl w:val="nil"/>
            </w:tcBorders>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排涝、灌溉</w:t>
            </w:r>
          </w:p>
        </w:tc>
        <w:tc>
          <w:tcPr>
            <w:tcW w:w="43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7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2" w:hRule="atLeast"/>
          <w:jc w:val="center"/>
        </w:trPr>
        <w:tc>
          <w:tcPr>
            <w:tcW w:w="37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合计</w:t>
            </w:r>
          </w:p>
        </w:tc>
        <w:tc>
          <w:tcPr>
            <w:tcW w:w="72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98"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6891</w:t>
            </w:r>
          </w:p>
        </w:tc>
        <w:tc>
          <w:tcPr>
            <w:tcW w:w="6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3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45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431"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47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6</w:t>
            </w:r>
          </w:p>
        </w:tc>
      </w:tr>
    </w:tbl>
    <w:p>
      <w:pPr>
        <w:autoSpaceDE/>
        <w:autoSpaceDN/>
        <w:spacing w:line="360" w:lineRule="auto"/>
        <w:ind w:firstLine="562"/>
        <w:jc w:val="both"/>
        <w:outlineLvl w:val="2"/>
        <w:rPr>
          <w:rFonts w:eastAsia="黑体"/>
          <w:color w:val="000000" w:themeColor="text1"/>
          <w:kern w:val="0"/>
          <w:sz w:val="32"/>
          <w:szCs w:val="28"/>
          <w:highlight w:val="darkCyan"/>
          <w14:textFill>
            <w14:solidFill>
              <w14:schemeClr w14:val="tx1"/>
            </w14:solidFill>
          </w14:textFill>
        </w:rPr>
      </w:pPr>
      <w:bookmarkStart w:id="297" w:name="_Toc70496262"/>
      <w:bookmarkStart w:id="298" w:name="_Toc19319"/>
      <w:r>
        <w:rPr>
          <w:rFonts w:eastAsia="黑体"/>
          <w:b/>
          <w:color w:val="000000" w:themeColor="text1"/>
          <w:kern w:val="0"/>
          <w:sz w:val="28"/>
          <w:szCs w:val="24"/>
          <w14:textFill>
            <w14:solidFill>
              <w14:schemeClr w14:val="tx1"/>
            </w14:solidFill>
          </w14:textFill>
        </w:rPr>
        <w:t>2.2.2工程布置</w:t>
      </w:r>
      <w:bookmarkEnd w:id="297"/>
      <w:bookmarkEnd w:id="298"/>
    </w:p>
    <w:p>
      <w:pPr>
        <w:pStyle w:val="14"/>
        <w:adjustRightInd w:val="0"/>
        <w:snapToGrid w:val="0"/>
        <w:spacing w:line="360" w:lineRule="auto"/>
        <w:ind w:firstLine="496" w:firstLineChars="200"/>
        <w:jc w:val="both"/>
        <w:rPr>
          <w:color w:val="000000" w:themeColor="text1"/>
          <w14:textFill>
            <w14:solidFill>
              <w14:schemeClr w14:val="tx1"/>
            </w14:solidFill>
          </w14:textFill>
        </w:rPr>
      </w:pPr>
      <w:r>
        <w:rPr>
          <w:color w:val="000000" w:themeColor="text1"/>
          <w:spacing w:val="4"/>
          <w14:textFill>
            <w14:solidFill>
              <w14:schemeClr w14:val="tx1"/>
            </w14:solidFill>
          </w14:textFill>
        </w:rPr>
        <w:t>本工程</w:t>
      </w:r>
      <w:r>
        <w:rPr>
          <w:color w:val="000000" w:themeColor="text1"/>
          <w:spacing w:val="-2"/>
          <w14:textFill>
            <w14:solidFill>
              <w14:schemeClr w14:val="tx1"/>
            </w14:solidFill>
          </w14:textFill>
        </w:rPr>
        <w:t>包含三大工程灌片，即东风渠北片区、东风渠南片区。</w:t>
      </w:r>
      <w:r>
        <w:rPr>
          <w:rFonts w:hint="eastAsia"/>
          <w:color w:val="000000" w:themeColor="text1"/>
          <w14:textFill>
            <w14:solidFill>
              <w14:schemeClr w14:val="tx1"/>
            </w14:solidFill>
          </w14:textFill>
        </w:rPr>
        <w:t>南五支渠和南六支渠位于龙泉驿区，属于东风渠南片区，北支一渠、董家堰补水渠（上）、董家堰补水渠（下）位于新都区，属于东风渠北片区。</w:t>
      </w:r>
      <w:r>
        <w:rPr>
          <w:color w:val="000000" w:themeColor="text1"/>
          <w:spacing w:val="-2"/>
          <w14:textFill>
            <w14:solidFill>
              <w14:schemeClr w14:val="tx1"/>
            </w14:solidFill>
          </w14:textFill>
        </w:rPr>
        <w:t>本期主要建</w:t>
      </w:r>
      <w:r>
        <w:rPr>
          <w:color w:val="000000" w:themeColor="text1"/>
          <w14:textFill>
            <w14:solidFill>
              <w14:schemeClr w14:val="tx1"/>
            </w14:solidFill>
          </w14:textFill>
        </w:rPr>
        <w:t>设内容如下：</w:t>
      </w:r>
    </w:p>
    <w:p>
      <w:pPr>
        <w:pStyle w:val="14"/>
        <w:adjustRightInd w:val="0"/>
        <w:snapToGrid w:val="0"/>
        <w:spacing w:line="360" w:lineRule="auto"/>
        <w:ind w:firstLine="472" w:firstLineChars="200"/>
        <w:jc w:val="both"/>
        <w:rPr>
          <w:color w:val="000000" w:themeColor="text1"/>
          <w14:textFill>
            <w14:solidFill>
              <w14:schemeClr w14:val="tx1"/>
            </w14:solidFill>
          </w14:textFill>
        </w:rPr>
      </w:pPr>
      <w:r>
        <w:rPr>
          <w:color w:val="000000" w:themeColor="text1"/>
          <w:spacing w:val="-2"/>
          <w14:textFill>
            <w14:solidFill>
              <w14:schemeClr w14:val="tx1"/>
            </w14:solidFill>
          </w14:textFill>
        </w:rPr>
        <w:t>对项目区内董家堰补水渠（上）、董家堰补水渠（下）、北支一渠（上）、南五支</w:t>
      </w:r>
      <w:r>
        <w:rPr>
          <w:color w:val="000000" w:themeColor="text1"/>
          <w:spacing w:val="-3"/>
          <w14:textFill>
            <w14:solidFill>
              <w14:schemeClr w14:val="tx1"/>
            </w14:solidFill>
          </w14:textFill>
        </w:rPr>
        <w:t>渠、南六支渠</w:t>
      </w:r>
      <w:r>
        <w:rPr>
          <w:rFonts w:eastAsia="Times New Roman"/>
          <w:color w:val="000000" w:themeColor="text1"/>
          <w14:textFill>
            <w14:solidFill>
              <w14:schemeClr w14:val="tx1"/>
            </w14:solidFill>
          </w14:textFill>
        </w:rPr>
        <w:t>5</w:t>
      </w:r>
      <w:r>
        <w:rPr>
          <w:color w:val="000000" w:themeColor="text1"/>
          <w14:textFill>
            <w14:solidFill>
              <w14:schemeClr w14:val="tx1"/>
            </w14:solidFill>
          </w14:textFill>
        </w:rPr>
        <w:t>条河道进行治理，治理河段满足河道排涝和灌溉标准要求，总治理长度</w:t>
      </w:r>
      <w:r>
        <w:rPr>
          <w:rFonts w:hint="eastAsia" w:eastAsia="宋体"/>
          <w:color w:val="000000" w:themeColor="text1"/>
          <w:lang w:eastAsia="zh-CN"/>
          <w14:textFill>
            <w14:solidFill>
              <w14:schemeClr w14:val="tx1"/>
            </w14:solidFill>
          </w14:textFill>
        </w:rPr>
        <w:t>6732m</w:t>
      </w:r>
      <w:r>
        <w:rPr>
          <w:color w:val="000000" w:themeColor="text1"/>
          <w14:textFill>
            <w14:solidFill>
              <w14:schemeClr w14:val="tx1"/>
            </w14:solidFill>
          </w14:textFill>
        </w:rPr>
        <w:t>；对影响排涝的涵管进行拆除重建，为了抬高水位便于灌溉，新建节制闸和分水闸共</w:t>
      </w:r>
      <w:r>
        <w:rPr>
          <w:rFonts w:eastAsia="Times New Roman"/>
          <w:color w:val="000000" w:themeColor="text1"/>
          <w:spacing w:val="-5"/>
          <w14:textFill>
            <w14:solidFill>
              <w14:schemeClr w14:val="tx1"/>
            </w14:solidFill>
          </w14:textFill>
        </w:rPr>
        <w:t>11</w:t>
      </w:r>
      <w:r>
        <w:rPr>
          <w:color w:val="000000" w:themeColor="text1"/>
          <w14:textFill>
            <w14:solidFill>
              <w14:schemeClr w14:val="tx1"/>
            </w14:solidFill>
          </w14:textFill>
        </w:rPr>
        <w:t>座，其中节制闸</w:t>
      </w:r>
      <w:r>
        <w:rPr>
          <w:rFonts w:eastAsia="Times New Roman"/>
          <w:color w:val="000000" w:themeColor="text1"/>
          <w14:textFill>
            <w14:solidFill>
              <w14:schemeClr w14:val="tx1"/>
            </w14:solidFill>
          </w14:textFill>
        </w:rPr>
        <w:t>5</w:t>
      </w:r>
      <w:r>
        <w:rPr>
          <w:color w:val="000000" w:themeColor="text1"/>
          <w14:textFill>
            <w14:solidFill>
              <w14:schemeClr w14:val="tx1"/>
            </w14:solidFill>
          </w14:textFill>
        </w:rPr>
        <w:t>座，分水闸</w:t>
      </w:r>
      <w:r>
        <w:rPr>
          <w:rFonts w:eastAsia="Times New Roman"/>
          <w:color w:val="000000" w:themeColor="text1"/>
          <w14:textFill>
            <w14:solidFill>
              <w14:schemeClr w14:val="tx1"/>
            </w14:solidFill>
          </w14:textFill>
        </w:rPr>
        <w:t>6</w:t>
      </w:r>
      <w:r>
        <w:rPr>
          <w:color w:val="000000" w:themeColor="text1"/>
          <w14:textFill>
            <w14:solidFill>
              <w14:schemeClr w14:val="tx1"/>
            </w14:solidFill>
          </w14:textFill>
        </w:rPr>
        <w:t>座；拆除重建箱涵</w:t>
      </w:r>
      <w:r>
        <w:rPr>
          <w:rFonts w:eastAsia="Times New Roman"/>
          <w:color w:val="000000" w:themeColor="text1"/>
          <w14:textFill>
            <w14:solidFill>
              <w14:schemeClr w14:val="tx1"/>
            </w14:solidFill>
          </w14:textFill>
        </w:rPr>
        <w:t>3</w:t>
      </w:r>
      <w:r>
        <w:rPr>
          <w:color w:val="000000" w:themeColor="text1"/>
          <w14:textFill>
            <w14:solidFill>
              <w14:schemeClr w14:val="tx1"/>
            </w14:solidFill>
          </w14:textFill>
        </w:rPr>
        <w:t>座；重建排水口</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座。</w:t>
      </w:r>
    </w:p>
    <w:p>
      <w:pPr>
        <w:pStyle w:val="14"/>
        <w:adjustRightInd w:val="0"/>
        <w:snapToGrid w:val="0"/>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本工程主要</w:t>
      </w:r>
      <w:r>
        <w:rPr>
          <w:rFonts w:hint="eastAsia"/>
          <w:color w:val="000000" w:themeColor="text1"/>
          <w14:textFill>
            <w14:solidFill>
              <w14:schemeClr w14:val="tx1"/>
            </w14:solidFill>
          </w14:textFill>
        </w:rPr>
        <w:t>布置如下：</w:t>
      </w:r>
    </w:p>
    <w:p>
      <w:pPr>
        <w:autoSpaceDE/>
        <w:autoSpaceDN/>
        <w:jc w:val="center"/>
        <w:rPr>
          <w:rFonts w:eastAsia="黑体"/>
          <w:color w:val="000000" w:themeColor="text1"/>
          <w:kern w:val="0"/>
          <w:sz w:val="24"/>
          <w:szCs w:val="24"/>
          <w14:textFill>
            <w14:solidFill>
              <w14:schemeClr w14:val="tx1"/>
            </w14:solidFill>
          </w14:textFill>
        </w:rPr>
      </w:pPr>
      <w:r>
        <w:rPr>
          <w:rFonts w:eastAsia="黑体"/>
          <w:color w:val="000000" w:themeColor="text1"/>
          <w:kern w:val="0"/>
          <w:sz w:val="24"/>
          <w:szCs w:val="24"/>
          <w14:textFill>
            <w14:solidFill>
              <w14:schemeClr w14:val="tx1"/>
            </w14:solidFill>
          </w14:textFill>
        </w:rPr>
        <w:t>表</w:t>
      </w:r>
      <w:r>
        <w:rPr>
          <w:rFonts w:hint="eastAsia" w:eastAsia="黑体"/>
          <w:color w:val="000000" w:themeColor="text1"/>
          <w:kern w:val="0"/>
          <w:sz w:val="24"/>
          <w:szCs w:val="24"/>
          <w14:textFill>
            <w14:solidFill>
              <w14:schemeClr w14:val="tx1"/>
            </w14:solidFill>
          </w14:textFill>
        </w:rPr>
        <w:t>2.2</w:t>
      </w:r>
      <w:r>
        <w:rPr>
          <w:rFonts w:eastAsia="黑体"/>
          <w:color w:val="000000" w:themeColor="text1"/>
          <w:kern w:val="0"/>
          <w:sz w:val="24"/>
          <w:szCs w:val="24"/>
          <w14:textFill>
            <w14:solidFill>
              <w14:schemeClr w14:val="tx1"/>
            </w14:solidFill>
          </w14:textFill>
        </w:rPr>
        <w:t>-</w:t>
      </w:r>
      <w:r>
        <w:rPr>
          <w:rFonts w:hint="eastAsia" w:eastAsia="黑体"/>
          <w:color w:val="000000" w:themeColor="text1"/>
          <w:kern w:val="0"/>
          <w:sz w:val="24"/>
          <w:szCs w:val="24"/>
          <w14:textFill>
            <w14:solidFill>
              <w14:schemeClr w14:val="tx1"/>
            </w14:solidFill>
          </w14:textFill>
        </w:rPr>
        <w:t>2</w:t>
      </w:r>
      <w:r>
        <w:rPr>
          <w:rFonts w:eastAsia="黑体"/>
          <w:color w:val="000000" w:themeColor="text1"/>
          <w:kern w:val="0"/>
          <w:sz w:val="24"/>
          <w:szCs w:val="24"/>
          <w14:textFill>
            <w14:solidFill>
              <w14:schemeClr w14:val="tx1"/>
            </w14:solidFill>
          </w14:textFill>
        </w:rPr>
        <w:t>主要</w:t>
      </w:r>
      <w:r>
        <w:rPr>
          <w:rFonts w:hint="eastAsia" w:eastAsia="黑体"/>
          <w:color w:val="000000" w:themeColor="text1"/>
          <w:kern w:val="0"/>
          <w:sz w:val="24"/>
          <w:szCs w:val="24"/>
          <w14:textFill>
            <w14:solidFill>
              <w14:schemeClr w14:val="tx1"/>
            </w14:solidFill>
          </w14:textFill>
        </w:rPr>
        <w:t>布置</w:t>
      </w:r>
      <w:r>
        <w:rPr>
          <w:rFonts w:eastAsia="黑体"/>
          <w:color w:val="000000" w:themeColor="text1"/>
          <w:kern w:val="0"/>
          <w:sz w:val="24"/>
          <w:szCs w:val="24"/>
          <w14:textFill>
            <w14:solidFill>
              <w14:schemeClr w14:val="tx1"/>
            </w14:solidFill>
          </w14:textFill>
        </w:rPr>
        <w:t>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900"/>
        <w:gridCol w:w="855"/>
        <w:gridCol w:w="1275"/>
        <w:gridCol w:w="1979"/>
        <w:gridCol w:w="21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5" w:type="pct"/>
            <w:vMerge w:val="restart"/>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整治渠道名称</w:t>
            </w:r>
          </w:p>
        </w:tc>
        <w:tc>
          <w:tcPr>
            <w:tcW w:w="538" w:type="pct"/>
            <w:vMerge w:val="restart"/>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整治长度(m)</w:t>
            </w:r>
          </w:p>
        </w:tc>
        <w:tc>
          <w:tcPr>
            <w:tcW w:w="1274" w:type="pct"/>
            <w:gridSpan w:val="2"/>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桩号</w:t>
            </w:r>
          </w:p>
        </w:tc>
        <w:tc>
          <w:tcPr>
            <w:tcW w:w="2481" w:type="pct"/>
            <w:gridSpan w:val="2"/>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经纬度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705" w:type="pct"/>
            <w:vMerge w:val="continue"/>
            <w:tcMar>
              <w:left w:w="28" w:type="dxa"/>
              <w:right w:w="28" w:type="dxa"/>
            </w:tcMar>
            <w:vAlign w:val="center"/>
          </w:tcPr>
          <w:p>
            <w:pPr>
              <w:keepNext w:val="0"/>
              <w:keepLines w:val="0"/>
              <w:suppressLineNumbers w:val="0"/>
              <w:spacing w:before="0" w:beforeAutospacing="0" w:after="0" w:afterAutospacing="0"/>
              <w:ind w:left="0" w:right="0" w:firstLine="480"/>
              <w:jc w:val="center"/>
              <w:rPr>
                <w:rFonts w:hint="default"/>
                <w:b/>
                <w:bCs/>
                <w:color w:val="000000" w:themeColor="text1"/>
                <w14:textFill>
                  <w14:solidFill>
                    <w14:schemeClr w14:val="tx1"/>
                  </w14:solidFill>
                </w14:textFill>
              </w:rPr>
            </w:pPr>
          </w:p>
        </w:tc>
        <w:tc>
          <w:tcPr>
            <w:tcW w:w="538" w:type="pct"/>
            <w:vMerge w:val="continue"/>
            <w:tcMar>
              <w:left w:w="28" w:type="dxa"/>
              <w:right w:w="28" w:type="dxa"/>
            </w:tcMar>
            <w:vAlign w:val="center"/>
          </w:tcPr>
          <w:p>
            <w:pPr>
              <w:keepNext w:val="0"/>
              <w:keepLines w:val="0"/>
              <w:suppressLineNumbers w:val="0"/>
              <w:spacing w:before="0" w:beforeAutospacing="0" w:after="0" w:afterAutospacing="0"/>
              <w:ind w:left="0" w:right="0" w:firstLine="480"/>
              <w:jc w:val="center"/>
              <w:rPr>
                <w:rFonts w:hint="default"/>
                <w:b/>
                <w:bCs/>
                <w:color w:val="000000" w:themeColor="text1"/>
                <w14:textFill>
                  <w14:solidFill>
                    <w14:schemeClr w14:val="tx1"/>
                  </w14:solidFill>
                </w14:textFill>
              </w:rPr>
            </w:pPr>
          </w:p>
        </w:tc>
        <w:tc>
          <w:tcPr>
            <w:tcW w:w="511"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起点</w:t>
            </w:r>
          </w:p>
        </w:tc>
        <w:tc>
          <w:tcPr>
            <w:tcW w:w="762"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终点</w:t>
            </w:r>
          </w:p>
        </w:tc>
        <w:tc>
          <w:tcPr>
            <w:tcW w:w="1184"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起点</w:t>
            </w:r>
          </w:p>
        </w:tc>
        <w:tc>
          <w:tcPr>
            <w:tcW w:w="1297"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终点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705"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董家堰补水渠（上）</w:t>
            </w:r>
          </w:p>
        </w:tc>
        <w:tc>
          <w:tcPr>
            <w:tcW w:w="538"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235</w:t>
            </w:r>
          </w:p>
        </w:tc>
        <w:tc>
          <w:tcPr>
            <w:tcW w:w="511"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K0+000</w:t>
            </w:r>
          </w:p>
        </w:tc>
        <w:tc>
          <w:tcPr>
            <w:tcW w:w="762"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K0+235</w:t>
            </w:r>
          </w:p>
        </w:tc>
        <w:tc>
          <w:tcPr>
            <w:tcW w:w="1184"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104.1812951，</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30.7334730</w:t>
            </w:r>
          </w:p>
        </w:tc>
        <w:tc>
          <w:tcPr>
            <w:tcW w:w="1297"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104.1833067，</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30.7346558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705"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董家堰补水渠（下）</w:t>
            </w:r>
          </w:p>
        </w:tc>
        <w:tc>
          <w:tcPr>
            <w:tcW w:w="538"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34</w:t>
            </w:r>
          </w:p>
        </w:tc>
        <w:tc>
          <w:tcPr>
            <w:tcW w:w="511"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K0+000</w:t>
            </w:r>
          </w:p>
        </w:tc>
        <w:tc>
          <w:tcPr>
            <w:tcW w:w="762"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K0+034</w:t>
            </w:r>
          </w:p>
        </w:tc>
        <w:tc>
          <w:tcPr>
            <w:tcW w:w="1184"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104.1847001，</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30.7348020</w:t>
            </w:r>
          </w:p>
        </w:tc>
        <w:tc>
          <w:tcPr>
            <w:tcW w:w="1297"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104.1848034，</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30.7350903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705"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北支一渠（上）</w:t>
            </w:r>
          </w:p>
        </w:tc>
        <w:tc>
          <w:tcPr>
            <w:tcW w:w="538"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2261</w:t>
            </w:r>
          </w:p>
        </w:tc>
        <w:tc>
          <w:tcPr>
            <w:tcW w:w="511"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K0+000</w:t>
            </w:r>
          </w:p>
        </w:tc>
        <w:tc>
          <w:tcPr>
            <w:tcW w:w="762"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K2+261</w:t>
            </w:r>
          </w:p>
        </w:tc>
        <w:tc>
          <w:tcPr>
            <w:tcW w:w="1184"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104.1645245，</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30.7343433</w:t>
            </w:r>
          </w:p>
        </w:tc>
        <w:tc>
          <w:tcPr>
            <w:tcW w:w="1297"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104.1847859，</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30.7319374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南五支渠</w:t>
            </w:r>
          </w:p>
        </w:tc>
        <w:tc>
          <w:tcPr>
            <w:tcW w:w="538"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3056</w:t>
            </w:r>
          </w:p>
        </w:tc>
        <w:tc>
          <w:tcPr>
            <w:tcW w:w="511"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K0+000</w:t>
            </w:r>
          </w:p>
        </w:tc>
        <w:tc>
          <w:tcPr>
            <w:tcW w:w="762"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K3+056</w:t>
            </w:r>
          </w:p>
        </w:tc>
        <w:tc>
          <w:tcPr>
            <w:tcW w:w="1184"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104.1954263，</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30.6319741</w:t>
            </w:r>
          </w:p>
        </w:tc>
        <w:tc>
          <w:tcPr>
            <w:tcW w:w="1297"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104.2094913，</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30.6479333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705"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南六支渠</w:t>
            </w:r>
          </w:p>
        </w:tc>
        <w:tc>
          <w:tcPr>
            <w:tcW w:w="538"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1305</w:t>
            </w:r>
          </w:p>
        </w:tc>
        <w:tc>
          <w:tcPr>
            <w:tcW w:w="511"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K0+000</w:t>
            </w:r>
          </w:p>
        </w:tc>
        <w:tc>
          <w:tcPr>
            <w:tcW w:w="762"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K1+305</w:t>
            </w:r>
          </w:p>
        </w:tc>
        <w:tc>
          <w:tcPr>
            <w:tcW w:w="1184"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104.1970195，</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30.6265346</w:t>
            </w:r>
          </w:p>
        </w:tc>
        <w:tc>
          <w:tcPr>
            <w:tcW w:w="1297" w:type="pct"/>
            <w:tcMar>
              <w:left w:w="28" w:type="dxa"/>
              <w:right w:w="28" w:type="dxa"/>
            </w:tcMar>
            <w:vAlign w:val="center"/>
          </w:tcPr>
          <w:p>
            <w:pPr>
              <w:pStyle w:val="128"/>
              <w:keepNext w:val="0"/>
              <w:keepLines w:val="0"/>
              <w:widowControl/>
              <w:suppressLineNumbers w:val="0"/>
              <w:spacing w:before="0" w:beforeAutospacing="0" w:after="0" w:afterAutospacing="0"/>
              <w:ind w:left="0" w:right="0"/>
              <w:rPr>
                <w:rFonts w:hint="default"/>
                <w:color w:val="000000" w:themeColor="text1"/>
                <w:szCs w:val="21"/>
                <w14:textFill>
                  <w14:solidFill>
                    <w14:schemeClr w14:val="tx1"/>
                  </w14:solidFill>
                </w14:textFill>
              </w:rPr>
            </w:pPr>
            <w:r>
              <w:rPr>
                <w:rFonts w:hint="default"/>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104.2086499，</w:t>
            </w:r>
            <w:r>
              <w:rPr>
                <w:rFonts w:hint="default"/>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30.6280420</w:t>
            </w:r>
          </w:p>
        </w:tc>
      </w:tr>
    </w:tbl>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299" w:name="_Toc70496263"/>
      <w:bookmarkStart w:id="300" w:name="_Toc15462"/>
      <w:r>
        <w:rPr>
          <w:rFonts w:eastAsia="黑体"/>
          <w:b/>
          <w:color w:val="000000" w:themeColor="text1"/>
          <w:kern w:val="0"/>
          <w:sz w:val="28"/>
          <w:szCs w:val="24"/>
          <w14:textFill>
            <w14:solidFill>
              <w14:schemeClr w14:val="tx1"/>
            </w14:solidFill>
          </w14:textFill>
        </w:rPr>
        <w:t>2.2.3</w:t>
      </w:r>
      <w:r>
        <w:rPr>
          <w:rFonts w:hint="eastAsia" w:eastAsia="黑体"/>
          <w:b/>
          <w:color w:val="000000" w:themeColor="text1"/>
          <w:kern w:val="0"/>
          <w:sz w:val="28"/>
          <w:szCs w:val="24"/>
          <w14:textFill>
            <w14:solidFill>
              <w14:schemeClr w14:val="tx1"/>
            </w14:solidFill>
          </w14:textFill>
        </w:rPr>
        <w:t>灌排渠系</w:t>
      </w:r>
      <w:r>
        <w:rPr>
          <w:rFonts w:eastAsia="黑体"/>
          <w:b/>
          <w:color w:val="000000" w:themeColor="text1"/>
          <w:kern w:val="0"/>
          <w:sz w:val="28"/>
          <w:szCs w:val="24"/>
          <w14:textFill>
            <w14:solidFill>
              <w14:schemeClr w14:val="tx1"/>
            </w14:solidFill>
          </w14:textFill>
        </w:rPr>
        <w:t>现状及存在的主要问题</w:t>
      </w:r>
      <w:bookmarkEnd w:id="299"/>
      <w:bookmarkEnd w:id="300"/>
    </w:p>
    <w:p>
      <w:p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1、渠系现状</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北支一渠（上）</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北支一渠（上）自北干渠狮子包节制分水闸至成金青快速路环城生态区边界，城区内渠道长度2261m，分水闸进口渠底高程505.703m，进口设计流量5.50m</w:t>
      </w:r>
      <w:r>
        <w:rPr>
          <w:color w:val="000000" w:themeColor="text1"/>
          <w:kern w:val="0"/>
          <w:sz w:val="24"/>
          <w:szCs w:val="24"/>
          <w:vertAlign w:val="superscript"/>
          <w14:textFill>
            <w14:solidFill>
              <w14:schemeClr w14:val="tx1"/>
            </w14:solidFill>
          </w14:textFill>
        </w:rPr>
        <w:t>3</w:t>
      </w:r>
      <w:r>
        <w:rPr>
          <w:color w:val="000000" w:themeColor="text1"/>
          <w:kern w:val="0"/>
          <w:sz w:val="24"/>
          <w:szCs w:val="24"/>
          <w14:textFill>
            <w14:solidFill>
              <w14:schemeClr w14:val="tx1"/>
            </w14:solidFill>
          </w14:textFill>
        </w:rPr>
        <w:t>/s。属区管河道，为新都区主要灌溉输水支渠，项目区内北支一渠有三处分水口，分别为右分九渠、羊叉河、十号渠。1956年与北干渠同时兴建，经长期运行，年久失修，现状渠道边坡破损，渠道淤积，渠底渗漏，输水能力大大减弱。</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（2）</w:t>
      </w:r>
      <w:r>
        <w:rPr>
          <w:color w:val="000000" w:themeColor="text1"/>
          <w:kern w:val="0"/>
          <w:sz w:val="24"/>
          <w:szCs w:val="24"/>
          <w14:textFill>
            <w14:solidFill>
              <w14:schemeClr w14:val="tx1"/>
            </w14:solidFill>
          </w14:textFill>
        </w:rPr>
        <w:t>董家堰补水渠（上</w:t>
      </w:r>
      <w:r>
        <w:rPr>
          <w:rFonts w:hint="eastAsia"/>
          <w:color w:val="000000" w:themeColor="text1"/>
          <w:kern w:val="0"/>
          <w:sz w:val="24"/>
          <w:szCs w:val="24"/>
          <w14:textFill>
            <w14:solidFill>
              <w14:schemeClr w14:val="tx1"/>
            </w14:solidFill>
          </w14:textFill>
        </w:rPr>
        <w:t>、下</w:t>
      </w: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董家堰补水渠（自拟名称）位于观湖大道保利碧湖苑北支一渠分水闸引水，现状经</w:t>
      </w:r>
      <w:r>
        <w:rPr>
          <w:rFonts w:hint="eastAsia"/>
          <w:color w:val="000000" w:themeColor="text1"/>
          <w:kern w:val="0"/>
          <w:sz w:val="24"/>
          <w:szCs w:val="24"/>
          <w14:textFill>
            <w14:solidFill>
              <w14:schemeClr w14:val="tx1"/>
            </w14:solidFill>
          </w14:textFill>
        </w:rPr>
        <w:t>低洼地</w:t>
      </w:r>
      <w:r>
        <w:rPr>
          <w:color w:val="000000" w:themeColor="text1"/>
          <w:kern w:val="0"/>
          <w:sz w:val="24"/>
          <w:szCs w:val="24"/>
          <w14:textFill>
            <w14:solidFill>
              <w14:schemeClr w14:val="tx1"/>
            </w14:solidFill>
          </w14:textFill>
        </w:rPr>
        <w:t>分上下游两段。现状渠道位天然土渠，未整治。董家堰补水渠（上）段长度235m，董家堰补水渠（下）段长度332m，其中隆盛路1段下游段（298m）已治理完成。董家堰补水渠下游汇入董家堰，最终流入小西江河。</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（3）</w:t>
      </w:r>
      <w:r>
        <w:rPr>
          <w:color w:val="000000" w:themeColor="text1"/>
          <w:kern w:val="0"/>
          <w:sz w:val="24"/>
          <w:szCs w:val="24"/>
          <w14:textFill>
            <w14:solidFill>
              <w14:schemeClr w14:val="tx1"/>
            </w14:solidFill>
          </w14:textFill>
        </w:rPr>
        <w:t>南五支渠</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南支五渠：起水于龙泉驿区十陵街道南，东风渠总干渠29+637处，东过五里店，至西河镇南汇入西江河。渠长7.13km，有斗渠6条，灌溉龙泉驿区农田。河道长度3.06km，流域面积0.24km</w:t>
      </w:r>
      <w:r>
        <w:rPr>
          <w:color w:val="000000" w:themeColor="text1"/>
          <w:kern w:val="0"/>
          <w:sz w:val="24"/>
          <w:szCs w:val="24"/>
          <w:vertAlign w:val="superscript"/>
          <w14:textFill>
            <w14:solidFill>
              <w14:schemeClr w14:val="tx1"/>
            </w14:solidFill>
          </w14:textFill>
        </w:rPr>
        <w:t>2</w:t>
      </w:r>
      <w:r>
        <w:rPr>
          <w:color w:val="000000" w:themeColor="text1"/>
          <w:kern w:val="0"/>
          <w:sz w:val="24"/>
          <w:szCs w:val="24"/>
          <w14:textFill>
            <w14:solidFill>
              <w14:schemeClr w14:val="tx1"/>
            </w14:solidFill>
          </w14:textFill>
        </w:rPr>
        <w:t>，平均比降1.8‰。</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4）南支六渠：属东风渠总干渠左支，起水于龙泉驿区十陵双林盘，东风渠总干渠31+851处，东流汇入西江河。渠长1.333km，灌溉龙泉驿区。河道长度2.55km，流域面积0.23m</w:t>
      </w:r>
      <w:r>
        <w:rPr>
          <w:color w:val="000000" w:themeColor="text1"/>
          <w:kern w:val="0"/>
          <w:sz w:val="24"/>
          <w:szCs w:val="24"/>
          <w:vertAlign w:val="superscript"/>
          <w14:textFill>
            <w14:solidFill>
              <w14:schemeClr w14:val="tx1"/>
            </w14:solidFill>
          </w14:textFill>
        </w:rPr>
        <w:t>2</w:t>
      </w:r>
      <w:r>
        <w:rPr>
          <w:color w:val="000000" w:themeColor="text1"/>
          <w:kern w:val="0"/>
          <w:sz w:val="24"/>
          <w:szCs w:val="24"/>
          <w14:textFill>
            <w14:solidFill>
              <w14:schemeClr w14:val="tx1"/>
            </w14:solidFill>
          </w14:textFill>
        </w:rPr>
        <w:t>，平均比降2.1‰。</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w:t>
      </w:r>
      <w:r>
        <w:rPr>
          <w:color w:val="000000" w:themeColor="text1"/>
          <w:kern w:val="0"/>
          <w:sz w:val="24"/>
          <w:szCs w:val="24"/>
          <w14:textFill>
            <w14:solidFill>
              <w14:schemeClr w14:val="tx1"/>
            </w14:solidFill>
          </w14:textFill>
        </w:rPr>
        <w:t>工程整治渠系现状水系连通关系简图如</w:t>
      </w:r>
      <w:r>
        <w:rPr>
          <w:rFonts w:hint="eastAsia"/>
          <w:color w:val="000000" w:themeColor="text1"/>
          <w:kern w:val="0"/>
          <w:sz w:val="24"/>
          <w:szCs w:val="24"/>
          <w14:textFill>
            <w14:solidFill>
              <w14:schemeClr w14:val="tx1"/>
            </w14:solidFill>
          </w14:textFill>
        </w:rPr>
        <w:t>下</w:t>
      </w:r>
      <w:r>
        <w:rPr>
          <w:color w:val="000000" w:themeColor="text1"/>
          <w:kern w:val="0"/>
          <w:sz w:val="24"/>
          <w:szCs w:val="24"/>
          <w14:textFill>
            <w14:solidFill>
              <w14:schemeClr w14:val="tx1"/>
            </w14:solidFill>
          </w14:textFill>
        </w:rPr>
        <w:t>。</w:t>
      </w:r>
    </w:p>
    <w:p>
      <w:pPr>
        <w:spacing w:line="6432" w:lineRule="exact"/>
        <w:jc w:val="center"/>
        <w:rPr>
          <w:rFonts w:eastAsia="Times New Roman"/>
          <w:color w:val="000000" w:themeColor="text1"/>
          <w:sz w:val="20"/>
          <w:szCs w:val="20"/>
          <w14:textFill>
            <w14:solidFill>
              <w14:schemeClr w14:val="tx1"/>
            </w14:solidFill>
          </w14:textFill>
        </w:rPr>
      </w:pPr>
      <w:r>
        <w:rPr>
          <w:rFonts w:eastAsia="Times New Roman"/>
          <w:color w:val="000000" w:themeColor="text1"/>
          <w:position w:val="-128"/>
          <w:sz w:val="20"/>
          <w:szCs w:val="20"/>
          <w14:textFill>
            <w14:solidFill>
              <w14:schemeClr w14:val="tx1"/>
            </w14:solidFill>
          </w14:textFill>
        </w:rPr>
        <w:drawing>
          <wp:inline distT="0" distB="0" distL="0" distR="0">
            <wp:extent cx="4376420" cy="4084320"/>
            <wp:effectExtent l="0" t="0" r="5080" b="11430"/>
            <wp:docPr id="803"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410.png"/>
                    <pic:cNvPicPr>
                      <a:picLocks noChangeAspect="1"/>
                    </pic:cNvPicPr>
                  </pic:nvPicPr>
                  <pic:blipFill>
                    <a:blip r:embed="rId31" cstate="print"/>
                    <a:stretch>
                      <a:fillRect/>
                    </a:stretch>
                  </pic:blipFill>
                  <pic:spPr>
                    <a:xfrm>
                      <a:off x="0" y="0"/>
                      <a:ext cx="4376928" cy="4084320"/>
                    </a:xfrm>
                    <a:prstGeom prst="rect">
                      <a:avLst/>
                    </a:prstGeom>
                  </pic:spPr>
                </pic:pic>
              </a:graphicData>
            </a:graphic>
          </wp:inline>
        </w:drawing>
      </w:r>
    </w:p>
    <w:p>
      <w:pPr>
        <w:spacing w:before="4"/>
        <w:ind w:firstLine="120"/>
        <w:rPr>
          <w:rFonts w:eastAsia="Times New Roman"/>
          <w:color w:val="000000" w:themeColor="text1"/>
          <w:sz w:val="6"/>
          <w:szCs w:val="6"/>
          <w14:textFill>
            <w14:solidFill>
              <w14:schemeClr w14:val="tx1"/>
            </w14:solidFill>
          </w14:textFill>
        </w:rPr>
      </w:pPr>
    </w:p>
    <w:p>
      <w:pPr>
        <w:pStyle w:val="14"/>
        <w:ind w:right="132"/>
        <w:jc w:val="center"/>
        <w:rPr>
          <w:rFonts w:eastAsia="黑体"/>
          <w:color w:val="000000" w:themeColor="text1"/>
          <w:kern w:val="0"/>
          <w14:textFill>
            <w14:solidFill>
              <w14:schemeClr w14:val="tx1"/>
            </w14:solidFill>
          </w14:textFill>
        </w:rPr>
      </w:pPr>
      <w:r>
        <w:rPr>
          <w:rFonts w:eastAsia="黑体"/>
          <w:color w:val="000000" w:themeColor="text1"/>
          <w:kern w:val="0"/>
          <w14:textFill>
            <w14:solidFill>
              <w14:schemeClr w14:val="tx1"/>
            </w14:solidFill>
          </w14:textFill>
        </w:rPr>
        <w:t>图</w:t>
      </w:r>
      <w:r>
        <w:rPr>
          <w:rFonts w:hint="eastAsia" w:eastAsia="黑体"/>
          <w:color w:val="000000" w:themeColor="text1"/>
          <w:kern w:val="0"/>
          <w14:textFill>
            <w14:solidFill>
              <w14:schemeClr w14:val="tx1"/>
            </w14:solidFill>
          </w14:textFill>
        </w:rPr>
        <w:t>2.2-1</w:t>
      </w:r>
      <w:r>
        <w:rPr>
          <w:rFonts w:eastAsia="黑体"/>
          <w:color w:val="000000" w:themeColor="text1"/>
          <w:kern w:val="0"/>
          <w14:textFill>
            <w14:solidFill>
              <w14:schemeClr w14:val="tx1"/>
            </w14:solidFill>
          </w14:textFill>
        </w:rPr>
        <w:t>东风渠北片北支一渠、董家堰补水渠渠道水系简图</w:t>
      </w:r>
    </w:p>
    <w:p>
      <w:pPr>
        <w:spacing w:line="5404" w:lineRule="exact"/>
        <w:jc w:val="center"/>
        <w:rPr>
          <w:rFonts w:ascii="黑体" w:hAnsi="黑体" w:eastAsia="黑体" w:cs="黑体"/>
          <w:color w:val="000000" w:themeColor="text1"/>
          <w:sz w:val="20"/>
          <w:szCs w:val="20"/>
          <w14:textFill>
            <w14:solidFill>
              <w14:schemeClr w14:val="tx1"/>
            </w14:solidFill>
          </w14:textFill>
        </w:rPr>
      </w:pPr>
      <w:r>
        <w:rPr>
          <w:rFonts w:ascii="黑体" w:hAnsi="黑体" w:eastAsia="黑体" w:cs="黑体"/>
          <w:color w:val="000000" w:themeColor="text1"/>
          <w:position w:val="-107"/>
          <w:sz w:val="20"/>
          <w:szCs w:val="20"/>
          <w14:textFill>
            <w14:solidFill>
              <w14:schemeClr w14:val="tx1"/>
            </w14:solidFill>
          </w14:textFill>
        </w:rPr>
        <w:drawing>
          <wp:inline distT="0" distB="0" distL="0" distR="0">
            <wp:extent cx="4385945" cy="3431540"/>
            <wp:effectExtent l="0" t="0" r="14605" b="16510"/>
            <wp:docPr id="805"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411.png"/>
                    <pic:cNvPicPr>
                      <a:picLocks noChangeAspect="1"/>
                    </pic:cNvPicPr>
                  </pic:nvPicPr>
                  <pic:blipFill>
                    <a:blip r:embed="rId32" cstate="print"/>
                    <a:stretch>
                      <a:fillRect/>
                    </a:stretch>
                  </pic:blipFill>
                  <pic:spPr>
                    <a:xfrm>
                      <a:off x="0" y="0"/>
                      <a:ext cx="4386072" cy="3432048"/>
                    </a:xfrm>
                    <a:prstGeom prst="rect">
                      <a:avLst/>
                    </a:prstGeom>
                  </pic:spPr>
                </pic:pic>
              </a:graphicData>
            </a:graphic>
          </wp:inline>
        </w:drawing>
      </w:r>
    </w:p>
    <w:p>
      <w:pPr>
        <w:pStyle w:val="14"/>
        <w:spacing w:before="145"/>
        <w:ind w:left="618" w:right="140"/>
        <w:jc w:val="center"/>
        <w:rPr>
          <w:rFonts w:eastAsia="黑体"/>
          <w:color w:val="000000" w:themeColor="text1"/>
          <w:kern w:val="0"/>
          <w14:textFill>
            <w14:solidFill>
              <w14:schemeClr w14:val="tx1"/>
            </w14:solidFill>
          </w14:textFill>
        </w:rPr>
      </w:pPr>
      <w:r>
        <w:rPr>
          <w:rFonts w:eastAsia="黑体"/>
          <w:color w:val="000000" w:themeColor="text1"/>
          <w:kern w:val="0"/>
          <w14:textFill>
            <w14:solidFill>
              <w14:schemeClr w14:val="tx1"/>
            </w14:solidFill>
          </w14:textFill>
        </w:rPr>
        <w:t>图</w:t>
      </w:r>
      <w:r>
        <w:rPr>
          <w:rFonts w:hint="eastAsia" w:eastAsia="黑体"/>
          <w:color w:val="000000" w:themeColor="text1"/>
          <w:kern w:val="0"/>
          <w14:textFill>
            <w14:solidFill>
              <w14:schemeClr w14:val="tx1"/>
            </w14:solidFill>
          </w14:textFill>
        </w:rPr>
        <w:t>2.2-2</w:t>
      </w:r>
      <w:r>
        <w:rPr>
          <w:rFonts w:eastAsia="黑体"/>
          <w:color w:val="000000" w:themeColor="text1"/>
          <w:kern w:val="0"/>
          <w14:textFill>
            <w14:solidFill>
              <w14:schemeClr w14:val="tx1"/>
            </w14:solidFill>
          </w14:textFill>
        </w:rPr>
        <w:t>东风渠南片南五支渠、南六支渠渠道水系简图</w:t>
      </w:r>
    </w:p>
    <w:p>
      <w:p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2、主要问题</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北支一渠设计流量</w:t>
      </w:r>
      <w:r>
        <w:rPr>
          <w:color w:val="000000" w:themeColor="text1"/>
          <w:spacing w:val="-4"/>
          <w14:textFill>
            <w14:solidFill>
              <w14:schemeClr w14:val="tx1"/>
            </w14:solidFill>
          </w14:textFill>
        </w:rPr>
        <w:t>5.5m</w:t>
      </w:r>
      <w:r>
        <w:rPr>
          <w:rFonts w:hint="eastAsia"/>
          <w:color w:val="000000" w:themeColor="text1"/>
          <w:vertAlign w:val="superscript"/>
          <w14:textFill>
            <w14:solidFill>
              <w14:schemeClr w14:val="tx1"/>
            </w14:solidFill>
          </w14:textFill>
        </w:rPr>
        <w:t>3</w:t>
      </w:r>
      <w:r>
        <w:rPr>
          <w:color w:val="000000" w:themeColor="text1"/>
          <w:spacing w:val="-4"/>
          <w14:textFill>
            <w14:solidFill>
              <w14:schemeClr w14:val="tx1"/>
            </w14:solidFill>
          </w14:textFill>
        </w:rPr>
        <w:t>/s，董家堰补水渠设计流量0.31~0.86m</w:t>
      </w:r>
      <w:r>
        <w:rPr>
          <w:rFonts w:hint="eastAsia"/>
          <w:color w:val="000000" w:themeColor="text1"/>
          <w:vertAlign w:val="superscript"/>
          <w14:textFill>
            <w14:solidFill>
              <w14:schemeClr w14:val="tx1"/>
            </w14:solidFill>
          </w14:textFill>
        </w:rPr>
        <w:t>3</w:t>
      </w:r>
      <w:r>
        <w:rPr>
          <w:color w:val="000000" w:themeColor="text1"/>
          <w:spacing w:val="-4"/>
          <w14:textFill>
            <w14:solidFill>
              <w14:schemeClr w14:val="tx1"/>
            </w14:solidFill>
          </w14:textFill>
        </w:rPr>
        <w:t>/s，南五支渠设计流</w:t>
      </w:r>
      <w:r>
        <w:rPr>
          <w:color w:val="000000" w:themeColor="text1"/>
          <w14:textFill>
            <w14:solidFill>
              <w14:schemeClr w14:val="tx1"/>
            </w14:solidFill>
          </w14:textFill>
        </w:rPr>
        <w:t>量0.41m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/s，南六支渠设计流量0.26m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/s。经现场查勘，项目区内原有灌溉渠道建设久</w:t>
      </w:r>
      <w:r>
        <w:rPr>
          <w:color w:val="000000" w:themeColor="text1"/>
          <w:spacing w:val="-2"/>
          <w14:textFill>
            <w14:solidFill>
              <w14:schemeClr w14:val="tx1"/>
            </w14:solidFill>
          </w14:textFill>
        </w:rPr>
        <w:t>远，长时间运行，维护不及时，不完善，又因城市建设、农业生产搁置等原因，部分农田区域灌排体系破坏、建设标准滞后、断面侵占、水系不畅，部分渠道淤积、填埋、堵</w:t>
      </w:r>
      <w:r>
        <w:rPr>
          <w:color w:val="000000" w:themeColor="text1"/>
          <w:spacing w:val="-4"/>
          <w14:textFill>
            <w14:solidFill>
              <w14:schemeClr w14:val="tx1"/>
            </w14:solidFill>
          </w14:textFill>
        </w:rPr>
        <w:t>塞。北支一渠现状过流能力</w:t>
      </w:r>
      <w:r>
        <w:rPr>
          <w:color w:val="000000" w:themeColor="text1"/>
          <w:spacing w:val="-3"/>
          <w14:textFill>
            <w14:solidFill>
              <w14:schemeClr w14:val="tx1"/>
            </w14:solidFill>
          </w14:textFill>
        </w:rPr>
        <w:t>7.5m</w:t>
      </w:r>
      <w:r>
        <w:rPr>
          <w:rFonts w:hint="eastAsia"/>
          <w:color w:val="000000" w:themeColor="text1"/>
          <w:vertAlign w:val="superscript"/>
          <w14:textFill>
            <w14:solidFill>
              <w14:schemeClr w14:val="tx1"/>
            </w14:solidFill>
          </w14:textFill>
        </w:rPr>
        <w:t>3</w:t>
      </w:r>
      <w:r>
        <w:rPr>
          <w:color w:val="000000" w:themeColor="text1"/>
          <w:spacing w:val="-3"/>
          <w14:textFill>
            <w14:solidFill>
              <w14:schemeClr w14:val="tx1"/>
            </w14:solidFill>
          </w14:textFill>
        </w:rPr>
        <w:t>/s，董家堰补水渠现状过流能力0.21~0.52m</w:t>
      </w:r>
      <w:r>
        <w:rPr>
          <w:rFonts w:hint="eastAsia"/>
          <w:color w:val="000000" w:themeColor="text1"/>
          <w:vertAlign w:val="superscript"/>
          <w14:textFill>
            <w14:solidFill>
              <w14:schemeClr w14:val="tx1"/>
            </w14:solidFill>
          </w14:textFill>
        </w:rPr>
        <w:t>3</w:t>
      </w:r>
      <w:r>
        <w:rPr>
          <w:color w:val="000000" w:themeColor="text1"/>
          <w:spacing w:val="-3"/>
          <w14:textFill>
            <w14:solidFill>
              <w14:schemeClr w14:val="tx1"/>
            </w14:solidFill>
          </w14:textFill>
        </w:rPr>
        <w:t>/s，南五支</w:t>
      </w:r>
      <w:r>
        <w:rPr>
          <w:color w:val="000000" w:themeColor="text1"/>
          <w14:textFill>
            <w14:solidFill>
              <w14:schemeClr w14:val="tx1"/>
            </w14:solidFill>
          </w14:textFill>
        </w:rPr>
        <w:t>渠现状过流能力0.25m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/s，南六支渠现状过流能力0.16m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/s。除北支一渠外，董家堰补水渠、南五支渠、南六支渠现状过流能力均不能满足过流要求。</w:t>
      </w:r>
    </w:p>
    <w:p>
      <w:pPr>
        <w:pStyle w:val="14"/>
        <w:adjustRightInd w:val="0"/>
        <w:snapToGrid w:val="0"/>
        <w:ind w:firstLine="480" w:firstLineChars="20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w:t>
      </w:r>
      <w:r>
        <w:rPr>
          <w:rFonts w:hint="eastAsia"/>
          <w:color w:val="000000" w:themeColor="text1"/>
          <w14:textFill>
            <w14:solidFill>
              <w14:schemeClr w14:val="tx1"/>
            </w14:solidFill>
          </w14:textFill>
        </w:rPr>
        <w:t>2.2-3</w:t>
      </w:r>
      <w:r>
        <w:rPr>
          <w:rFonts w:eastAsia="黑体"/>
          <w:color w:val="000000" w:themeColor="text1"/>
          <w14:textFill>
            <w14:solidFill>
              <w14:schemeClr w14:val="tx1"/>
            </w14:solidFill>
          </w14:textFill>
        </w:rPr>
        <w:t>一期工程渠道现状问题清单</w:t>
      </w:r>
    </w:p>
    <w:p>
      <w:pPr>
        <w:spacing w:before="5"/>
        <w:ind w:firstLine="141"/>
        <w:rPr>
          <w:rFonts w:ascii="黑体" w:hAnsi="黑体" w:eastAsia="黑体" w:cs="黑体"/>
          <w:color w:val="000000" w:themeColor="text1"/>
          <w:sz w:val="7"/>
          <w:szCs w:val="7"/>
          <w14:textFill>
            <w14:solidFill>
              <w14:schemeClr w14:val="tx1"/>
            </w14:solidFill>
          </w14:textFill>
        </w:rPr>
      </w:pPr>
    </w:p>
    <w:tbl>
      <w:tblPr>
        <w:tblStyle w:val="38"/>
        <w:tblW w:w="4998" w:type="pct"/>
        <w:tblInd w:w="0" w:type="dxa"/>
        <w:tblLayout w:type="autofit"/>
        <w:tblCellMar>
          <w:top w:w="0" w:type="dxa"/>
          <w:left w:w="0" w:type="dxa"/>
          <w:bottom w:w="0" w:type="dxa"/>
          <w:right w:w="0" w:type="dxa"/>
        </w:tblCellMar>
      </w:tblPr>
      <w:tblGrid>
        <w:gridCol w:w="433"/>
        <w:gridCol w:w="1214"/>
        <w:gridCol w:w="1211"/>
        <w:gridCol w:w="5443"/>
      </w:tblGrid>
      <w:tr>
        <w:tblPrEx>
          <w:tblCellMar>
            <w:top w:w="0" w:type="dxa"/>
            <w:left w:w="0" w:type="dxa"/>
            <w:bottom w:w="0" w:type="dxa"/>
            <w:right w:w="0" w:type="dxa"/>
          </w:tblCellMar>
        </w:tblPrEx>
        <w:trPr>
          <w:trHeight w:val="322" w:hRule="exact"/>
        </w:trPr>
        <w:tc>
          <w:tcPr>
            <w:tcW w:w="261" w:type="pct"/>
            <w:tcBorders>
              <w:top w:val="single" w:color="000000" w:sz="12" w:space="0"/>
              <w:left w:val="nil"/>
              <w:bottom w:val="single" w:color="000000" w:sz="4" w:space="0"/>
              <w:right w:val="single" w:color="000000" w:sz="4" w:space="0"/>
            </w:tcBorders>
          </w:tcPr>
          <w:p>
            <w:pPr>
              <w:pStyle w:val="60"/>
              <w:keepNext w:val="0"/>
              <w:keepLines w:val="0"/>
              <w:suppressLineNumbers w:val="0"/>
              <w:spacing w:before="0" w:beforeAutospacing="0" w:after="0" w:afterAutospacing="0" w:line="262" w:lineRule="exact"/>
              <w:ind w:left="24" w:right="0"/>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731" w:type="pct"/>
            <w:tcBorders>
              <w:top w:val="single" w:color="000000" w:sz="12" w:space="0"/>
              <w:left w:val="single" w:color="000000" w:sz="4" w:space="0"/>
              <w:bottom w:val="single" w:color="000000" w:sz="4" w:space="0"/>
              <w:right w:val="single" w:color="000000" w:sz="4" w:space="0"/>
            </w:tcBorders>
          </w:tcPr>
          <w:p>
            <w:pPr>
              <w:pStyle w:val="60"/>
              <w:keepNext w:val="0"/>
              <w:keepLines w:val="0"/>
              <w:suppressLineNumbers w:val="0"/>
              <w:spacing w:before="0" w:beforeAutospacing="0" w:after="0" w:afterAutospacing="0" w:line="262" w:lineRule="exact"/>
              <w:ind w:left="237" w:right="0"/>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所属灌片</w:t>
            </w:r>
          </w:p>
        </w:tc>
        <w:tc>
          <w:tcPr>
            <w:tcW w:w="729" w:type="pct"/>
            <w:tcBorders>
              <w:top w:val="single" w:color="000000" w:sz="12" w:space="0"/>
              <w:left w:val="single" w:color="000000" w:sz="4" w:space="0"/>
              <w:bottom w:val="single" w:color="000000" w:sz="4" w:space="0"/>
              <w:right w:val="single" w:color="000000" w:sz="4" w:space="0"/>
            </w:tcBorders>
          </w:tcPr>
          <w:p>
            <w:pPr>
              <w:pStyle w:val="60"/>
              <w:keepNext w:val="0"/>
              <w:keepLines w:val="0"/>
              <w:suppressLineNumbers w:val="0"/>
              <w:spacing w:before="0" w:beforeAutospacing="0" w:after="0" w:afterAutospacing="0" w:line="262" w:lineRule="exact"/>
              <w:ind w:left="235" w:right="0"/>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河道名称</w:t>
            </w:r>
          </w:p>
        </w:tc>
        <w:tc>
          <w:tcPr>
            <w:tcW w:w="3277" w:type="pct"/>
            <w:tcBorders>
              <w:top w:val="single" w:color="000000" w:sz="12" w:space="0"/>
              <w:left w:val="single" w:color="000000" w:sz="4" w:space="0"/>
              <w:bottom w:val="single" w:color="000000" w:sz="4" w:space="0"/>
              <w:right w:val="nil"/>
            </w:tcBorders>
          </w:tcPr>
          <w:p>
            <w:pPr>
              <w:pStyle w:val="60"/>
              <w:keepNext w:val="0"/>
              <w:keepLines w:val="0"/>
              <w:suppressLineNumbers w:val="0"/>
              <w:spacing w:before="0" w:beforeAutospacing="0" w:after="0" w:afterAutospacing="0" w:line="262" w:lineRule="exact"/>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问题类型</w:t>
            </w:r>
          </w:p>
        </w:tc>
      </w:tr>
      <w:tr>
        <w:tblPrEx>
          <w:tblCellMar>
            <w:top w:w="0" w:type="dxa"/>
            <w:left w:w="0" w:type="dxa"/>
            <w:bottom w:w="0" w:type="dxa"/>
            <w:right w:w="0" w:type="dxa"/>
          </w:tblCellMar>
        </w:tblPrEx>
        <w:trPr>
          <w:trHeight w:val="903" w:hRule="exact"/>
        </w:trPr>
        <w:tc>
          <w:tcPr>
            <w:tcW w:w="261" w:type="pct"/>
            <w:tcBorders>
              <w:top w:val="single" w:color="000000" w:sz="4" w:space="0"/>
              <w:left w:val="nil"/>
              <w:bottom w:val="single" w:color="000000" w:sz="4" w:space="0"/>
              <w:right w:val="single" w:color="000000" w:sz="4" w:space="0"/>
            </w:tcBorders>
          </w:tcPr>
          <w:p>
            <w:pPr>
              <w:pStyle w:val="60"/>
              <w:keepNext w:val="0"/>
              <w:keepLines w:val="0"/>
              <w:suppressLineNumbers w:val="0"/>
              <w:spacing w:before="7" w:beforeAutospacing="0" w:after="0" w:afterAutospacing="0"/>
              <w:ind w:left="0" w:right="0" w:firstLine="281"/>
              <w:jc w:val="left"/>
              <w:rPr>
                <w:rFonts w:hint="default" w:ascii="黑体" w:hAnsi="黑体" w:eastAsia="黑体" w:cs="黑体"/>
                <w:color w:val="000000" w:themeColor="text1"/>
                <w:sz w:val="14"/>
                <w:szCs w:val="14"/>
                <w14:textFill>
                  <w14:solidFill>
                    <w14:schemeClr w14:val="tx1"/>
                  </w14:solidFill>
                </w14:textFill>
              </w:rPr>
            </w:pPr>
          </w:p>
          <w:p>
            <w:pPr>
              <w:pStyle w:val="60"/>
              <w:keepNext w:val="0"/>
              <w:keepLines w:val="0"/>
              <w:suppressLineNumbers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731" w:type="pct"/>
            <w:vMerge w:val="restart"/>
            <w:tcBorders>
              <w:top w:val="single" w:color="000000" w:sz="4" w:space="0"/>
              <w:left w:val="single" w:color="000000" w:sz="4" w:space="0"/>
              <w:bottom w:val="single" w:color="000000" w:sz="4" w:space="0"/>
              <w:right w:val="single" w:color="000000" w:sz="4" w:space="0"/>
            </w:tcBorders>
          </w:tcPr>
          <w:p>
            <w:pPr>
              <w:pStyle w:val="60"/>
              <w:keepNext w:val="0"/>
              <w:keepLines w:val="0"/>
              <w:suppressLineNumbers w:val="0"/>
              <w:spacing w:before="3" w:beforeAutospacing="0" w:after="0" w:afterAutospacing="0"/>
              <w:ind w:left="0" w:right="0" w:firstLine="462"/>
              <w:jc w:val="left"/>
              <w:rPr>
                <w:rFonts w:hint="default" w:ascii="黑体" w:hAnsi="黑体" w:eastAsia="黑体" w:cs="黑体"/>
                <w:color w:val="000000" w:themeColor="text1"/>
                <w:sz w:val="23"/>
                <w:szCs w:val="23"/>
                <w14:textFill>
                  <w14:solidFill>
                    <w14:schemeClr w14:val="tx1"/>
                  </w14:solidFill>
                </w14:textFill>
              </w:rPr>
            </w:pPr>
          </w:p>
          <w:p>
            <w:pPr>
              <w:pStyle w:val="60"/>
              <w:keepNext w:val="0"/>
              <w:keepLines w:val="0"/>
              <w:suppressLineNumbers w:val="0"/>
              <w:spacing w:before="0" w:beforeAutospacing="0" w:after="0" w:afterAutospacing="0"/>
              <w:ind w:left="13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东风渠北片</w:t>
            </w:r>
          </w:p>
        </w:tc>
        <w:tc>
          <w:tcPr>
            <w:tcW w:w="729" w:type="pct"/>
            <w:tcBorders>
              <w:top w:val="single" w:color="000000" w:sz="4" w:space="0"/>
              <w:left w:val="single" w:color="000000" w:sz="4" w:space="0"/>
              <w:bottom w:val="single" w:color="000000" w:sz="4" w:space="0"/>
              <w:right w:val="single" w:color="000000" w:sz="4" w:space="0"/>
            </w:tcBorders>
          </w:tcPr>
          <w:p>
            <w:pPr>
              <w:pStyle w:val="60"/>
              <w:keepNext w:val="0"/>
              <w:keepLines w:val="0"/>
              <w:suppressLineNumbers w:val="0"/>
              <w:spacing w:before="143" w:beforeAutospacing="0" w:after="0" w:afterAutospacing="0"/>
              <w:ind w:left="23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北支一渠</w:t>
            </w:r>
            <w:r>
              <w:rPr>
                <w:rFonts w:hint="eastAsia" w:ascii="宋体" w:hAnsi="宋体" w:cs="宋体"/>
                <w:color w:val="000000" w:themeColor="text1"/>
                <w14:textFill>
                  <w14:solidFill>
                    <w14:schemeClr w14:val="tx1"/>
                  </w14:solidFill>
                </w14:textFill>
              </w:rPr>
              <w:t>（上）</w:t>
            </w:r>
          </w:p>
        </w:tc>
        <w:tc>
          <w:tcPr>
            <w:tcW w:w="3277" w:type="pct"/>
            <w:tcBorders>
              <w:top w:val="single" w:color="000000" w:sz="4" w:space="0"/>
              <w:left w:val="single" w:color="000000" w:sz="4" w:space="0"/>
              <w:bottom w:val="single" w:color="000000" w:sz="4" w:space="0"/>
              <w:right w:val="nil"/>
            </w:tcBorders>
          </w:tcPr>
          <w:p>
            <w:pPr>
              <w:pStyle w:val="60"/>
              <w:keepNext w:val="0"/>
              <w:keepLines w:val="0"/>
              <w:suppressLineNumbers w:val="0"/>
              <w:spacing w:before="0" w:beforeAutospacing="0" w:after="0" w:afterAutospacing="0" w:line="273" w:lineRule="auto"/>
              <w:ind w:left="124" w:right="124" w:firstLine="474"/>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spacing w:val="-2"/>
                <w14:textFill>
                  <w14:solidFill>
                    <w14:schemeClr w14:val="tx1"/>
                  </w14:solidFill>
                </w14:textFill>
              </w:rPr>
              <w:t>边坡为块石浆砌，因长时间运行冲刷而破坏，接缝处有杂草生长，易发生渗水漏水，两岸生有大量杂草，渠口上边坡未治理</w:t>
            </w:r>
          </w:p>
        </w:tc>
      </w:tr>
      <w:tr>
        <w:tblPrEx>
          <w:tblCellMar>
            <w:top w:w="0" w:type="dxa"/>
            <w:left w:w="0" w:type="dxa"/>
            <w:bottom w:w="0" w:type="dxa"/>
            <w:right w:w="0" w:type="dxa"/>
          </w:tblCellMar>
        </w:tblPrEx>
        <w:trPr>
          <w:trHeight w:val="322" w:hRule="exact"/>
        </w:trPr>
        <w:tc>
          <w:tcPr>
            <w:tcW w:w="261" w:type="pct"/>
            <w:tcBorders>
              <w:top w:val="single" w:color="000000" w:sz="4" w:space="0"/>
              <w:left w:val="nil"/>
              <w:bottom w:val="single" w:color="000000" w:sz="4" w:space="0"/>
              <w:right w:val="single" w:color="000000" w:sz="4" w:space="0"/>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731" w:type="pct"/>
            <w:vMerge w:val="continue"/>
            <w:tcBorders>
              <w:top w:val="single" w:color="000000" w:sz="4" w:space="0"/>
              <w:left w:val="single" w:color="000000" w:sz="4" w:space="0"/>
              <w:bottom w:val="single" w:color="000000" w:sz="4" w:space="0"/>
              <w:right w:val="single" w:color="000000" w:sz="4" w:space="0"/>
            </w:tcBorders>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729" w:type="pct"/>
            <w:tcBorders>
              <w:top w:val="single" w:color="000000" w:sz="4" w:space="0"/>
              <w:left w:val="single" w:color="000000" w:sz="4" w:space="0"/>
              <w:bottom w:val="single" w:color="000000" w:sz="4" w:space="0"/>
              <w:right w:val="single" w:color="000000" w:sz="4" w:space="0"/>
            </w:tcBorders>
          </w:tcPr>
          <w:p>
            <w:pPr>
              <w:pStyle w:val="60"/>
              <w:keepNext w:val="0"/>
              <w:keepLines w:val="0"/>
              <w:suppressLineNumbers w:val="0"/>
              <w:spacing w:before="0" w:beforeAutospacing="0" w:after="0" w:afterAutospacing="0" w:line="262" w:lineRule="exact"/>
              <w:ind w:left="24"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w:t>
            </w:r>
          </w:p>
        </w:tc>
        <w:tc>
          <w:tcPr>
            <w:tcW w:w="3277" w:type="pct"/>
            <w:tcBorders>
              <w:top w:val="single" w:color="000000" w:sz="4" w:space="0"/>
              <w:left w:val="single" w:color="000000" w:sz="4" w:space="0"/>
              <w:bottom w:val="single" w:color="000000" w:sz="4" w:space="0"/>
              <w:right w:val="nil"/>
            </w:tcBorders>
          </w:tcPr>
          <w:p>
            <w:pPr>
              <w:pStyle w:val="60"/>
              <w:keepNext w:val="0"/>
              <w:keepLines w:val="0"/>
              <w:suppressLineNumbers w:val="0"/>
              <w:spacing w:before="0" w:beforeAutospacing="0" w:after="0" w:afterAutospacing="0" w:line="262" w:lineRule="exact"/>
              <w:ind w:left="1596"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渠道补水能力不足，渠道淤积</w:t>
            </w:r>
          </w:p>
        </w:tc>
      </w:tr>
      <w:tr>
        <w:tblPrEx>
          <w:tblCellMar>
            <w:top w:w="0" w:type="dxa"/>
            <w:left w:w="0" w:type="dxa"/>
            <w:bottom w:w="0" w:type="dxa"/>
            <w:right w:w="0" w:type="dxa"/>
          </w:tblCellMar>
        </w:tblPrEx>
        <w:trPr>
          <w:trHeight w:val="513" w:hRule="exact"/>
        </w:trPr>
        <w:tc>
          <w:tcPr>
            <w:tcW w:w="261" w:type="pct"/>
            <w:tcBorders>
              <w:top w:val="single" w:color="000000" w:sz="4" w:space="0"/>
              <w:left w:val="nil"/>
              <w:bottom w:val="single" w:color="000000" w:sz="4" w:space="0"/>
              <w:right w:val="single" w:color="000000" w:sz="4" w:space="0"/>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731" w:type="pct"/>
            <w:vMerge w:val="restart"/>
            <w:tcBorders>
              <w:top w:val="single" w:color="000000" w:sz="4" w:space="0"/>
              <w:left w:val="single" w:color="000000" w:sz="4" w:space="0"/>
              <w:bottom w:val="single" w:color="000000" w:sz="4" w:space="0"/>
              <w:right w:val="single" w:color="000000" w:sz="4" w:space="0"/>
            </w:tcBorders>
          </w:tcPr>
          <w:p>
            <w:pPr>
              <w:pStyle w:val="60"/>
              <w:keepNext w:val="0"/>
              <w:keepLines w:val="0"/>
              <w:suppressLineNumbers w:val="0"/>
              <w:spacing w:before="150" w:beforeAutospacing="0" w:after="0" w:afterAutospacing="0"/>
              <w:ind w:left="13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东风渠南片</w:t>
            </w:r>
          </w:p>
        </w:tc>
        <w:tc>
          <w:tcPr>
            <w:tcW w:w="729" w:type="pct"/>
            <w:tcBorders>
              <w:top w:val="single" w:color="000000" w:sz="4" w:space="0"/>
              <w:left w:val="single" w:color="000000" w:sz="4" w:space="0"/>
              <w:bottom w:val="single" w:color="000000" w:sz="4" w:space="0"/>
              <w:right w:val="single" w:color="000000" w:sz="4" w:space="0"/>
            </w:tcBorders>
          </w:tcPr>
          <w:p>
            <w:pPr>
              <w:pStyle w:val="60"/>
              <w:keepNext w:val="0"/>
              <w:keepLines w:val="0"/>
              <w:suppressLineNumbers w:val="0"/>
              <w:spacing w:before="0" w:beforeAutospacing="0" w:after="0" w:afterAutospacing="0" w:line="262" w:lineRule="exact"/>
              <w:ind w:left="23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3277" w:type="pct"/>
            <w:tcBorders>
              <w:top w:val="single" w:color="000000" w:sz="4" w:space="0"/>
              <w:left w:val="single" w:color="000000" w:sz="4" w:space="0"/>
              <w:bottom w:val="single" w:color="000000" w:sz="4" w:space="0"/>
              <w:right w:val="nil"/>
            </w:tcBorders>
          </w:tcPr>
          <w:p>
            <w:pPr>
              <w:pStyle w:val="60"/>
              <w:keepNext w:val="0"/>
              <w:keepLines w:val="0"/>
              <w:suppressLineNumbers w:val="0"/>
              <w:spacing w:before="0" w:beforeAutospacing="0" w:after="0" w:afterAutospacing="0" w:line="262" w:lineRule="exact"/>
              <w:ind w:left="336" w:right="0"/>
              <w:jc w:val="center"/>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渠道破损，渠道淤积，渠底渗流，取水点缺乏控制性工程</w:t>
            </w:r>
          </w:p>
        </w:tc>
      </w:tr>
      <w:tr>
        <w:tblPrEx>
          <w:tblCellMar>
            <w:top w:w="0" w:type="dxa"/>
            <w:left w:w="0" w:type="dxa"/>
            <w:bottom w:w="0" w:type="dxa"/>
            <w:right w:w="0" w:type="dxa"/>
          </w:tblCellMar>
        </w:tblPrEx>
        <w:trPr>
          <w:trHeight w:val="277" w:hRule="exact"/>
        </w:trPr>
        <w:tc>
          <w:tcPr>
            <w:tcW w:w="261" w:type="pct"/>
            <w:tcBorders>
              <w:top w:val="single" w:color="000000" w:sz="4" w:space="0"/>
              <w:left w:val="nil"/>
              <w:bottom w:val="single" w:color="000000" w:sz="12" w:space="0"/>
              <w:right w:val="single" w:color="000000" w:sz="4" w:space="0"/>
            </w:tcBorders>
          </w:tcPr>
          <w:p>
            <w:pPr>
              <w:pStyle w:val="60"/>
              <w:keepNext w:val="0"/>
              <w:keepLines w:val="0"/>
              <w:suppressLineNumbers w:val="0"/>
              <w:spacing w:before="36"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731" w:type="pct"/>
            <w:vMerge w:val="continue"/>
            <w:tcBorders>
              <w:top w:val="single" w:color="000000" w:sz="4" w:space="0"/>
              <w:left w:val="single" w:color="000000" w:sz="4" w:space="0"/>
              <w:bottom w:val="single" w:color="000000" w:sz="12" w:space="0"/>
              <w:right w:val="single" w:color="000000" w:sz="4" w:space="0"/>
            </w:tcBorders>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p>
        </w:tc>
        <w:tc>
          <w:tcPr>
            <w:tcW w:w="729" w:type="pct"/>
            <w:tcBorders>
              <w:top w:val="single" w:color="000000" w:sz="4" w:space="0"/>
              <w:left w:val="single" w:color="000000" w:sz="4" w:space="0"/>
              <w:bottom w:val="single" w:color="000000" w:sz="12" w:space="0"/>
              <w:right w:val="single" w:color="000000" w:sz="4" w:space="0"/>
            </w:tcBorders>
          </w:tcPr>
          <w:p>
            <w:pPr>
              <w:pStyle w:val="60"/>
              <w:keepNext w:val="0"/>
              <w:keepLines w:val="0"/>
              <w:suppressLineNumbers w:val="0"/>
              <w:spacing w:before="0" w:beforeAutospacing="0" w:after="0" w:afterAutospacing="0" w:line="265" w:lineRule="exact"/>
              <w:ind w:left="23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3277" w:type="pct"/>
            <w:tcBorders>
              <w:top w:val="single" w:color="000000" w:sz="4" w:space="0"/>
              <w:left w:val="single" w:color="000000" w:sz="4" w:space="0"/>
              <w:bottom w:val="single" w:color="000000" w:sz="12" w:space="0"/>
              <w:right w:val="nil"/>
            </w:tcBorders>
          </w:tcPr>
          <w:p>
            <w:pPr>
              <w:pStyle w:val="60"/>
              <w:keepNext w:val="0"/>
              <w:keepLines w:val="0"/>
              <w:suppressLineNumbers w:val="0"/>
              <w:spacing w:before="0" w:beforeAutospacing="0" w:after="0" w:afterAutospacing="0" w:line="265" w:lineRule="exact"/>
              <w:ind w:left="861"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渠道破损，</w:t>
            </w:r>
            <w:r>
              <w:rPr>
                <w:rFonts w:hint="eastAsia" w:ascii="宋体" w:hAnsi="宋体" w:cs="宋体"/>
                <w:color w:val="000000" w:themeColor="text1"/>
                <w:lang w:val="en-US" w:eastAsia="zh-CN"/>
                <w14:textFill>
                  <w14:solidFill>
                    <w14:schemeClr w14:val="tx1"/>
                  </w14:solidFill>
                </w14:textFill>
              </w:rPr>
              <w:t>渗漏，</w:t>
            </w:r>
            <w:r>
              <w:rPr>
                <w:rFonts w:hint="default" w:ascii="宋体" w:hAnsi="宋体" w:cs="宋体"/>
                <w:color w:val="000000" w:themeColor="text1"/>
                <w14:textFill>
                  <w14:solidFill>
                    <w14:schemeClr w14:val="tx1"/>
                  </w14:solidFill>
                </w14:textFill>
              </w:rPr>
              <w:t>渠道淤积，取水点缺乏控制性工程</w:t>
            </w:r>
          </w:p>
        </w:tc>
      </w:tr>
    </w:tbl>
    <w:p>
      <w:pPr>
        <w:pStyle w:val="14"/>
        <w:spacing w:before="39"/>
        <w:ind w:left="2715" w:right="132"/>
        <w:rPr>
          <w:rFonts w:ascii="黑体" w:hAnsi="黑体" w:eastAsia="黑体" w:cs="黑体"/>
          <w:color w:val="000000" w:themeColor="text1"/>
          <w14:textFill>
            <w14:solidFill>
              <w14:schemeClr w14:val="tx1"/>
            </w14:solidFill>
          </w14:textFill>
        </w:rPr>
      </w:pPr>
      <w:r>
        <w:rPr>
          <w:rFonts w:ascii="黑体" w:hAnsi="黑体" w:eastAsia="黑体" w:cs="黑体"/>
          <w:color w:val="000000" w:themeColor="text1"/>
          <w14:textFill>
            <w14:solidFill>
              <w14:schemeClr w14:val="tx1"/>
            </w14:solidFill>
          </w14:textFill>
        </w:rPr>
        <w:t>表</w:t>
      </w:r>
      <w:r>
        <w:rPr>
          <w:rFonts w:hint="eastAsia"/>
          <w:color w:val="000000" w:themeColor="text1"/>
          <w14:textFill>
            <w14:solidFill>
              <w14:schemeClr w14:val="tx1"/>
            </w14:solidFill>
          </w14:textFill>
        </w:rPr>
        <w:t>2.2-4</w:t>
      </w:r>
      <w:r>
        <w:rPr>
          <w:rFonts w:ascii="黑体" w:hAnsi="黑体" w:eastAsia="黑体" w:cs="黑体"/>
          <w:color w:val="000000" w:themeColor="text1"/>
          <w14:textFill>
            <w14:solidFill>
              <w14:schemeClr w14:val="tx1"/>
            </w14:solidFill>
          </w14:textFill>
        </w:rPr>
        <w:t>一期工程渠道现状供水能力</w:t>
      </w:r>
    </w:p>
    <w:p>
      <w:pPr>
        <w:spacing w:before="5"/>
        <w:ind w:firstLine="141"/>
        <w:rPr>
          <w:rFonts w:ascii="黑体" w:hAnsi="黑体" w:eastAsia="黑体" w:cs="黑体"/>
          <w:color w:val="000000" w:themeColor="text1"/>
          <w:sz w:val="7"/>
          <w:szCs w:val="7"/>
          <w14:textFill>
            <w14:solidFill>
              <w14:schemeClr w14:val="tx1"/>
            </w14:solidFill>
          </w14:textFill>
        </w:rPr>
      </w:pPr>
    </w:p>
    <w:tbl>
      <w:tblPr>
        <w:tblStyle w:val="38"/>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04"/>
        <w:gridCol w:w="2226"/>
        <w:gridCol w:w="2226"/>
        <w:gridCol w:w="1530"/>
        <w:gridCol w:w="151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34" w:hRule="exact"/>
        </w:trPr>
        <w:tc>
          <w:tcPr>
            <w:tcW w:w="484" w:type="pct"/>
            <w:tcBorders>
              <w:tl2br w:val="nil"/>
              <w:tr2bl w:val="nil"/>
            </w:tcBorders>
          </w:tcPr>
          <w:p>
            <w:pPr>
              <w:pStyle w:val="60"/>
              <w:keepNext w:val="0"/>
              <w:keepLines w:val="0"/>
              <w:suppressLineNumbers w:val="0"/>
              <w:spacing w:before="143" w:beforeAutospacing="0" w:after="0" w:afterAutospacing="0"/>
              <w:ind w:left="225" w:right="0"/>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编号</w:t>
            </w:r>
          </w:p>
        </w:tc>
        <w:tc>
          <w:tcPr>
            <w:tcW w:w="1340" w:type="pct"/>
            <w:tcBorders>
              <w:tl2br w:val="nil"/>
              <w:tr2bl w:val="nil"/>
            </w:tcBorders>
          </w:tcPr>
          <w:p>
            <w:pPr>
              <w:pStyle w:val="60"/>
              <w:keepNext w:val="0"/>
              <w:keepLines w:val="0"/>
              <w:suppressLineNumbers w:val="0"/>
              <w:spacing w:before="143"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名称</w:t>
            </w:r>
          </w:p>
        </w:tc>
        <w:tc>
          <w:tcPr>
            <w:tcW w:w="1340" w:type="pct"/>
            <w:tcBorders>
              <w:tl2br w:val="nil"/>
              <w:tr2bl w:val="nil"/>
            </w:tcBorders>
          </w:tcPr>
          <w:p>
            <w:pPr>
              <w:pStyle w:val="60"/>
              <w:keepNext w:val="0"/>
              <w:keepLines w:val="0"/>
              <w:suppressLineNumbers w:val="0"/>
              <w:spacing w:before="0" w:beforeAutospacing="0" w:after="0" w:afterAutospacing="0" w:line="262" w:lineRule="exact"/>
              <w:ind w:left="0" w:right="2"/>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现状过流能力</w:t>
            </w:r>
          </w:p>
          <w:p>
            <w:pPr>
              <w:pStyle w:val="60"/>
              <w:keepNext w:val="0"/>
              <w:keepLines w:val="0"/>
              <w:suppressLineNumbers w:val="0"/>
              <w:spacing w:before="79" w:beforeAutospacing="0" w:after="0" w:afterAutospacing="0"/>
              <w:ind w:left="0" w:right="4"/>
              <w:rPr>
                <w:rFonts w:hint="default" w:eastAsia="Times New Roman"/>
                <w:b/>
                <w:bCs/>
                <w:color w:val="000000" w:themeColor="text1"/>
                <w14:textFill>
                  <w14:solidFill>
                    <w14:schemeClr w14:val="tx1"/>
                  </w14:solidFill>
                </w14:textFill>
              </w:rPr>
            </w:pPr>
            <w:r>
              <w:rPr>
                <w:rFonts w:hint="default"/>
                <w:b/>
                <w:bCs/>
                <w:color w:val="000000" w:themeColor="text1"/>
                <w14:textFill>
                  <w14:solidFill>
                    <w14:schemeClr w14:val="tx1"/>
                  </w14:solidFill>
                </w14:textFill>
              </w:rPr>
              <w:t>(m</w:t>
            </w:r>
            <w:r>
              <w:rPr>
                <w:rFonts w:hint="default"/>
                <w:b/>
                <w:bCs/>
                <w:color w:val="000000" w:themeColor="text1"/>
                <w:position w:val="7"/>
                <w:sz w:val="14"/>
                <w14:textFill>
                  <w14:solidFill>
                    <w14:schemeClr w14:val="tx1"/>
                  </w14:solidFill>
                </w14:textFill>
              </w:rPr>
              <w:t>3</w:t>
            </w:r>
            <w:r>
              <w:rPr>
                <w:rFonts w:hint="default"/>
                <w:b/>
                <w:bCs/>
                <w:color w:val="000000" w:themeColor="text1"/>
                <w14:textFill>
                  <w14:solidFill>
                    <w14:schemeClr w14:val="tx1"/>
                  </w14:solidFill>
                </w14:textFill>
              </w:rPr>
              <w:t>/s)</w:t>
            </w:r>
          </w:p>
        </w:tc>
        <w:tc>
          <w:tcPr>
            <w:tcW w:w="921" w:type="pct"/>
            <w:tcBorders>
              <w:tl2br w:val="nil"/>
              <w:tr2bl w:val="nil"/>
            </w:tcBorders>
          </w:tcPr>
          <w:p>
            <w:pPr>
              <w:pStyle w:val="60"/>
              <w:keepNext w:val="0"/>
              <w:keepLines w:val="0"/>
              <w:suppressLineNumbers w:val="0"/>
              <w:spacing w:before="0" w:beforeAutospacing="0" w:after="0" w:afterAutospacing="0" w:line="262" w:lineRule="exact"/>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设计流量</w:t>
            </w:r>
          </w:p>
          <w:p>
            <w:pPr>
              <w:pStyle w:val="60"/>
              <w:keepNext w:val="0"/>
              <w:keepLines w:val="0"/>
              <w:suppressLineNumbers w:val="0"/>
              <w:spacing w:before="84" w:beforeAutospacing="0" w:after="0" w:afterAutospacing="0"/>
              <w:ind w:left="0" w:right="4"/>
              <w:rPr>
                <w:rFonts w:hint="default" w:eastAsia="Times New Roman"/>
                <w:b/>
                <w:bCs/>
                <w:color w:val="000000" w:themeColor="text1"/>
                <w14:textFill>
                  <w14:solidFill>
                    <w14:schemeClr w14:val="tx1"/>
                  </w14:solidFill>
                </w14:textFill>
              </w:rPr>
            </w:pPr>
            <w:r>
              <w:rPr>
                <w:rFonts w:hint="default"/>
                <w:b/>
                <w:bCs/>
                <w:color w:val="000000" w:themeColor="text1"/>
                <w14:textFill>
                  <w14:solidFill>
                    <w14:schemeClr w14:val="tx1"/>
                  </w14:solidFill>
                </w14:textFill>
              </w:rPr>
              <w:t>(m</w:t>
            </w:r>
            <w:r>
              <w:rPr>
                <w:rFonts w:hint="default"/>
                <w:b/>
                <w:bCs/>
                <w:color w:val="000000" w:themeColor="text1"/>
                <w:position w:val="7"/>
                <w:sz w:val="14"/>
                <w14:textFill>
                  <w14:solidFill>
                    <w14:schemeClr w14:val="tx1"/>
                  </w14:solidFill>
                </w14:textFill>
              </w:rPr>
              <w:t>3</w:t>
            </w:r>
            <w:r>
              <w:rPr>
                <w:rFonts w:hint="default"/>
                <w:b/>
                <w:bCs/>
                <w:color w:val="000000" w:themeColor="text1"/>
                <w14:textFill>
                  <w14:solidFill>
                    <w14:schemeClr w14:val="tx1"/>
                  </w14:solidFill>
                </w14:textFill>
              </w:rPr>
              <w:t>/s)</w:t>
            </w:r>
          </w:p>
        </w:tc>
        <w:tc>
          <w:tcPr>
            <w:tcW w:w="912" w:type="pct"/>
            <w:tcBorders>
              <w:tl2br w:val="nil"/>
              <w:tr2bl w:val="nil"/>
            </w:tcBorders>
          </w:tcPr>
          <w:p>
            <w:pPr>
              <w:pStyle w:val="60"/>
              <w:keepNext w:val="0"/>
              <w:keepLines w:val="0"/>
              <w:suppressLineNumbers w:val="0"/>
              <w:spacing w:before="0" w:beforeAutospacing="0" w:after="0" w:afterAutospacing="0" w:line="273" w:lineRule="auto"/>
              <w:ind w:left="400" w:right="398"/>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能否满足过流要求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484"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340" w:type="pct"/>
            <w:tcBorders>
              <w:tl2br w:val="nil"/>
              <w:tr2bl w:val="nil"/>
            </w:tcBorders>
          </w:tcPr>
          <w:p>
            <w:pPr>
              <w:pStyle w:val="60"/>
              <w:keepNext w:val="0"/>
              <w:keepLines w:val="0"/>
              <w:suppressLineNumbers w:val="0"/>
              <w:spacing w:before="0" w:beforeAutospacing="0" w:after="0" w:afterAutospacing="0" w:line="262" w:lineRule="exact"/>
              <w:ind w:left="789"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北支一渠</w:t>
            </w:r>
          </w:p>
        </w:tc>
        <w:tc>
          <w:tcPr>
            <w:tcW w:w="1340" w:type="pct"/>
            <w:tcBorders>
              <w:tl2br w:val="nil"/>
              <w:tr2bl w:val="nil"/>
            </w:tcBorders>
          </w:tcPr>
          <w:p>
            <w:pPr>
              <w:pStyle w:val="60"/>
              <w:keepNext w:val="0"/>
              <w:keepLines w:val="0"/>
              <w:suppressLineNumbers w:val="0"/>
              <w:spacing w:before="34" w:beforeAutospacing="0" w:after="0" w:afterAutospacing="0"/>
              <w:ind w:left="0" w:right="2"/>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7.5</w:t>
            </w:r>
          </w:p>
        </w:tc>
        <w:tc>
          <w:tcPr>
            <w:tcW w:w="921"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5.5</w:t>
            </w:r>
          </w:p>
        </w:tc>
        <w:tc>
          <w:tcPr>
            <w:tcW w:w="912" w:type="pct"/>
            <w:tcBorders>
              <w:tl2br w:val="nil"/>
              <w:tr2bl w:val="nil"/>
            </w:tcBorders>
          </w:tcPr>
          <w:p>
            <w:pPr>
              <w:pStyle w:val="60"/>
              <w:keepNext w:val="0"/>
              <w:keepLines w:val="0"/>
              <w:suppressLineNumbers w:val="0"/>
              <w:spacing w:before="0" w:beforeAutospacing="0" w:after="0" w:afterAutospacing="0" w:line="262" w:lineRule="exact"/>
              <w:ind w:left="2"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1" w:hRule="exact"/>
        </w:trPr>
        <w:tc>
          <w:tcPr>
            <w:tcW w:w="484" w:type="pct"/>
            <w:tcBorders>
              <w:tl2br w:val="nil"/>
              <w:tr2bl w:val="nil"/>
            </w:tcBorders>
          </w:tcPr>
          <w:p>
            <w:pPr>
              <w:pStyle w:val="60"/>
              <w:keepNext w:val="0"/>
              <w:keepLines w:val="0"/>
              <w:suppressLineNumbers w:val="0"/>
              <w:spacing w:before="4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340" w:type="pct"/>
            <w:tcBorders>
              <w:tl2br w:val="nil"/>
              <w:tr2bl w:val="nil"/>
            </w:tcBorders>
          </w:tcPr>
          <w:p>
            <w:pPr>
              <w:pStyle w:val="60"/>
              <w:keepNext w:val="0"/>
              <w:keepLines w:val="0"/>
              <w:suppressLineNumbers w:val="0"/>
              <w:spacing w:before="0" w:beforeAutospacing="0" w:after="0" w:afterAutospacing="0" w:line="272" w:lineRule="exact"/>
              <w:ind w:left="578"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w:t>
            </w:r>
          </w:p>
        </w:tc>
        <w:tc>
          <w:tcPr>
            <w:tcW w:w="1340" w:type="pct"/>
            <w:tcBorders>
              <w:tl2br w:val="nil"/>
              <w:tr2bl w:val="nil"/>
            </w:tcBorders>
          </w:tcPr>
          <w:p>
            <w:pPr>
              <w:pStyle w:val="60"/>
              <w:keepNext w:val="0"/>
              <w:keepLines w:val="0"/>
              <w:suppressLineNumbers w:val="0"/>
              <w:spacing w:before="44" w:beforeAutospacing="0" w:after="0" w:afterAutospacing="0"/>
              <w:ind w:left="782" w:right="0"/>
              <w:jc w:val="left"/>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0.21~0.52</w:t>
            </w:r>
          </w:p>
        </w:tc>
        <w:tc>
          <w:tcPr>
            <w:tcW w:w="921" w:type="pct"/>
            <w:tcBorders>
              <w:tl2br w:val="nil"/>
              <w:tr2bl w:val="nil"/>
            </w:tcBorders>
          </w:tcPr>
          <w:p>
            <w:pPr>
              <w:pStyle w:val="60"/>
              <w:keepNext w:val="0"/>
              <w:keepLines w:val="0"/>
              <w:suppressLineNumbers w:val="0"/>
              <w:spacing w:before="44" w:beforeAutospacing="0" w:after="0" w:afterAutospacing="0"/>
              <w:ind w:left="403" w:right="0"/>
              <w:jc w:val="left"/>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0.31~0.86</w:t>
            </w:r>
          </w:p>
        </w:tc>
        <w:tc>
          <w:tcPr>
            <w:tcW w:w="912" w:type="pct"/>
            <w:tcBorders>
              <w:tl2br w:val="nil"/>
              <w:tr2bl w:val="nil"/>
            </w:tcBorders>
          </w:tcPr>
          <w:p>
            <w:pPr>
              <w:pStyle w:val="60"/>
              <w:keepNext w:val="0"/>
              <w:keepLines w:val="0"/>
              <w:suppressLineNumbers w:val="0"/>
              <w:spacing w:before="0" w:beforeAutospacing="0" w:after="0" w:afterAutospacing="0" w:line="267" w:lineRule="exact"/>
              <w:ind w:left="2"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exact"/>
        </w:trPr>
        <w:tc>
          <w:tcPr>
            <w:tcW w:w="484" w:type="pct"/>
            <w:tcBorders>
              <w:tl2br w:val="nil"/>
              <w:tr2bl w:val="nil"/>
            </w:tcBorders>
          </w:tcPr>
          <w:p>
            <w:pPr>
              <w:pStyle w:val="60"/>
              <w:keepNext w:val="0"/>
              <w:keepLines w:val="0"/>
              <w:suppressLineNumbers w:val="0"/>
              <w:spacing w:before="46"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340" w:type="pct"/>
            <w:tcBorders>
              <w:tl2br w:val="nil"/>
              <w:tr2bl w:val="nil"/>
            </w:tcBorders>
          </w:tcPr>
          <w:p>
            <w:pPr>
              <w:pStyle w:val="60"/>
              <w:keepNext w:val="0"/>
              <w:keepLines w:val="0"/>
              <w:suppressLineNumbers w:val="0"/>
              <w:spacing w:before="0" w:beforeAutospacing="0" w:after="0" w:afterAutospacing="0" w:line="274" w:lineRule="exact"/>
              <w:ind w:left="789"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1340" w:type="pct"/>
            <w:tcBorders>
              <w:tl2br w:val="nil"/>
              <w:tr2bl w:val="nil"/>
            </w:tcBorders>
          </w:tcPr>
          <w:p>
            <w:pPr>
              <w:pStyle w:val="60"/>
              <w:keepNext w:val="0"/>
              <w:keepLines w:val="0"/>
              <w:suppressLineNumbers w:val="0"/>
              <w:spacing w:before="46" w:beforeAutospacing="0" w:after="0" w:afterAutospacing="0"/>
              <w:ind w:left="0" w:right="2"/>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0.25</w:t>
            </w:r>
          </w:p>
        </w:tc>
        <w:tc>
          <w:tcPr>
            <w:tcW w:w="921" w:type="pct"/>
            <w:tcBorders>
              <w:tl2br w:val="nil"/>
              <w:tr2bl w:val="nil"/>
            </w:tcBorders>
          </w:tcPr>
          <w:p>
            <w:pPr>
              <w:pStyle w:val="60"/>
              <w:keepNext w:val="0"/>
              <w:keepLines w:val="0"/>
              <w:suppressLineNumbers w:val="0"/>
              <w:spacing w:before="46"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0.41</w:t>
            </w:r>
          </w:p>
        </w:tc>
        <w:tc>
          <w:tcPr>
            <w:tcW w:w="912" w:type="pct"/>
            <w:tcBorders>
              <w:tl2br w:val="nil"/>
              <w:tr2bl w:val="nil"/>
            </w:tcBorders>
          </w:tcPr>
          <w:p>
            <w:pPr>
              <w:pStyle w:val="60"/>
              <w:keepNext w:val="0"/>
              <w:keepLines w:val="0"/>
              <w:suppressLineNumbers w:val="0"/>
              <w:spacing w:before="0" w:beforeAutospacing="0" w:after="0" w:afterAutospacing="0" w:line="270" w:lineRule="exact"/>
              <w:ind w:left="2"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1" w:hRule="exact"/>
        </w:trPr>
        <w:tc>
          <w:tcPr>
            <w:tcW w:w="484" w:type="pct"/>
            <w:tcBorders>
              <w:tl2br w:val="nil"/>
              <w:tr2bl w:val="nil"/>
            </w:tcBorders>
          </w:tcPr>
          <w:p>
            <w:pPr>
              <w:pStyle w:val="60"/>
              <w:keepNext w:val="0"/>
              <w:keepLines w:val="0"/>
              <w:suppressLineNumbers w:val="0"/>
              <w:spacing w:before="4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1340" w:type="pct"/>
            <w:tcBorders>
              <w:tl2br w:val="nil"/>
              <w:tr2bl w:val="nil"/>
            </w:tcBorders>
          </w:tcPr>
          <w:p>
            <w:pPr>
              <w:pStyle w:val="60"/>
              <w:keepNext w:val="0"/>
              <w:keepLines w:val="0"/>
              <w:suppressLineNumbers w:val="0"/>
              <w:spacing w:before="0" w:beforeAutospacing="0" w:after="0" w:afterAutospacing="0" w:line="272" w:lineRule="exact"/>
              <w:ind w:left="789"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1340" w:type="pct"/>
            <w:tcBorders>
              <w:tl2br w:val="nil"/>
              <w:tr2bl w:val="nil"/>
            </w:tcBorders>
          </w:tcPr>
          <w:p>
            <w:pPr>
              <w:pStyle w:val="60"/>
              <w:keepNext w:val="0"/>
              <w:keepLines w:val="0"/>
              <w:suppressLineNumbers w:val="0"/>
              <w:spacing w:before="44" w:beforeAutospacing="0" w:after="0" w:afterAutospacing="0"/>
              <w:ind w:left="0" w:right="2"/>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0.16</w:t>
            </w:r>
          </w:p>
        </w:tc>
        <w:tc>
          <w:tcPr>
            <w:tcW w:w="921" w:type="pct"/>
            <w:tcBorders>
              <w:tl2br w:val="nil"/>
              <w:tr2bl w:val="nil"/>
            </w:tcBorders>
          </w:tcPr>
          <w:p>
            <w:pPr>
              <w:pStyle w:val="60"/>
              <w:keepNext w:val="0"/>
              <w:keepLines w:val="0"/>
              <w:suppressLineNumbers w:val="0"/>
              <w:spacing w:before="4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0.29</w:t>
            </w:r>
          </w:p>
        </w:tc>
        <w:tc>
          <w:tcPr>
            <w:tcW w:w="912" w:type="pct"/>
            <w:tcBorders>
              <w:tl2br w:val="nil"/>
              <w:tr2bl w:val="nil"/>
            </w:tcBorders>
          </w:tcPr>
          <w:p>
            <w:pPr>
              <w:pStyle w:val="60"/>
              <w:keepNext w:val="0"/>
              <w:keepLines w:val="0"/>
              <w:suppressLineNumbers w:val="0"/>
              <w:spacing w:before="0" w:beforeAutospacing="0" w:after="0" w:afterAutospacing="0" w:line="267" w:lineRule="exact"/>
              <w:ind w:left="2"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否</w:t>
            </w:r>
          </w:p>
        </w:tc>
      </w:tr>
    </w:tbl>
    <w:p>
      <w:pPr>
        <w:spacing w:before="6"/>
        <w:ind w:firstLine="60"/>
        <w:rPr>
          <w:rFonts w:ascii="黑体" w:hAnsi="黑体" w:eastAsia="黑体" w:cs="黑体"/>
          <w:color w:val="000000" w:themeColor="text1"/>
          <w:sz w:val="3"/>
          <w:szCs w:val="3"/>
          <w14:textFill>
            <w14:solidFill>
              <w14:schemeClr w14:val="tx1"/>
            </w14:solidFill>
          </w14:textFill>
        </w:rPr>
      </w:pPr>
    </w:p>
    <w:tbl>
      <w:tblPr>
        <w:tblStyle w:val="39"/>
        <w:tblW w:w="499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59"/>
        <w:gridCol w:w="41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4" w:hRule="atLeast"/>
          <w:jc w:val="center"/>
        </w:trPr>
        <w:tc>
          <w:tcPr>
            <w:tcW w:w="2584" w:type="pct"/>
          </w:tcPr>
          <w:p>
            <w:pPr>
              <w:keepNext w:val="0"/>
              <w:keepLines w:val="0"/>
              <w:suppressLineNumbers w:val="0"/>
              <w:spacing w:before="0" w:beforeAutospacing="0" w:after="0" w:afterAutospacing="0" w:line="3350" w:lineRule="exact"/>
              <w:ind w:left="0" w:right="0"/>
              <w:jc w:val="center"/>
              <w:rPr>
                <w:rFonts w:hint="default" w:ascii="黑体"/>
                <w:color w:val="000000" w:themeColor="text1"/>
                <w:position w:val="-66"/>
                <w:sz w:val="20"/>
                <w14:textFill>
                  <w14:solidFill>
                    <w14:schemeClr w14:val="tx1"/>
                  </w14:solidFill>
                </w14:textFill>
              </w:rPr>
            </w:pPr>
            <w:r>
              <w:rPr>
                <w:rFonts w:hint="default" w:ascii="黑体"/>
                <w:color w:val="000000" w:themeColor="text1"/>
                <w:position w:val="-66"/>
                <w:sz w:val="20"/>
                <w14:textFill>
                  <w14:solidFill>
                    <w14:schemeClr w14:val="tx1"/>
                  </w14:solidFill>
                </w14:textFill>
              </w:rPr>
              <w:drawing>
                <wp:inline distT="0" distB="0" distL="0" distR="0">
                  <wp:extent cx="2692400" cy="2020570"/>
                  <wp:effectExtent l="0" t="0" r="12700" b="17780"/>
                  <wp:docPr id="807"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195.jpeg"/>
                          <pic:cNvPicPr>
                            <a:picLocks noChangeAspect="1"/>
                          </pic:cNvPicPr>
                        </pic:nvPicPr>
                        <pic:blipFill>
                          <a:blip r:embed="rId33" cstate="print"/>
                          <a:stretch>
                            <a:fillRect/>
                          </a:stretch>
                        </pic:blipFill>
                        <pic:spPr>
                          <a:xfrm>
                            <a:off x="0" y="0"/>
                            <a:ext cx="2692400" cy="2020570"/>
                          </a:xfrm>
                          <a:prstGeom prst="rect">
                            <a:avLst/>
                          </a:prstGeom>
                        </pic:spPr>
                      </pic:pic>
                    </a:graphicData>
                  </a:graphic>
                </wp:inline>
              </w:drawing>
            </w:r>
          </w:p>
        </w:tc>
        <w:tc>
          <w:tcPr>
            <w:tcW w:w="2415" w:type="pct"/>
          </w:tcPr>
          <w:p>
            <w:pPr>
              <w:keepNext w:val="0"/>
              <w:keepLines w:val="0"/>
              <w:suppressLineNumbers w:val="0"/>
              <w:spacing w:before="0" w:beforeAutospacing="0" w:after="0" w:afterAutospacing="0" w:line="3350" w:lineRule="exact"/>
              <w:ind w:left="0" w:right="0"/>
              <w:jc w:val="center"/>
              <w:rPr>
                <w:rFonts w:hint="default" w:ascii="黑体"/>
                <w:color w:val="000000" w:themeColor="text1"/>
                <w:position w:val="-66"/>
                <w:sz w:val="20"/>
                <w14:textFill>
                  <w14:solidFill>
                    <w14:schemeClr w14:val="tx1"/>
                  </w14:solidFill>
                </w14:textFill>
              </w:rPr>
            </w:pPr>
            <w:r>
              <w:rPr>
                <w:rFonts w:hint="default" w:ascii="黑体"/>
                <w:color w:val="000000" w:themeColor="text1"/>
                <w:spacing w:val="103"/>
                <w:position w:val="-65"/>
                <w:sz w:val="20"/>
                <w14:textFill>
                  <w14:solidFill>
                    <w14:schemeClr w14:val="tx1"/>
                  </w14:solidFill>
                </w14:textFill>
              </w:rPr>
              <w:drawing>
                <wp:inline distT="0" distB="0" distL="0" distR="0">
                  <wp:extent cx="2536190" cy="1969770"/>
                  <wp:effectExtent l="0" t="0" r="16510" b="11430"/>
                  <wp:docPr id="809"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196.jpeg"/>
                          <pic:cNvPicPr>
                            <a:picLocks noChangeAspect="1"/>
                          </pic:cNvPicPr>
                        </pic:nvPicPr>
                        <pic:blipFill>
                          <a:blip r:embed="rId34" cstate="print"/>
                          <a:stretch>
                            <a:fillRect/>
                          </a:stretch>
                        </pic:blipFill>
                        <pic:spPr>
                          <a:xfrm>
                            <a:off x="0" y="0"/>
                            <a:ext cx="2536190" cy="196977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 w:hRule="atLeast"/>
          <w:jc w:val="center"/>
        </w:trPr>
        <w:tc>
          <w:tcPr>
            <w:tcW w:w="2584"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ascii="宋体" w:hAnsi="宋体" w:cs="宋体"/>
                <w:color w:val="000000" w:themeColor="text1"/>
                <w:spacing w:val="-2"/>
                <w14:textFill>
                  <w14:solidFill>
                    <w14:schemeClr w14:val="tx1"/>
                  </w14:solidFill>
                </w14:textFill>
              </w:rPr>
              <w:t>南五支渠现状渠道未硬化，渗漏</w:t>
            </w:r>
          </w:p>
        </w:tc>
        <w:tc>
          <w:tcPr>
            <w:tcW w:w="2415" w:type="pct"/>
          </w:tcPr>
          <w:p>
            <w:pPr>
              <w:keepNext w:val="0"/>
              <w:keepLines w:val="0"/>
              <w:suppressLineNumbers w:val="0"/>
              <w:tabs>
                <w:tab w:val="left" w:pos="4520"/>
              </w:tabs>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ascii="宋体" w:hAnsi="宋体" w:cs="宋体"/>
                <w:color w:val="000000" w:themeColor="text1"/>
                <w:spacing w:val="-2"/>
                <w14:textFill>
                  <w14:solidFill>
                    <w14:schemeClr w14:val="tx1"/>
                  </w14:solidFill>
                </w14:textFill>
              </w:rPr>
              <w:t>渠道破损，分水口缺乏控制性工程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5000" w:type="pct"/>
            <w:gridSpan w:val="2"/>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eastAsia="黑体"/>
                <w:color w:val="000000" w:themeColor="text1"/>
                <w:kern w:val="0"/>
                <w:sz w:val="24"/>
                <w:szCs w:val="24"/>
                <w14:textFill>
                  <w14:solidFill>
                    <w14:schemeClr w14:val="tx1"/>
                  </w14:solidFill>
                </w14:textFill>
              </w:rPr>
              <w:t>图</w:t>
            </w:r>
            <w:r>
              <w:rPr>
                <w:rFonts w:hint="eastAsia" w:eastAsia="黑体"/>
                <w:color w:val="000000" w:themeColor="text1"/>
                <w:kern w:val="0"/>
                <w:sz w:val="24"/>
                <w:szCs w:val="24"/>
                <w14:textFill>
                  <w14:solidFill>
                    <w14:schemeClr w14:val="tx1"/>
                  </w14:solidFill>
                </w14:textFill>
              </w:rPr>
              <w:t>2.2-3</w:t>
            </w:r>
            <w:r>
              <w:rPr>
                <w:rFonts w:hint="default" w:eastAsia="黑体"/>
                <w:color w:val="000000" w:themeColor="text1"/>
                <w:kern w:val="0"/>
                <w:sz w:val="24"/>
                <w:szCs w:val="24"/>
                <w14:textFill>
                  <w14:solidFill>
                    <w14:schemeClr w14:val="tx1"/>
                  </w14:solidFill>
                </w14:textFill>
              </w:rPr>
              <w:t>南五支渠现状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2584"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color w:val="000000" w:themeColor="text1"/>
                <w:position w:val="-66"/>
                <w:sz w:val="20"/>
                <w14:textFill>
                  <w14:solidFill>
                    <w14:schemeClr w14:val="tx1"/>
                  </w14:solidFill>
                </w14:textFill>
              </w:rPr>
              <w:drawing>
                <wp:inline distT="0" distB="0" distL="0" distR="0">
                  <wp:extent cx="2769870" cy="2076450"/>
                  <wp:effectExtent l="0" t="0" r="11430" b="0"/>
                  <wp:docPr id="50"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98.jpeg"/>
                          <pic:cNvPicPr>
                            <a:picLocks noChangeAspect="1"/>
                          </pic:cNvPicPr>
                        </pic:nvPicPr>
                        <pic:blipFill>
                          <a:blip r:embed="rId35" cstate="print"/>
                          <a:stretch>
                            <a:fillRect/>
                          </a:stretch>
                        </pic:blipFill>
                        <pic:spPr>
                          <a:xfrm>
                            <a:off x="0" y="0"/>
                            <a:ext cx="2769870" cy="2076450"/>
                          </a:xfrm>
                          <a:prstGeom prst="rect">
                            <a:avLst/>
                          </a:prstGeom>
                        </pic:spPr>
                      </pic:pic>
                    </a:graphicData>
                  </a:graphic>
                </wp:inline>
              </w:drawing>
            </w:r>
          </w:p>
        </w:tc>
        <w:tc>
          <w:tcPr>
            <w:tcW w:w="2415"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color w:val="000000" w:themeColor="text1"/>
                <w:spacing w:val="36"/>
                <w:position w:val="-66"/>
                <w:sz w:val="20"/>
                <w14:textFill>
                  <w14:solidFill>
                    <w14:schemeClr w14:val="tx1"/>
                  </w14:solidFill>
                </w14:textFill>
              </w:rPr>
              <w:drawing>
                <wp:inline distT="0" distB="0" distL="0" distR="0">
                  <wp:extent cx="2642870" cy="2059940"/>
                  <wp:effectExtent l="0" t="0" r="5080" b="16510"/>
                  <wp:docPr id="51"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99.jpeg"/>
                          <pic:cNvPicPr>
                            <a:picLocks noChangeAspect="1"/>
                          </pic:cNvPicPr>
                        </pic:nvPicPr>
                        <pic:blipFill>
                          <a:blip r:embed="rId36" cstate="print"/>
                          <a:stretch>
                            <a:fillRect/>
                          </a:stretch>
                        </pic:blipFill>
                        <pic:spPr>
                          <a:xfrm>
                            <a:off x="0" y="0"/>
                            <a:ext cx="2642870" cy="20599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2584"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ascii="宋体" w:hAnsi="宋体" w:cs="宋体"/>
                <w:color w:val="000000" w:themeColor="text1"/>
                <w:spacing w:val="-2"/>
                <w14:textFill>
                  <w14:solidFill>
                    <w14:schemeClr w14:val="tx1"/>
                  </w14:solidFill>
                </w14:textFill>
              </w:rPr>
              <w:t>南六支渠取水点缺乏控制性工程</w:t>
            </w:r>
          </w:p>
        </w:tc>
        <w:tc>
          <w:tcPr>
            <w:tcW w:w="2415"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ascii="宋体" w:hAnsi="宋体" w:cs="宋体"/>
                <w:color w:val="000000" w:themeColor="text1"/>
                <w:spacing w:val="-1"/>
                <w14:textFill>
                  <w14:solidFill>
                    <w14:schemeClr w14:val="tx1"/>
                  </w14:solidFill>
                </w14:textFill>
              </w:rPr>
              <w:t>渠道破损，渗漏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5000" w:type="pct"/>
            <w:gridSpan w:val="2"/>
          </w:tcPr>
          <w:p>
            <w:pPr>
              <w:pStyle w:val="14"/>
              <w:keepNext w:val="0"/>
              <w:keepLines w:val="0"/>
              <w:suppressLineNumbers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eastAsia="黑体"/>
                <w:color w:val="000000" w:themeColor="text1"/>
                <w:kern w:val="0"/>
                <w14:textFill>
                  <w14:solidFill>
                    <w14:schemeClr w14:val="tx1"/>
                  </w14:solidFill>
                </w14:textFill>
              </w:rPr>
              <w:t>图</w:t>
            </w:r>
            <w:r>
              <w:rPr>
                <w:rFonts w:hint="eastAsia" w:eastAsia="黑体"/>
                <w:color w:val="000000" w:themeColor="text1"/>
                <w:kern w:val="0"/>
                <w14:textFill>
                  <w14:solidFill>
                    <w14:schemeClr w14:val="tx1"/>
                  </w14:solidFill>
                </w14:textFill>
              </w:rPr>
              <w:t>2.2-4</w:t>
            </w:r>
            <w:r>
              <w:rPr>
                <w:rFonts w:hint="default" w:eastAsia="黑体"/>
                <w:color w:val="000000" w:themeColor="text1"/>
                <w:kern w:val="0"/>
                <w14:textFill>
                  <w14:solidFill>
                    <w14:schemeClr w14:val="tx1"/>
                  </w14:solidFill>
                </w14:textFill>
              </w:rPr>
              <w:t>南六支渠现状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2584" w:type="pct"/>
          </w:tcPr>
          <w:p>
            <w:pPr>
              <w:keepNext w:val="0"/>
              <w:keepLines w:val="0"/>
              <w:suppressLineNumbers w:val="0"/>
              <w:adjustRightInd w:val="0"/>
              <w:snapToGrid w:val="0"/>
              <w:spacing w:before="0" w:beforeAutospacing="0" w:after="0" w:afterAutospacing="0"/>
              <w:ind w:left="0" w:right="0"/>
              <w:jc w:val="center"/>
              <w:rPr>
                <w:rFonts w:hint="default" w:ascii="黑体"/>
                <w:b/>
                <w:bCs/>
                <w:color w:val="000000" w:themeColor="text1"/>
                <w:position w:val="-66"/>
                <w:sz w:val="20"/>
                <w14:textFill>
                  <w14:solidFill>
                    <w14:schemeClr w14:val="tx1"/>
                  </w14:solidFill>
                </w14:textFill>
              </w:rPr>
            </w:pPr>
            <w:r>
              <w:rPr>
                <w:rFonts w:hint="default" w:ascii="黑体"/>
                <w:color w:val="000000" w:themeColor="text1"/>
                <w:position w:val="-60"/>
                <w:sz w:val="20"/>
                <w14:textFill>
                  <w14:solidFill>
                    <w14:schemeClr w14:val="tx1"/>
                  </w14:solidFill>
                </w14:textFill>
              </w:rPr>
              <w:drawing>
                <wp:inline distT="0" distB="0" distL="0" distR="0">
                  <wp:extent cx="2769235" cy="2068195"/>
                  <wp:effectExtent l="0" t="0" r="12065" b="8255"/>
                  <wp:docPr id="95"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12.png"/>
                          <pic:cNvPicPr>
                            <a:picLocks noChangeAspect="1"/>
                          </pic:cNvPicPr>
                        </pic:nvPicPr>
                        <pic:blipFill>
                          <a:blip r:embed="rId37" cstate="print"/>
                          <a:stretch>
                            <a:fillRect/>
                          </a:stretch>
                        </pic:blipFill>
                        <pic:spPr>
                          <a:xfrm>
                            <a:off x="0" y="0"/>
                            <a:ext cx="2769235" cy="2068195"/>
                          </a:xfrm>
                          <a:prstGeom prst="rect">
                            <a:avLst/>
                          </a:prstGeom>
                        </pic:spPr>
                      </pic:pic>
                    </a:graphicData>
                  </a:graphic>
                </wp:inline>
              </w:drawing>
            </w:r>
          </w:p>
        </w:tc>
        <w:tc>
          <w:tcPr>
            <w:tcW w:w="2415"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ascii="黑体"/>
                <w:color w:val="000000" w:themeColor="text1"/>
                <w:position w:val="-60"/>
                <w:sz w:val="20"/>
                <w14:textFill>
                  <w14:solidFill>
                    <w14:schemeClr w14:val="tx1"/>
                  </w14:solidFill>
                </w14:textFill>
              </w:rPr>
              <w:drawing>
                <wp:inline distT="0" distB="0" distL="0" distR="0">
                  <wp:extent cx="2640330" cy="2050415"/>
                  <wp:effectExtent l="0" t="0" r="7620" b="6985"/>
                  <wp:docPr id="96"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87.png"/>
                          <pic:cNvPicPr>
                            <a:picLocks noChangeAspect="1"/>
                          </pic:cNvPicPr>
                        </pic:nvPicPr>
                        <pic:blipFill>
                          <a:blip r:embed="rId38" cstate="print"/>
                          <a:stretch>
                            <a:fillRect/>
                          </a:stretch>
                        </pic:blipFill>
                        <pic:spPr>
                          <a:xfrm>
                            <a:off x="0" y="0"/>
                            <a:ext cx="2640330" cy="205041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2584"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ascii="宋体" w:hAnsi="宋体" w:cs="宋体"/>
                <w:color w:val="000000" w:themeColor="text1"/>
                <w:spacing w:val="-2"/>
                <w14:textFill>
                  <w14:solidFill>
                    <w14:schemeClr w14:val="tx1"/>
                  </w14:solidFill>
                </w14:textFill>
              </w:rPr>
              <w:t>渠道淤积，渠底渗漏，岸坡滑坡</w:t>
            </w:r>
          </w:p>
        </w:tc>
        <w:tc>
          <w:tcPr>
            <w:tcW w:w="2415"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6"/>
                <w:sz w:val="20"/>
                <w14:textFill>
                  <w14:solidFill>
                    <w14:schemeClr w14:val="tx1"/>
                  </w14:solidFill>
                </w14:textFill>
              </w:rPr>
            </w:pPr>
            <w:r>
              <w:rPr>
                <w:rFonts w:hint="default" w:ascii="宋体" w:hAnsi="宋体" w:cs="宋体"/>
                <w:color w:val="000000" w:themeColor="text1"/>
                <w:spacing w:val="-1"/>
                <w14:textFill>
                  <w14:solidFill>
                    <w14:schemeClr w14:val="tx1"/>
                  </w14:solidFill>
                </w14:textFill>
              </w:rPr>
              <w:t>边坡破损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5000" w:type="pct"/>
            <w:gridSpan w:val="2"/>
          </w:tcPr>
          <w:p>
            <w:pPr>
              <w:pStyle w:val="14"/>
              <w:keepNext w:val="0"/>
              <w:keepLines w:val="0"/>
              <w:suppressLineNumbers w:val="0"/>
              <w:spacing w:before="0" w:beforeAutospacing="0" w:after="0" w:afterAutospacing="0"/>
              <w:ind w:left="0" w:right="0"/>
              <w:jc w:val="center"/>
              <w:rPr>
                <w:rFonts w:hint="default" w:ascii="宋体" w:hAnsi="宋体" w:cs="宋体"/>
                <w:color w:val="000000" w:themeColor="text1"/>
                <w:spacing w:val="-1"/>
                <w:sz w:val="21"/>
                <w:szCs w:val="21"/>
                <w14:textFill>
                  <w14:solidFill>
                    <w14:schemeClr w14:val="tx1"/>
                  </w14:solidFill>
                </w14:textFill>
              </w:rPr>
            </w:pPr>
            <w:r>
              <w:rPr>
                <w:rFonts w:hint="default" w:eastAsia="黑体"/>
                <w:color w:val="000000" w:themeColor="text1"/>
                <w:kern w:val="0"/>
                <w14:textFill>
                  <w14:solidFill>
                    <w14:schemeClr w14:val="tx1"/>
                  </w14:solidFill>
                </w14:textFill>
              </w:rPr>
              <w:t>图</w:t>
            </w:r>
            <w:r>
              <w:rPr>
                <w:rFonts w:hint="eastAsia" w:eastAsia="黑体"/>
                <w:color w:val="000000" w:themeColor="text1"/>
                <w:kern w:val="0"/>
                <w14:textFill>
                  <w14:solidFill>
                    <w14:schemeClr w14:val="tx1"/>
                  </w14:solidFill>
                </w14:textFill>
              </w:rPr>
              <w:t>2.2-5</w:t>
            </w:r>
            <w:r>
              <w:rPr>
                <w:rFonts w:hint="default" w:eastAsia="黑体"/>
                <w:color w:val="000000" w:themeColor="text1"/>
                <w:kern w:val="0"/>
                <w14:textFill>
                  <w14:solidFill>
                    <w14:schemeClr w14:val="tx1"/>
                  </w14:solidFill>
                </w14:textFill>
              </w:rPr>
              <w:t>北支一渠（上）现状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2584" w:type="pct"/>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spacing w:val="-2"/>
                <w14:textFill>
                  <w14:solidFill>
                    <w14:schemeClr w14:val="tx1"/>
                  </w14:solidFill>
                </w14:textFill>
              </w:rPr>
            </w:pPr>
            <w:r>
              <w:rPr>
                <w:rFonts w:hint="default" w:ascii="黑体"/>
                <w:color w:val="000000" w:themeColor="text1"/>
                <w:position w:val="-60"/>
                <w:sz w:val="20"/>
                <w14:textFill>
                  <w14:solidFill>
                    <w14:schemeClr w14:val="tx1"/>
                  </w14:solidFill>
                </w14:textFill>
              </w:rPr>
              <w:drawing>
                <wp:inline distT="0" distB="0" distL="0" distR="0">
                  <wp:extent cx="2704465" cy="1911350"/>
                  <wp:effectExtent l="0" t="0" r="635" b="12700"/>
                  <wp:docPr id="97"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13.png"/>
                          <pic:cNvPicPr>
                            <a:picLocks noChangeAspect="1"/>
                          </pic:cNvPicPr>
                        </pic:nvPicPr>
                        <pic:blipFill>
                          <a:blip r:embed="rId39" cstate="print"/>
                          <a:stretch>
                            <a:fillRect/>
                          </a:stretch>
                        </pic:blipFill>
                        <pic:spPr>
                          <a:xfrm>
                            <a:off x="0" y="0"/>
                            <a:ext cx="2704465" cy="1911350"/>
                          </a:xfrm>
                          <a:prstGeom prst="rect">
                            <a:avLst/>
                          </a:prstGeom>
                        </pic:spPr>
                      </pic:pic>
                    </a:graphicData>
                  </a:graphic>
                </wp:inline>
              </w:drawing>
            </w:r>
          </w:p>
        </w:tc>
        <w:tc>
          <w:tcPr>
            <w:tcW w:w="2415" w:type="pct"/>
          </w:tcPr>
          <w:p>
            <w:pPr>
              <w:keepNext w:val="0"/>
              <w:keepLines w:val="0"/>
              <w:suppressLineNumbers w:val="0"/>
              <w:adjustRightInd w:val="0"/>
              <w:snapToGrid w:val="0"/>
              <w:spacing w:before="0" w:beforeAutospacing="0" w:after="0" w:afterAutospacing="0"/>
              <w:ind w:left="0" w:right="0"/>
              <w:jc w:val="center"/>
              <w:rPr>
                <w:rFonts w:hint="default" w:ascii="宋体" w:hAnsi="宋体" w:cs="宋体"/>
                <w:color w:val="000000" w:themeColor="text1"/>
                <w:spacing w:val="-1"/>
                <w14:textFill>
                  <w14:solidFill>
                    <w14:schemeClr w14:val="tx1"/>
                  </w14:solidFill>
                </w14:textFill>
              </w:rPr>
            </w:pPr>
            <w:r>
              <w:rPr>
                <w:rFonts w:hint="default" w:ascii="黑体"/>
                <w:color w:val="000000" w:themeColor="text1"/>
                <w:position w:val="-60"/>
                <w:sz w:val="20"/>
                <w14:textFill>
                  <w14:solidFill>
                    <w14:schemeClr w14:val="tx1"/>
                  </w14:solidFill>
                </w14:textFill>
              </w:rPr>
              <w:drawing>
                <wp:inline distT="0" distB="0" distL="0" distR="0">
                  <wp:extent cx="2523490" cy="1894205"/>
                  <wp:effectExtent l="0" t="0" r="10160" b="10795"/>
                  <wp:docPr id="98"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90.png"/>
                          <pic:cNvPicPr>
                            <a:picLocks noChangeAspect="1"/>
                          </pic:cNvPicPr>
                        </pic:nvPicPr>
                        <pic:blipFill>
                          <a:blip r:embed="rId40" cstate="print"/>
                          <a:stretch>
                            <a:fillRect/>
                          </a:stretch>
                        </pic:blipFill>
                        <pic:spPr>
                          <a:xfrm>
                            <a:off x="0" y="0"/>
                            <a:ext cx="2523490" cy="189420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5000" w:type="pct"/>
            <w:gridSpan w:val="2"/>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0"/>
                <w:sz w:val="20"/>
                <w14:textFill>
                  <w14:solidFill>
                    <w14:schemeClr w14:val="tx1"/>
                  </w14:solidFill>
                </w14:textFill>
              </w:rPr>
            </w:pPr>
            <w:r>
              <w:rPr>
                <w:rFonts w:hint="default" w:ascii="宋体" w:hAnsi="宋体" w:cs="宋体"/>
                <w:color w:val="000000" w:themeColor="text1"/>
                <w:spacing w:val="-2"/>
                <w14:textFill>
                  <w14:solidFill>
                    <w14:schemeClr w14:val="tx1"/>
                  </w14:solidFill>
                </w14:textFill>
              </w:rPr>
              <w:t>渠道淤积，补水能力不足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5000" w:type="pct"/>
            <w:gridSpan w:val="2"/>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0"/>
                <w:sz w:val="20"/>
                <w14:textFill>
                  <w14:solidFill>
                    <w14:schemeClr w14:val="tx1"/>
                  </w14:solidFill>
                </w14:textFill>
              </w:rPr>
            </w:pPr>
            <w:r>
              <w:rPr>
                <w:rFonts w:hint="default" w:eastAsia="黑体"/>
                <w:color w:val="000000" w:themeColor="text1"/>
                <w:kern w:val="0"/>
                <w:sz w:val="24"/>
                <w:szCs w:val="24"/>
                <w14:textFill>
                  <w14:solidFill>
                    <w14:schemeClr w14:val="tx1"/>
                  </w14:solidFill>
                </w14:textFill>
              </w:rPr>
              <w:t>图</w:t>
            </w:r>
            <w:r>
              <w:rPr>
                <w:rFonts w:hint="eastAsia" w:eastAsia="黑体"/>
                <w:color w:val="000000" w:themeColor="text1"/>
                <w:kern w:val="0"/>
                <w:sz w:val="24"/>
                <w:szCs w:val="24"/>
                <w14:textFill>
                  <w14:solidFill>
                    <w14:schemeClr w14:val="tx1"/>
                  </w14:solidFill>
                </w14:textFill>
              </w:rPr>
              <w:t>2.2-6</w:t>
            </w:r>
            <w:r>
              <w:rPr>
                <w:rFonts w:hint="default" w:eastAsia="黑体"/>
                <w:color w:val="000000" w:themeColor="text1"/>
                <w:kern w:val="0"/>
                <w:sz w:val="24"/>
                <w:szCs w:val="24"/>
                <w14:textFill>
                  <w14:solidFill>
                    <w14:schemeClr w14:val="tx1"/>
                  </w14:solidFill>
                </w14:textFill>
              </w:rPr>
              <w:t>董家堰补水渠（上）现状（渠道淤积，补水能力不</w:t>
            </w:r>
            <w:r>
              <w:rPr>
                <w:rFonts w:hint="eastAsia" w:eastAsia="黑体"/>
                <w:color w:val="000000" w:themeColor="text1"/>
                <w:kern w:val="0"/>
                <w:sz w:val="24"/>
                <w:szCs w:val="24"/>
                <w14:textFill>
                  <w14:solidFill>
                    <w14:schemeClr w14:val="tx1"/>
                  </w14:solidFill>
                </w14:textFill>
              </w:rPr>
              <w:t>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2584" w:type="pct"/>
          </w:tcPr>
          <w:p>
            <w:pPr>
              <w:keepNext w:val="0"/>
              <w:keepLines w:val="0"/>
              <w:suppressLineNumbers w:val="0"/>
              <w:adjustRightInd w:val="0"/>
              <w:snapToGrid w:val="0"/>
              <w:spacing w:before="0" w:beforeAutospacing="0" w:after="0" w:afterAutospacing="0"/>
              <w:ind w:left="0" w:right="0"/>
              <w:jc w:val="center"/>
              <w:rPr>
                <w:rFonts w:hint="default" w:eastAsia="黑体"/>
                <w:color w:val="000000" w:themeColor="text1"/>
                <w:kern w:val="0"/>
                <w:sz w:val="24"/>
                <w:szCs w:val="24"/>
                <w14:textFill>
                  <w14:solidFill>
                    <w14:schemeClr w14:val="tx1"/>
                  </w14:solidFill>
                </w14:textFill>
              </w:rPr>
            </w:pPr>
            <w:r>
              <w:rPr>
                <w:rFonts w:hint="default" w:eastAsia="Times New Roman"/>
                <w:color w:val="000000" w:themeColor="text1"/>
                <w:position w:val="-68"/>
                <w:sz w:val="20"/>
                <w:szCs w:val="20"/>
                <w14:textFill>
                  <w14:solidFill>
                    <w14:schemeClr w14:val="tx1"/>
                  </w14:solidFill>
                </w14:textFill>
              </w:rPr>
              <w:drawing>
                <wp:inline distT="0" distB="0" distL="0" distR="0">
                  <wp:extent cx="2732405" cy="2049145"/>
                  <wp:effectExtent l="0" t="0" r="10795" b="8255"/>
                  <wp:docPr id="99"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14.png"/>
                          <pic:cNvPicPr>
                            <a:picLocks noChangeAspect="1"/>
                          </pic:cNvPicPr>
                        </pic:nvPicPr>
                        <pic:blipFill>
                          <a:blip r:embed="rId41" cstate="print"/>
                          <a:stretch>
                            <a:fillRect/>
                          </a:stretch>
                        </pic:blipFill>
                        <pic:spPr>
                          <a:xfrm>
                            <a:off x="0" y="0"/>
                            <a:ext cx="2732405" cy="2049145"/>
                          </a:xfrm>
                          <a:prstGeom prst="rect">
                            <a:avLst/>
                          </a:prstGeom>
                        </pic:spPr>
                      </pic:pic>
                    </a:graphicData>
                  </a:graphic>
                </wp:inline>
              </w:drawing>
            </w:r>
          </w:p>
        </w:tc>
        <w:tc>
          <w:tcPr>
            <w:tcW w:w="2415" w:type="pct"/>
          </w:tcPr>
          <w:p>
            <w:pPr>
              <w:keepNext w:val="0"/>
              <w:keepLines w:val="0"/>
              <w:suppressLineNumbers w:val="0"/>
              <w:adjustRightInd w:val="0"/>
              <w:snapToGrid w:val="0"/>
              <w:spacing w:before="0" w:beforeAutospacing="0" w:after="0" w:afterAutospacing="0"/>
              <w:ind w:left="0" w:right="0"/>
              <w:jc w:val="center"/>
              <w:rPr>
                <w:rFonts w:hint="default" w:ascii="黑体"/>
                <w:color w:val="000000" w:themeColor="text1"/>
                <w:position w:val="-60"/>
                <w:sz w:val="20"/>
                <w14:textFill>
                  <w14:solidFill>
                    <w14:schemeClr w14:val="tx1"/>
                  </w14:solidFill>
                </w14:textFill>
              </w:rPr>
            </w:pPr>
            <w:r>
              <w:rPr>
                <w:rFonts w:hint="default" w:eastAsia="黑体"/>
                <w:color w:val="000000" w:themeColor="text1"/>
                <w:kern w:val="0"/>
                <w:sz w:val="24"/>
                <w:szCs w:val="24"/>
                <w14:textFill>
                  <w14:solidFill>
                    <w14:schemeClr w14:val="tx1"/>
                  </w14:solidFill>
                </w14:textFill>
              </w:rPr>
              <w:drawing>
                <wp:inline distT="0" distB="0" distL="114300" distR="114300">
                  <wp:extent cx="2557780" cy="2027555"/>
                  <wp:effectExtent l="0" t="0" r="13970" b="1079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2"/>
                          <a:stretch>
                            <a:fillRect/>
                          </a:stretch>
                        </pic:blipFill>
                        <pic:spPr>
                          <a:xfrm>
                            <a:off x="0" y="0"/>
                            <a:ext cx="2557780" cy="20275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5000" w:type="pct"/>
            <w:gridSpan w:val="2"/>
          </w:tcPr>
          <w:p>
            <w:pPr>
              <w:keepNext w:val="0"/>
              <w:keepLines w:val="0"/>
              <w:suppressLineNumbers w:val="0"/>
              <w:adjustRightInd w:val="0"/>
              <w:snapToGrid w:val="0"/>
              <w:spacing w:before="0" w:beforeAutospacing="0" w:after="0" w:afterAutospacing="0"/>
              <w:ind w:left="0" w:right="0"/>
              <w:jc w:val="center"/>
              <w:rPr>
                <w:rFonts w:hint="default" w:eastAsia="黑体"/>
                <w:color w:val="000000" w:themeColor="text1"/>
                <w:kern w:val="0"/>
                <w:sz w:val="24"/>
                <w:szCs w:val="24"/>
                <w14:textFill>
                  <w14:solidFill>
                    <w14:schemeClr w14:val="tx1"/>
                  </w14:solidFill>
                </w14:textFill>
              </w:rPr>
            </w:pPr>
            <w:r>
              <w:rPr>
                <w:rFonts w:hint="default" w:ascii="宋体" w:hAnsi="宋体" w:cs="宋体"/>
                <w:color w:val="000000" w:themeColor="text1"/>
                <w:spacing w:val="-2"/>
                <w14:textFill>
                  <w14:solidFill>
                    <w14:schemeClr w14:val="tx1"/>
                  </w14:solidFill>
                </w14:textFill>
              </w:rPr>
              <w:t>渠道淤积，补水能力不足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jc w:val="center"/>
        </w:trPr>
        <w:tc>
          <w:tcPr>
            <w:tcW w:w="5000" w:type="pct"/>
            <w:gridSpan w:val="2"/>
          </w:tcPr>
          <w:p>
            <w:pPr>
              <w:keepNext w:val="0"/>
              <w:keepLines w:val="0"/>
              <w:suppressLineNumbers w:val="0"/>
              <w:adjustRightInd w:val="0"/>
              <w:snapToGrid w:val="0"/>
              <w:spacing w:before="0" w:beforeAutospacing="0" w:after="0" w:afterAutospacing="0"/>
              <w:ind w:left="0" w:right="0"/>
              <w:jc w:val="center"/>
              <w:rPr>
                <w:rFonts w:hint="default" w:eastAsia="黑体"/>
                <w:color w:val="000000" w:themeColor="text1"/>
                <w:kern w:val="0"/>
                <w:sz w:val="24"/>
                <w:szCs w:val="24"/>
                <w14:textFill>
                  <w14:solidFill>
                    <w14:schemeClr w14:val="tx1"/>
                  </w14:solidFill>
                </w14:textFill>
              </w:rPr>
            </w:pPr>
            <w:r>
              <w:rPr>
                <w:rFonts w:hint="default" w:eastAsia="黑体"/>
                <w:color w:val="000000" w:themeColor="text1"/>
                <w:kern w:val="0"/>
                <w:sz w:val="24"/>
                <w:szCs w:val="24"/>
                <w14:textFill>
                  <w14:solidFill>
                    <w14:schemeClr w14:val="tx1"/>
                  </w14:solidFill>
                </w14:textFill>
              </w:rPr>
              <w:t>图</w:t>
            </w:r>
            <w:r>
              <w:rPr>
                <w:rFonts w:hint="eastAsia" w:eastAsia="黑体"/>
                <w:color w:val="000000" w:themeColor="text1"/>
                <w:kern w:val="0"/>
                <w:sz w:val="24"/>
                <w:szCs w:val="24"/>
                <w14:textFill>
                  <w14:solidFill>
                    <w14:schemeClr w14:val="tx1"/>
                  </w14:solidFill>
                </w14:textFill>
              </w:rPr>
              <w:t>2.2-7</w:t>
            </w:r>
            <w:r>
              <w:rPr>
                <w:rFonts w:hint="default" w:eastAsia="黑体"/>
                <w:color w:val="000000" w:themeColor="text1"/>
                <w:kern w:val="0"/>
                <w:sz w:val="24"/>
                <w:szCs w:val="24"/>
                <w14:textFill>
                  <w14:solidFill>
                    <w14:schemeClr w14:val="tx1"/>
                  </w14:solidFill>
                </w14:textFill>
              </w:rPr>
              <w:t>董家堰补水渠（下）现状</w:t>
            </w:r>
          </w:p>
        </w:tc>
      </w:tr>
    </w:tbl>
    <w:p>
      <w:pPr>
        <w:autoSpaceDE/>
        <w:autoSpaceDN/>
        <w:spacing w:line="360" w:lineRule="auto"/>
        <w:ind w:firstLine="562"/>
        <w:jc w:val="both"/>
        <w:outlineLvl w:val="2"/>
        <w:rPr>
          <w:rFonts w:eastAsia="黑体"/>
          <w:color w:val="000000" w:themeColor="text1"/>
          <w:kern w:val="0"/>
          <w:sz w:val="32"/>
          <w:szCs w:val="28"/>
          <w:highlight w:val="darkCyan"/>
          <w14:textFill>
            <w14:solidFill>
              <w14:schemeClr w14:val="tx1"/>
            </w14:solidFill>
          </w14:textFill>
        </w:rPr>
      </w:pPr>
      <w:bookmarkStart w:id="301" w:name="_Toc70496264"/>
      <w:bookmarkStart w:id="302" w:name="_Toc2230"/>
      <w:r>
        <w:rPr>
          <w:rFonts w:eastAsia="黑体"/>
          <w:b/>
          <w:color w:val="000000" w:themeColor="text1"/>
          <w:kern w:val="0"/>
          <w:sz w:val="28"/>
          <w:szCs w:val="24"/>
          <w14:textFill>
            <w14:solidFill>
              <w14:schemeClr w14:val="tx1"/>
            </w14:solidFill>
          </w14:textFill>
        </w:rPr>
        <w:t>2.2.4项目组成</w:t>
      </w:r>
      <w:bookmarkEnd w:id="301"/>
      <w:bookmarkEnd w:id="302"/>
    </w:p>
    <w:p>
      <w:pPr>
        <w:numPr>
          <w:ilvl w:val="0"/>
          <w:numId w:val="3"/>
        </w:num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lang w:eastAsia="zh-CN"/>
          <w14:textFill>
            <w14:solidFill>
              <w14:schemeClr w14:val="tx1"/>
            </w14:solidFill>
          </w14:textFill>
        </w:rPr>
        <w:t>渠道整治工程</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主要</w:t>
      </w:r>
      <w:r>
        <w:rPr>
          <w:rFonts w:hint="eastAsia"/>
          <w:color w:val="000000" w:themeColor="text1"/>
          <w:kern w:val="0"/>
          <w:sz w:val="24"/>
          <w:szCs w:val="24"/>
          <w14:textFill>
            <w14:solidFill>
              <w14:schemeClr w14:val="tx1"/>
            </w14:solidFill>
          </w14:textFill>
        </w:rPr>
        <w:t>对成都市环城生态带现有5条灌溉及排</w:t>
      </w:r>
      <w:r>
        <w:rPr>
          <w:rFonts w:hint="eastAsia"/>
          <w:color w:val="000000" w:themeColor="text1"/>
          <w:kern w:val="0"/>
          <w:sz w:val="24"/>
          <w:szCs w:val="24"/>
          <w:lang w:val="en-US" w:eastAsia="zh-CN"/>
          <w14:textFill>
            <w14:solidFill>
              <w14:schemeClr w14:val="tx1"/>
            </w14:solidFill>
          </w14:textFill>
        </w:rPr>
        <w:t>涝</w:t>
      </w:r>
      <w:r>
        <w:rPr>
          <w:rFonts w:hint="eastAsia"/>
          <w:color w:val="000000" w:themeColor="text1"/>
          <w:kern w:val="0"/>
          <w:sz w:val="24"/>
          <w:szCs w:val="24"/>
          <w14:textFill>
            <w14:solidFill>
              <w14:schemeClr w14:val="tx1"/>
            </w14:solidFill>
          </w14:textFill>
        </w:rPr>
        <w:t>渠道</w:t>
      </w:r>
      <w:r>
        <w:rPr>
          <w:color w:val="000000" w:themeColor="text1"/>
          <w:kern w:val="0"/>
          <w:sz w:val="24"/>
          <w:szCs w:val="24"/>
          <w14:textFill>
            <w14:solidFill>
              <w14:schemeClr w14:val="tx1"/>
            </w14:solidFill>
          </w14:textFill>
        </w:rPr>
        <w:t>进行</w:t>
      </w:r>
      <w:r>
        <w:rPr>
          <w:rFonts w:hint="eastAsia"/>
          <w:color w:val="000000" w:themeColor="text1"/>
          <w:kern w:val="0"/>
          <w:sz w:val="24"/>
          <w:szCs w:val="24"/>
          <w14:textFill>
            <w14:solidFill>
              <w14:schemeClr w14:val="tx1"/>
            </w14:solidFill>
          </w14:textFill>
        </w:rPr>
        <w:t>整治，并进行信息化现代改造</w:t>
      </w: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整治渠道总长</w:t>
      </w:r>
      <w:r>
        <w:rPr>
          <w:rFonts w:hint="eastAsia"/>
          <w:color w:val="000000" w:themeColor="text1"/>
          <w:kern w:val="0"/>
          <w:sz w:val="24"/>
          <w:szCs w:val="24"/>
          <w:lang w:eastAsia="zh-CN"/>
          <w14:textFill>
            <w14:solidFill>
              <w14:schemeClr w14:val="tx1"/>
            </w14:solidFill>
          </w14:textFill>
        </w:rPr>
        <w:t>6732m</w:t>
      </w:r>
      <w:r>
        <w:rPr>
          <w:rFonts w:hint="eastAsia"/>
          <w:color w:val="000000" w:themeColor="text1"/>
          <w:kern w:val="0"/>
          <w:sz w:val="24"/>
          <w:szCs w:val="24"/>
          <w14:textFill>
            <w14:solidFill>
              <w14:schemeClr w14:val="tx1"/>
            </w14:solidFill>
          </w14:textFill>
        </w:rPr>
        <w:t>。具体如下。</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1</w:t>
      </w: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董家堰补水渠（上）：整治长度为235m，设计纵坡为2‰~83‰，设计渠道底宽1.0m，高1.0m，采用C30钢筋砼现浇矩形渠结构，壁厚0.3m，底板厚0.3m，底部为0.1m厚碎石垫层。</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2</w:t>
      </w: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董家堰补水渠（下）：整治长度为34m，设计纵坡为2‰，设计渠道底宽1.5m，高1.0m，采用C30钢筋砼</w:t>
      </w:r>
      <w:r>
        <w:rPr>
          <w:rStyle w:val="43"/>
          <w:rFonts w:hint="eastAsia"/>
          <w:color w:val="000000" w:themeColor="text1"/>
          <w:sz w:val="24"/>
          <w:szCs w:val="24"/>
          <w:lang w:val="en-US" w:eastAsia="zh-CN"/>
          <w14:textFill>
            <w14:solidFill>
              <w14:schemeClr w14:val="tx1"/>
            </w14:solidFill>
          </w14:textFill>
        </w:rPr>
        <w:t>现浇</w:t>
      </w:r>
      <w:r>
        <w:rPr>
          <w:rFonts w:hint="eastAsia"/>
          <w:color w:val="000000" w:themeColor="text1"/>
          <w:kern w:val="0"/>
          <w:sz w:val="24"/>
          <w:szCs w:val="24"/>
          <w14:textFill>
            <w14:solidFill>
              <w14:schemeClr w14:val="tx1"/>
            </w14:solidFill>
          </w14:textFill>
        </w:rPr>
        <w:t>矩形渠结构，壁厚0.3m，底板厚0.3m，底部为0.1m厚碎石垫层。拆除重建排水口1座，采用DN500钢筋砼II级承插管。</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（3）北支一渠（上）</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北支</w:t>
      </w:r>
      <w:r>
        <w:rPr>
          <w:rFonts w:hint="eastAsia"/>
          <w:color w:val="000000" w:themeColor="text1"/>
          <w:kern w:val="0"/>
          <w:sz w:val="24"/>
          <w:szCs w:val="24"/>
          <w:lang w:val="en-US" w:eastAsia="zh-CN"/>
          <w14:textFill>
            <w14:solidFill>
              <w14:schemeClr w14:val="tx1"/>
            </w14:solidFill>
          </w14:textFill>
        </w:rPr>
        <w:t>一</w:t>
      </w:r>
      <w:r>
        <w:rPr>
          <w:color w:val="000000" w:themeColor="text1"/>
          <w:kern w:val="0"/>
          <w:sz w:val="24"/>
          <w:szCs w:val="24"/>
          <w14:textFill>
            <w14:solidFill>
              <w14:schemeClr w14:val="tx1"/>
            </w14:solidFill>
          </w14:textFill>
        </w:rPr>
        <w:t>渠</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上</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整治长度为2261m，设计纵坡为0.67</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，设计渠递底宽4m</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渠高1.7m,采用C25砼贴坡式挡上墙</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坡比1</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0.5</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挡土墙高2.2m，顶宽0.5m，渠底为C25现浇砼板，厚0.12m，下部为碎石垫层，厚0.1m。</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北支</w:t>
      </w:r>
      <w:r>
        <w:rPr>
          <w:rFonts w:hint="eastAsia"/>
          <w:color w:val="000000" w:themeColor="text1"/>
          <w:kern w:val="0"/>
          <w:sz w:val="24"/>
          <w:szCs w:val="24"/>
          <w14:textFill>
            <w14:solidFill>
              <w14:schemeClr w14:val="tx1"/>
            </w14:solidFill>
          </w14:textFill>
        </w:rPr>
        <w:t>一</w:t>
      </w:r>
      <w:r>
        <w:rPr>
          <w:color w:val="000000" w:themeColor="text1"/>
          <w:kern w:val="0"/>
          <w:sz w:val="24"/>
          <w:szCs w:val="24"/>
          <w14:textFill>
            <w14:solidFill>
              <w14:schemeClr w14:val="tx1"/>
            </w14:solidFill>
          </w14:textFill>
        </w:rPr>
        <w:t>渠</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上</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拆除</w:t>
      </w:r>
      <w:r>
        <w:rPr>
          <w:rFonts w:hint="eastAsia"/>
          <w:color w:val="000000" w:themeColor="text1"/>
          <w:kern w:val="0"/>
          <w:sz w:val="24"/>
          <w:szCs w:val="24"/>
          <w14:textFill>
            <w14:solidFill>
              <w14:schemeClr w14:val="tx1"/>
            </w14:solidFill>
          </w14:textFill>
        </w:rPr>
        <w:t>箱涵</w:t>
      </w:r>
      <w:r>
        <w:rPr>
          <w:color w:val="000000" w:themeColor="text1"/>
          <w:kern w:val="0"/>
          <w:sz w:val="24"/>
          <w:szCs w:val="24"/>
          <w14:textFill>
            <w14:solidFill>
              <w14:schemeClr w14:val="tx1"/>
            </w14:solidFill>
          </w14:textFill>
        </w:rPr>
        <w:t>6座，其中3座改为渠道，另外3座重建。重建</w:t>
      </w:r>
      <w:r>
        <w:rPr>
          <w:rFonts w:hint="eastAsia"/>
          <w:color w:val="000000" w:themeColor="text1"/>
          <w:kern w:val="0"/>
          <w:sz w:val="24"/>
          <w:szCs w:val="24"/>
          <w14:textFill>
            <w14:solidFill>
              <w14:schemeClr w14:val="tx1"/>
            </w14:solidFill>
          </w14:textFill>
        </w:rPr>
        <w:t>箱涵</w:t>
      </w:r>
      <w:r>
        <w:rPr>
          <w:color w:val="000000" w:themeColor="text1"/>
          <w:kern w:val="0"/>
          <w:sz w:val="24"/>
          <w:szCs w:val="24"/>
          <w14:textFill>
            <w14:solidFill>
              <w14:schemeClr w14:val="tx1"/>
            </w14:solidFill>
          </w14:textFill>
        </w:rPr>
        <w:t>采用C30钢筋砼，尺寸4mx2m-1孔</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宽x高</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壁厚0.4m，底部为0.1m厚C15砼垫层。</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4</w:t>
      </w:r>
      <w:r>
        <w:rPr>
          <w:color w:val="000000" w:themeColor="text1"/>
          <w:kern w:val="0"/>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南五支渠整治长度为3056mm，设计纵坡为0.67‰，设计渠底宽1.0m，高1.1m，采用C30钢筋砼现浇矩形渠结构，壁厚0.3mm，底板厚0.3m，底部为0.1m厚碎石垫层。拆除涵2座，改为渠道。</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（5）南六支渠整治长度为</w:t>
      </w:r>
      <w:r>
        <w:rPr>
          <w:rFonts w:hint="eastAsia"/>
          <w:color w:val="000000" w:themeColor="text1"/>
          <w:kern w:val="0"/>
          <w:sz w:val="24"/>
          <w:szCs w:val="24"/>
          <w:lang w:eastAsia="zh-CN"/>
          <w14:textFill>
            <w14:solidFill>
              <w14:schemeClr w14:val="tx1"/>
            </w14:solidFill>
          </w14:textFill>
        </w:rPr>
        <w:t>1146m</w:t>
      </w:r>
      <w:r>
        <w:rPr>
          <w:rFonts w:hint="eastAsia"/>
          <w:color w:val="000000" w:themeColor="text1"/>
          <w:kern w:val="0"/>
          <w:sz w:val="24"/>
          <w:szCs w:val="24"/>
          <w14:textFill>
            <w14:solidFill>
              <w14:schemeClr w14:val="tx1"/>
            </w14:solidFill>
          </w14:textFill>
        </w:rPr>
        <w:t>，设计纵坡为0.83‰，设计渠道底宽1.0m，高1.0m，采用C30钢筋砼现浇矩形渠结构，壁厚0.3m，底板摩0.3m，底部为0.1m厚碎石垫层。拆除箱涵4座，改为渠道。</w:t>
      </w:r>
    </w:p>
    <w:p>
      <w:pPr>
        <w:numPr>
          <w:ilvl w:val="0"/>
          <w:numId w:val="3"/>
        </w:num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渠系建筑物</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（1）水闸改造</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本工程共新建水闸11座，其中节制闸5座，分水闸6座。</w:t>
      </w:r>
    </w:p>
    <w:p>
      <w:pPr>
        <w:pStyle w:val="14"/>
        <w:adjustRightInd w:val="0"/>
        <w:snapToGrid w:val="0"/>
        <w:spacing w:line="360" w:lineRule="auto"/>
        <w:ind w:firstLine="480" w:firstLineChars="200"/>
        <w:jc w:val="center"/>
        <w:rPr>
          <w:rFonts w:eastAsia="黑体"/>
          <w:color w:val="000000" w:themeColor="text1"/>
          <w:kern w:val="0"/>
          <w14:textFill>
            <w14:solidFill>
              <w14:schemeClr w14:val="tx1"/>
            </w14:solidFill>
          </w14:textFill>
        </w:rPr>
      </w:pPr>
      <w:r>
        <w:rPr>
          <w:rFonts w:eastAsia="黑体"/>
          <w:color w:val="000000" w:themeColor="text1"/>
          <w:kern w:val="0"/>
          <w14:textFill>
            <w14:solidFill>
              <w14:schemeClr w14:val="tx1"/>
            </w14:solidFill>
          </w14:textFill>
        </w:rPr>
        <w:t>表</w:t>
      </w:r>
      <w:r>
        <w:rPr>
          <w:rFonts w:hint="eastAsia" w:eastAsia="黑体"/>
          <w:color w:val="000000" w:themeColor="text1"/>
          <w:kern w:val="0"/>
          <w14:textFill>
            <w14:solidFill>
              <w14:schemeClr w14:val="tx1"/>
            </w14:solidFill>
          </w14:textFill>
        </w:rPr>
        <w:t>2.2</w:t>
      </w:r>
      <w:r>
        <w:rPr>
          <w:rFonts w:eastAsia="黑体"/>
          <w:color w:val="000000" w:themeColor="text1"/>
          <w:kern w:val="0"/>
          <w14:textFill>
            <w14:solidFill>
              <w14:schemeClr w14:val="tx1"/>
            </w14:solidFill>
          </w14:textFill>
        </w:rPr>
        <w:t>-</w:t>
      </w:r>
      <w:r>
        <w:rPr>
          <w:rFonts w:hint="eastAsia" w:eastAsia="黑体"/>
          <w:color w:val="000000" w:themeColor="text1"/>
          <w:kern w:val="0"/>
          <w14:textFill>
            <w14:solidFill>
              <w14:schemeClr w14:val="tx1"/>
            </w14:solidFill>
          </w14:textFill>
        </w:rPr>
        <w:t>5新建水闸</w:t>
      </w:r>
      <w:r>
        <w:rPr>
          <w:rFonts w:eastAsia="黑体"/>
          <w:color w:val="000000" w:themeColor="text1"/>
          <w:kern w:val="0"/>
          <w14:textFill>
            <w14:solidFill>
              <w14:schemeClr w14:val="tx1"/>
            </w14:solidFill>
          </w14:textFill>
        </w:rPr>
        <w:t>情况表</w:t>
      </w:r>
    </w:p>
    <w:tbl>
      <w:tblPr>
        <w:tblStyle w:val="38"/>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54"/>
        <w:gridCol w:w="2679"/>
        <w:gridCol w:w="1618"/>
        <w:gridCol w:w="967"/>
        <w:gridCol w:w="862"/>
        <w:gridCol w:w="779"/>
        <w:gridCol w:w="93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序号</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水闸名称</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所在河流</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桩号</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现状情况</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建设性质</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结构型式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1#</w:t>
            </w:r>
            <w:r>
              <w:rPr>
                <w:rFonts w:hint="default"/>
                <w:color w:val="000000" w:themeColor="text1"/>
                <w14:textFill>
                  <w14:solidFill>
                    <w14:schemeClr w14:val="tx1"/>
                  </w14:solidFill>
                </w14:textFill>
              </w:rPr>
              <w:t>节制闸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K2+090</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2#</w:t>
            </w:r>
            <w:r>
              <w:rPr>
                <w:rFonts w:hint="default"/>
                <w:color w:val="000000" w:themeColor="text1"/>
                <w14:textFill>
                  <w14:solidFill>
                    <w14:schemeClr w14:val="tx1"/>
                  </w14:solidFill>
                </w14:textFill>
              </w:rPr>
              <w:t>节制闸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K2+710</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3#</w:t>
            </w:r>
            <w:r>
              <w:rPr>
                <w:rFonts w:hint="default"/>
                <w:color w:val="000000" w:themeColor="text1"/>
                <w14:textFill>
                  <w14:solidFill>
                    <w14:schemeClr w14:val="tx1"/>
                  </w14:solidFill>
                </w14:textFill>
              </w:rPr>
              <w:t>节制闸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K2+915</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N3</w:t>
            </w:r>
            <w:r>
              <w:rPr>
                <w:rFonts w:hint="default"/>
                <w:color w:val="000000" w:themeColor="text1"/>
                <w14:textFill>
                  <w14:solidFill>
                    <w14:schemeClr w14:val="tx1"/>
                  </w14:solidFill>
                </w14:textFill>
              </w:rPr>
              <w:t>节制闸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K0+738</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1#</w:t>
            </w:r>
            <w:r>
              <w:rPr>
                <w:rFonts w:hint="default"/>
                <w:color w:val="000000" w:themeColor="text1"/>
                <w14:textFill>
                  <w14:solidFill>
                    <w14:schemeClr w14:val="tx1"/>
                  </w14:solidFill>
                </w14:textFill>
              </w:rPr>
              <w:t>节制闸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K1+279</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6</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1#</w:t>
            </w:r>
            <w:r>
              <w:rPr>
                <w:rFonts w:hint="default"/>
                <w:color w:val="000000" w:themeColor="text1"/>
                <w14:textFill>
                  <w14:solidFill>
                    <w14:schemeClr w14:val="tx1"/>
                  </w14:solidFill>
                </w14:textFill>
              </w:rPr>
              <w:t>分水闸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K2+084</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2#</w:t>
            </w:r>
            <w:r>
              <w:rPr>
                <w:rFonts w:hint="default"/>
                <w:color w:val="000000" w:themeColor="text1"/>
                <w14:textFill>
                  <w14:solidFill>
                    <w14:schemeClr w14:val="tx1"/>
                  </w14:solidFill>
                </w14:textFill>
              </w:rPr>
              <w:t>分水闸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K2+698</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南五支渠3#分水闸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K2+890</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南六支渠N3分水闸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K0+731</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南六支渠1#分水闸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K1+270</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2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w:t>
            </w:r>
          </w:p>
        </w:tc>
        <w:tc>
          <w:tcPr>
            <w:tcW w:w="161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董家堰补水渠（上）1#分水闸</w:t>
            </w:r>
          </w:p>
        </w:tc>
        <w:tc>
          <w:tcPr>
            <w:tcW w:w="97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董家堰补水渠（上）</w:t>
            </w:r>
          </w:p>
        </w:tc>
        <w:tc>
          <w:tcPr>
            <w:tcW w:w="58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K0+000</w:t>
            </w:r>
          </w:p>
        </w:tc>
        <w:tc>
          <w:tcPr>
            <w:tcW w:w="51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w:t>
            </w:r>
          </w:p>
        </w:tc>
        <w:tc>
          <w:tcPr>
            <w:tcW w:w="469"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新建</w:t>
            </w:r>
          </w:p>
        </w:tc>
        <w:tc>
          <w:tcPr>
            <w:tcW w:w="56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一体化闸</w:t>
            </w:r>
          </w:p>
        </w:tc>
      </w:tr>
    </w:tbl>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（2）箱涵改造</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本工程现状桥涵共计33座，其中21座完好，拆除重建3座，拆除9座（按照设计渠道结构恢复）</w:t>
      </w:r>
      <w:r>
        <w:rPr>
          <w:rFonts w:hint="eastAsia"/>
          <w:color w:val="000000" w:themeColor="text1"/>
          <w:kern w:val="0"/>
          <w:sz w:val="24"/>
          <w:szCs w:val="24"/>
          <w14:textFill>
            <w14:solidFill>
              <w14:schemeClr w14:val="tx1"/>
            </w14:solidFill>
          </w14:textFill>
        </w:rPr>
        <w:t>。</w:t>
      </w:r>
    </w:p>
    <w:p>
      <w:pPr>
        <w:pStyle w:val="14"/>
        <w:adjustRightInd w:val="0"/>
        <w:snapToGrid w:val="0"/>
        <w:spacing w:line="360" w:lineRule="auto"/>
        <w:ind w:firstLine="480" w:firstLineChars="200"/>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表2.2-6二标段箱涵整治情况汇总表</w:t>
      </w:r>
    </w:p>
    <w:tbl>
      <w:tblPr>
        <w:tblStyle w:val="3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64"/>
        <w:gridCol w:w="2093"/>
        <w:gridCol w:w="1174"/>
        <w:gridCol w:w="2105"/>
        <w:gridCol w:w="1058"/>
        <w:gridCol w:w="11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60" w:type="pct"/>
            <w:vMerge w:val="restar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1260" w:type="pct"/>
            <w:vMerge w:val="restar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所在渠</w:t>
            </w:r>
          </w:p>
        </w:tc>
        <w:tc>
          <w:tcPr>
            <w:tcW w:w="707" w:type="pct"/>
            <w:vMerge w:val="restar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桩号</w:t>
            </w:r>
          </w:p>
        </w:tc>
        <w:tc>
          <w:tcPr>
            <w:tcW w:w="1267" w:type="pct"/>
            <w:vMerge w:val="restar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名称</w:t>
            </w:r>
          </w:p>
        </w:tc>
        <w:tc>
          <w:tcPr>
            <w:tcW w:w="637" w:type="pct"/>
            <w:vMerge w:val="restar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类型</w:t>
            </w:r>
          </w:p>
        </w:tc>
        <w:tc>
          <w:tcPr>
            <w:tcW w:w="666" w:type="pct"/>
            <w:vMerge w:val="restar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是否重建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60" w:type="pct"/>
            <w:vMerge w:val="continue"/>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82"/>
              <w:rPr>
                <w:rFonts w:hint="default"/>
                <w:color w:val="000000" w:themeColor="text1"/>
                <w14:textFill>
                  <w14:solidFill>
                    <w14:schemeClr w14:val="tx1"/>
                  </w14:solidFill>
                </w14:textFill>
              </w:rPr>
            </w:pPr>
          </w:p>
        </w:tc>
        <w:tc>
          <w:tcPr>
            <w:tcW w:w="1260" w:type="pct"/>
            <w:vMerge w:val="continue"/>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82"/>
              <w:rPr>
                <w:rFonts w:hint="default"/>
                <w:color w:val="000000" w:themeColor="text1"/>
                <w14:textFill>
                  <w14:solidFill>
                    <w14:schemeClr w14:val="tx1"/>
                  </w14:solidFill>
                </w14:textFill>
              </w:rPr>
            </w:pPr>
          </w:p>
        </w:tc>
        <w:tc>
          <w:tcPr>
            <w:tcW w:w="707" w:type="pct"/>
            <w:vMerge w:val="continue"/>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82"/>
              <w:rPr>
                <w:rFonts w:hint="default"/>
                <w:color w:val="000000" w:themeColor="text1"/>
                <w14:textFill>
                  <w14:solidFill>
                    <w14:schemeClr w14:val="tx1"/>
                  </w14:solidFill>
                </w14:textFill>
              </w:rPr>
            </w:pPr>
          </w:p>
        </w:tc>
        <w:tc>
          <w:tcPr>
            <w:tcW w:w="1267" w:type="pct"/>
            <w:vMerge w:val="continue"/>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82"/>
              <w:rPr>
                <w:rFonts w:hint="default"/>
                <w:color w:val="000000" w:themeColor="text1"/>
                <w14:textFill>
                  <w14:solidFill>
                    <w14:schemeClr w14:val="tx1"/>
                  </w14:solidFill>
                </w14:textFill>
              </w:rPr>
            </w:pPr>
          </w:p>
        </w:tc>
        <w:tc>
          <w:tcPr>
            <w:tcW w:w="637" w:type="pct"/>
            <w:vMerge w:val="continue"/>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82"/>
              <w:rPr>
                <w:rFonts w:hint="default"/>
                <w:color w:val="000000" w:themeColor="text1"/>
                <w14:textFill>
                  <w14:solidFill>
                    <w14:schemeClr w14:val="tx1"/>
                  </w14:solidFill>
                </w14:textFill>
              </w:rPr>
            </w:pPr>
          </w:p>
        </w:tc>
        <w:tc>
          <w:tcPr>
            <w:tcW w:w="666" w:type="pct"/>
            <w:vMerge w:val="continue"/>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80"/>
              <w:rPr>
                <w:rFonts w:hint="default" w:ascii="宋体" w:hAnsi="宋体" w:cs="宋体"/>
                <w:b/>
                <w:bCs/>
                <w:color w:val="000000" w:themeColor="text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2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70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1+142</w:t>
            </w:r>
          </w:p>
        </w:tc>
        <w:tc>
          <w:tcPr>
            <w:tcW w:w="12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5#</w:t>
            </w:r>
            <w:r>
              <w:rPr>
                <w:rFonts w:hint="default"/>
                <w:color w:val="000000" w:themeColor="text1"/>
                <w14:textFill>
                  <w14:solidFill>
                    <w14:schemeClr w14:val="tx1"/>
                  </w14:solidFill>
                </w14:textFill>
              </w:rPr>
              <w:t>涵</w:t>
            </w:r>
          </w:p>
        </w:tc>
        <w:tc>
          <w:tcPr>
            <w:tcW w:w="63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66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2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70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2+908</w:t>
            </w:r>
          </w:p>
        </w:tc>
        <w:tc>
          <w:tcPr>
            <w:tcW w:w="12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16#</w:t>
            </w:r>
            <w:r>
              <w:rPr>
                <w:rFonts w:hint="default"/>
                <w:color w:val="000000" w:themeColor="text1"/>
                <w14:textFill>
                  <w14:solidFill>
                    <w14:schemeClr w14:val="tx1"/>
                  </w14:solidFill>
                </w14:textFill>
              </w:rPr>
              <w:t>涵</w:t>
            </w:r>
          </w:p>
        </w:tc>
        <w:tc>
          <w:tcPr>
            <w:tcW w:w="63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66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2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70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0+521</w:t>
            </w:r>
          </w:p>
        </w:tc>
        <w:tc>
          <w:tcPr>
            <w:tcW w:w="12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5#</w:t>
            </w:r>
            <w:r>
              <w:rPr>
                <w:rFonts w:hint="default"/>
                <w:color w:val="000000" w:themeColor="text1"/>
                <w14:textFill>
                  <w14:solidFill>
                    <w14:schemeClr w14:val="tx1"/>
                  </w14:solidFill>
                </w14:textFill>
              </w:rPr>
              <w:t>涵</w:t>
            </w:r>
          </w:p>
        </w:tc>
        <w:tc>
          <w:tcPr>
            <w:tcW w:w="63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66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12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70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0+541</w:t>
            </w:r>
          </w:p>
        </w:tc>
        <w:tc>
          <w:tcPr>
            <w:tcW w:w="12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6#</w:t>
            </w:r>
            <w:r>
              <w:rPr>
                <w:rFonts w:hint="default"/>
                <w:color w:val="000000" w:themeColor="text1"/>
                <w14:textFill>
                  <w14:solidFill>
                    <w14:schemeClr w14:val="tx1"/>
                  </w14:solidFill>
                </w14:textFill>
              </w:rPr>
              <w:t>涵</w:t>
            </w:r>
          </w:p>
        </w:tc>
        <w:tc>
          <w:tcPr>
            <w:tcW w:w="63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66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12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70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0+556</w:t>
            </w:r>
          </w:p>
        </w:tc>
        <w:tc>
          <w:tcPr>
            <w:tcW w:w="12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7#</w:t>
            </w:r>
            <w:r>
              <w:rPr>
                <w:rFonts w:hint="default"/>
                <w:color w:val="000000" w:themeColor="text1"/>
                <w14:textFill>
                  <w14:solidFill>
                    <w14:schemeClr w14:val="tx1"/>
                  </w14:solidFill>
                </w14:textFill>
              </w:rPr>
              <w:t>涵</w:t>
            </w:r>
          </w:p>
        </w:tc>
        <w:tc>
          <w:tcPr>
            <w:tcW w:w="63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66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6</w:t>
            </w:r>
          </w:p>
        </w:tc>
        <w:tc>
          <w:tcPr>
            <w:tcW w:w="1260"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70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0+571</w:t>
            </w:r>
          </w:p>
        </w:tc>
        <w:tc>
          <w:tcPr>
            <w:tcW w:w="12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8#</w:t>
            </w:r>
            <w:r>
              <w:rPr>
                <w:rFonts w:hint="default"/>
                <w:color w:val="000000" w:themeColor="text1"/>
                <w14:textFill>
                  <w14:solidFill>
                    <w14:schemeClr w14:val="tx1"/>
                  </w14:solidFill>
                </w14:textFill>
              </w:rPr>
              <w:t>涵</w:t>
            </w:r>
          </w:p>
        </w:tc>
        <w:tc>
          <w:tcPr>
            <w:tcW w:w="63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66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w:t>
            </w:r>
          </w:p>
        </w:tc>
        <w:tc>
          <w:tcPr>
            <w:tcW w:w="12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70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0+268</w:t>
            </w:r>
          </w:p>
        </w:tc>
        <w:tc>
          <w:tcPr>
            <w:tcW w:w="126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北支一渠（上）1#涵</w:t>
            </w:r>
          </w:p>
        </w:tc>
        <w:tc>
          <w:tcPr>
            <w:tcW w:w="63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桥</w:t>
            </w:r>
            <w:r>
              <w:rPr>
                <w:rFonts w:hint="eastAsia"/>
                <w:color w:val="000000" w:themeColor="text1"/>
                <w14:textFill>
                  <w14:solidFill>
                    <w14:schemeClr w14:val="tx1"/>
                  </w14:solidFill>
                </w14:textFill>
              </w:rPr>
              <w:t>涵</w:t>
            </w:r>
          </w:p>
        </w:tc>
        <w:tc>
          <w:tcPr>
            <w:tcW w:w="66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w:t>
            </w:r>
          </w:p>
        </w:tc>
        <w:tc>
          <w:tcPr>
            <w:tcW w:w="12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70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0+445</w:t>
            </w:r>
          </w:p>
        </w:tc>
        <w:tc>
          <w:tcPr>
            <w:tcW w:w="126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北支一渠（上）2#涵</w:t>
            </w:r>
          </w:p>
        </w:tc>
        <w:tc>
          <w:tcPr>
            <w:tcW w:w="63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w:t>
            </w:r>
            <w:r>
              <w:rPr>
                <w:rFonts w:hint="eastAsia"/>
                <w:color w:val="000000" w:themeColor="text1"/>
                <w14:textFill>
                  <w14:solidFill>
                    <w14:schemeClr w14:val="tx1"/>
                  </w14:solidFill>
                </w14:textFill>
              </w:rPr>
              <w:t>涵</w:t>
            </w:r>
          </w:p>
        </w:tc>
        <w:tc>
          <w:tcPr>
            <w:tcW w:w="66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w:t>
            </w:r>
          </w:p>
        </w:tc>
        <w:tc>
          <w:tcPr>
            <w:tcW w:w="12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70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0+719</w:t>
            </w:r>
          </w:p>
        </w:tc>
        <w:tc>
          <w:tcPr>
            <w:tcW w:w="126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北支一渠（上）3#涵</w:t>
            </w:r>
          </w:p>
        </w:tc>
        <w:tc>
          <w:tcPr>
            <w:tcW w:w="63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w:t>
            </w:r>
            <w:r>
              <w:rPr>
                <w:rFonts w:hint="eastAsia"/>
                <w:color w:val="000000" w:themeColor="text1"/>
                <w14:textFill>
                  <w14:solidFill>
                    <w14:schemeClr w14:val="tx1"/>
                  </w14:solidFill>
                </w14:textFill>
              </w:rPr>
              <w:t>涵</w:t>
            </w:r>
          </w:p>
        </w:tc>
        <w:tc>
          <w:tcPr>
            <w:tcW w:w="66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w:t>
            </w:r>
          </w:p>
        </w:tc>
        <w:tc>
          <w:tcPr>
            <w:tcW w:w="12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70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0+790</w:t>
            </w:r>
          </w:p>
        </w:tc>
        <w:tc>
          <w:tcPr>
            <w:tcW w:w="126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北支一渠（上）4#涵</w:t>
            </w:r>
          </w:p>
        </w:tc>
        <w:tc>
          <w:tcPr>
            <w:tcW w:w="63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w:t>
            </w:r>
            <w:r>
              <w:rPr>
                <w:rFonts w:hint="eastAsia"/>
                <w:color w:val="000000" w:themeColor="text1"/>
                <w14:textFill>
                  <w14:solidFill>
                    <w14:schemeClr w14:val="tx1"/>
                  </w14:solidFill>
                </w14:textFill>
              </w:rPr>
              <w:t>涵</w:t>
            </w:r>
          </w:p>
        </w:tc>
        <w:tc>
          <w:tcPr>
            <w:tcW w:w="66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w:t>
            </w:r>
          </w:p>
        </w:tc>
        <w:tc>
          <w:tcPr>
            <w:tcW w:w="12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70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1+719</w:t>
            </w:r>
          </w:p>
        </w:tc>
        <w:tc>
          <w:tcPr>
            <w:tcW w:w="126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北支一渠（上）5#涵</w:t>
            </w:r>
          </w:p>
        </w:tc>
        <w:tc>
          <w:tcPr>
            <w:tcW w:w="63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w:t>
            </w:r>
            <w:r>
              <w:rPr>
                <w:rFonts w:hint="eastAsia"/>
                <w:color w:val="000000" w:themeColor="text1"/>
                <w14:textFill>
                  <w14:solidFill>
                    <w14:schemeClr w14:val="tx1"/>
                  </w14:solidFill>
                </w14:textFill>
              </w:rPr>
              <w:t>涵</w:t>
            </w:r>
          </w:p>
        </w:tc>
        <w:tc>
          <w:tcPr>
            <w:tcW w:w="66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12</w:t>
            </w:r>
          </w:p>
        </w:tc>
        <w:tc>
          <w:tcPr>
            <w:tcW w:w="1260"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70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1+889</w:t>
            </w:r>
          </w:p>
        </w:tc>
        <w:tc>
          <w:tcPr>
            <w:tcW w:w="126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北支一渠（上）6#涵</w:t>
            </w:r>
          </w:p>
        </w:tc>
        <w:tc>
          <w:tcPr>
            <w:tcW w:w="637" w:type="pct"/>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w:t>
            </w:r>
            <w:r>
              <w:rPr>
                <w:rFonts w:hint="eastAsia"/>
                <w:color w:val="000000" w:themeColor="text1"/>
                <w14:textFill>
                  <w14:solidFill>
                    <w14:schemeClr w14:val="tx1"/>
                  </w14:solidFill>
                </w14:textFill>
              </w:rPr>
              <w:t>涵</w:t>
            </w:r>
          </w:p>
        </w:tc>
        <w:tc>
          <w:tcPr>
            <w:tcW w:w="66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拆除重建</w:t>
            </w:r>
          </w:p>
        </w:tc>
      </w:tr>
    </w:tbl>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（3）排水口改造</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据现场统计，治理渠道两岸由于重建（新建）护坡或挡墙影响现状排水口，排水口需拆除重建，排水口管涵直径0.5m，管涵采用预制C30钢筋混凝土Ⅱ级承插管，出口设置拍门。</w:t>
      </w:r>
    </w:p>
    <w:p>
      <w:pPr>
        <w:pStyle w:val="14"/>
        <w:adjustRightInd w:val="0"/>
        <w:snapToGrid w:val="0"/>
        <w:ind w:firstLine="480" w:firstLineChars="200"/>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表2.2-7排水口组成表</w:t>
      </w:r>
    </w:p>
    <w:p>
      <w:pPr>
        <w:spacing w:before="5"/>
        <w:ind w:firstLine="141"/>
        <w:rPr>
          <w:rFonts w:ascii="黑体" w:hAnsi="黑体" w:eastAsia="黑体" w:cs="黑体"/>
          <w:color w:val="000000" w:themeColor="text1"/>
          <w:sz w:val="7"/>
          <w:szCs w:val="7"/>
          <w14:textFill>
            <w14:solidFill>
              <w14:schemeClr w14:val="tx1"/>
            </w14:solidFill>
          </w14:textFill>
        </w:rPr>
      </w:pPr>
    </w:p>
    <w:tbl>
      <w:tblPr>
        <w:tblStyle w:val="38"/>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61"/>
        <w:gridCol w:w="2457"/>
        <w:gridCol w:w="1597"/>
        <w:gridCol w:w="1087"/>
        <w:gridCol w:w="963"/>
        <w:gridCol w:w="153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84" w:hRule="exact"/>
        </w:trPr>
        <w:tc>
          <w:tcPr>
            <w:tcW w:w="398"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148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所在渠</w:t>
            </w:r>
          </w:p>
        </w:tc>
        <w:tc>
          <w:tcPr>
            <w:tcW w:w="96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排水口名称</w:t>
            </w:r>
          </w:p>
        </w:tc>
        <w:tc>
          <w:tcPr>
            <w:tcW w:w="65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桩号</w:t>
            </w:r>
          </w:p>
        </w:tc>
        <w:tc>
          <w:tcPr>
            <w:tcW w:w="58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岸别</w:t>
            </w:r>
          </w:p>
        </w:tc>
        <w:tc>
          <w:tcPr>
            <w:tcW w:w="92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是否重建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0" w:hRule="exact"/>
        </w:trPr>
        <w:tc>
          <w:tcPr>
            <w:tcW w:w="398"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48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96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eastAsia="Times New Roman"/>
                <w:color w:val="000000" w:themeColor="text1"/>
                <w14:textFill>
                  <w14:solidFill>
                    <w14:schemeClr w14:val="tx1"/>
                  </w14:solidFill>
                </w14:textFill>
              </w:rPr>
              <w:t>01</w:t>
            </w:r>
            <w:r>
              <w:rPr>
                <w:rFonts w:hint="default" w:ascii="宋体" w:hAnsi="宋体" w:cs="宋体"/>
                <w:color w:val="000000" w:themeColor="text1"/>
                <w14:textFill>
                  <w14:solidFill>
                    <w14:schemeClr w14:val="tx1"/>
                  </w14:solidFill>
                </w14:textFill>
              </w:rPr>
              <w:t>排水口</w:t>
            </w:r>
          </w:p>
        </w:tc>
        <w:tc>
          <w:tcPr>
            <w:tcW w:w="65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2+793</w:t>
            </w:r>
          </w:p>
        </w:tc>
        <w:tc>
          <w:tcPr>
            <w:tcW w:w="58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右岸</w:t>
            </w:r>
          </w:p>
        </w:tc>
        <w:tc>
          <w:tcPr>
            <w:tcW w:w="92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拆除重建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398"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48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962"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eastAsia="Times New Roman"/>
                <w:color w:val="000000" w:themeColor="text1"/>
                <w14:textFill>
                  <w14:solidFill>
                    <w14:schemeClr w14:val="tx1"/>
                  </w14:solidFill>
                </w14:textFill>
              </w:rPr>
              <w:t>03</w:t>
            </w:r>
            <w:r>
              <w:rPr>
                <w:rFonts w:hint="default" w:ascii="宋体" w:hAnsi="宋体" w:cs="宋体"/>
                <w:color w:val="000000" w:themeColor="text1"/>
                <w14:textFill>
                  <w14:solidFill>
                    <w14:schemeClr w14:val="tx1"/>
                  </w14:solidFill>
                </w14:textFill>
              </w:rPr>
              <w:t>排水口</w:t>
            </w:r>
          </w:p>
        </w:tc>
        <w:tc>
          <w:tcPr>
            <w:tcW w:w="65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0+028</w:t>
            </w:r>
          </w:p>
        </w:tc>
        <w:tc>
          <w:tcPr>
            <w:tcW w:w="58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右岸</w:t>
            </w:r>
          </w:p>
        </w:tc>
        <w:tc>
          <w:tcPr>
            <w:tcW w:w="923"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拆除重建</w:t>
            </w:r>
          </w:p>
        </w:tc>
      </w:tr>
    </w:tbl>
    <w:p>
      <w:pPr>
        <w:numPr>
          <w:ilvl w:val="0"/>
          <w:numId w:val="3"/>
        </w:num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监测工程</w:t>
      </w:r>
    </w:p>
    <w:p>
      <w:pPr>
        <w:pStyle w:val="14"/>
        <w:adjustRightInd w:val="0"/>
        <w:snapToGrid w:val="0"/>
        <w:spacing w:line="360" w:lineRule="auto"/>
        <w:ind w:firstLine="480" w:firstLineChars="200"/>
        <w:jc w:val="both"/>
        <w:rPr>
          <w:color w:val="000000" w:themeColor="text1"/>
          <w:kern w:val="0"/>
          <w14:textFill>
            <w14:solidFill>
              <w14:schemeClr w14:val="tx1"/>
            </w14:solidFill>
          </w14:textFill>
        </w:rPr>
      </w:pPr>
      <w:r>
        <w:rPr>
          <w:color w:val="000000" w:themeColor="text1"/>
          <w:kern w:val="0"/>
          <w14:textFill>
            <w14:solidFill>
              <w14:schemeClr w14:val="tx1"/>
            </w14:solidFill>
          </w14:textFill>
        </w:rPr>
        <w:t>本工程设置测控一体化闸门，监测设施《量测水》采用一体化闸门智能化控制系统。流量和水位的数据通过使用公共网络传输到相应的信息中心进行存储和处理。</w:t>
      </w:r>
    </w:p>
    <w:p>
      <w:pPr>
        <w:numPr>
          <w:ilvl w:val="0"/>
          <w:numId w:val="3"/>
        </w:num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临时工程</w:t>
      </w:r>
    </w:p>
    <w:p>
      <w:pPr>
        <w:pStyle w:val="13"/>
        <w:keepNext w:val="0"/>
        <w:keepLines w:val="0"/>
        <w:pageBreakBefore w:val="0"/>
        <w:widowControl w:val="0"/>
        <w:kinsoku/>
        <w:wordWrap/>
        <w:overflowPunct/>
        <w:topLinePunct w:val="0"/>
        <w:autoSpaceDE w:val="0"/>
        <w:autoSpaceDN w:val="0"/>
        <w:bidi w:val="0"/>
        <w:adjustRightInd w:val="0"/>
        <w:snapToGrid/>
        <w:ind w:firstLine="480" w:firstLineChars="200"/>
        <w:textAlignment w:val="auto"/>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本项目临时工程主要包括</w:t>
      </w:r>
      <w:r>
        <w:rPr>
          <w:rFonts w:hint="eastAsia" w:ascii="Times New Roman" w:hAnsi="Times New Roman" w:cs="Times New Roman"/>
          <w:color w:val="000000" w:themeColor="text1"/>
          <w:kern w:val="0"/>
          <w:sz w:val="24"/>
          <w:szCs w:val="24"/>
          <w:lang w:val="en-US" w:eastAsia="zh-CN" w:bidi="ar-SA"/>
          <w14:textFill>
            <w14:solidFill>
              <w14:schemeClr w14:val="tx1"/>
            </w14:solidFill>
          </w14:textFill>
        </w:rPr>
        <w:t>导流围堰、施工工区、临时便道以及临时堆土场。项目施工场地位于城区，施工人员租用当地民房、厂内不设施工营地；产生的土石均综合利用，本项目不设弃渣场；场内均使用商混，不设</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砂石场及商砼厂</w:t>
      </w:r>
      <w:r>
        <w:rPr>
          <w:rFonts w:hint="eastAsia" w:ascii="Times New Roman" w:hAnsi="Times New Roman" w:cs="Times New Roman"/>
          <w:color w:val="000000" w:themeColor="text1"/>
          <w:kern w:val="0"/>
          <w:sz w:val="24"/>
          <w:szCs w:val="24"/>
          <w:lang w:val="en-US" w:eastAsia="zh-CN" w:bidi="ar-SA"/>
          <w14:textFill>
            <w14:solidFill>
              <w14:schemeClr w14:val="tx1"/>
            </w14:solidFill>
          </w14:textFill>
        </w:rPr>
        <w:t>。</w:t>
      </w:r>
    </w:p>
    <w:p>
      <w:pPr>
        <w:numPr>
          <w:ilvl w:val="0"/>
          <w:numId w:val="4"/>
        </w:num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导流围堰</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渠道施工期选在非灌溉期，期间不再从上游引水</w:t>
      </w:r>
      <w:r>
        <w:rPr>
          <w:rFonts w:hint="eastAsia"/>
          <w:color w:val="000000" w:themeColor="text1"/>
          <w:kern w:val="0"/>
          <w:sz w:val="24"/>
          <w:szCs w:val="24"/>
          <w:lang w:eastAsia="zh-CN"/>
          <w14:textFill>
            <w14:solidFill>
              <w14:schemeClr w14:val="tx1"/>
            </w14:solidFill>
          </w14:textFill>
        </w:rPr>
        <w:t>，</w:t>
      </w:r>
      <w:r>
        <w:rPr>
          <w:rFonts w:hint="eastAsia"/>
          <w:color w:val="000000" w:themeColor="text1"/>
          <w:kern w:val="0"/>
          <w:sz w:val="24"/>
          <w:szCs w:val="24"/>
          <w:lang w:val="en-US" w:eastAsia="zh-CN"/>
          <w14:textFill>
            <w14:solidFill>
              <w14:schemeClr w14:val="tx1"/>
            </w14:solidFill>
          </w14:textFill>
        </w:rPr>
        <w:t>为断水施工，</w:t>
      </w:r>
      <w:r>
        <w:rPr>
          <w:rFonts w:hint="eastAsia"/>
          <w:color w:val="000000" w:themeColor="text1"/>
          <w:kern w:val="0"/>
          <w:sz w:val="24"/>
          <w:szCs w:val="24"/>
          <w14:textFill>
            <w14:solidFill>
              <w14:schemeClr w14:val="tx1"/>
            </w14:solidFill>
          </w14:textFill>
        </w:rPr>
        <w:t>对临时积水采用水泵抽排方式；对所在渠道水位较高的渠系建筑物上下游填筑</w:t>
      </w:r>
      <w:r>
        <w:rPr>
          <w:color w:val="000000" w:themeColor="text1"/>
          <w:kern w:val="0"/>
          <w:sz w:val="24"/>
          <w:szCs w:val="24"/>
          <w14:textFill>
            <w14:solidFill>
              <w14:schemeClr w14:val="tx1"/>
            </w14:solidFill>
          </w14:textFill>
        </w:rPr>
        <w:t>横向</w:t>
      </w:r>
      <w:r>
        <w:rPr>
          <w:rFonts w:hint="eastAsia"/>
          <w:color w:val="000000" w:themeColor="text1"/>
          <w:kern w:val="0"/>
          <w:sz w:val="24"/>
          <w:szCs w:val="24"/>
          <w14:textFill>
            <w14:solidFill>
              <w14:schemeClr w14:val="tx1"/>
            </w14:solidFill>
          </w14:textFill>
        </w:rPr>
        <w:t>围堰，利用水泵定期抽排基坑积水、渗水的方式实现干地施工，围堰采用编织袋土围堰。</w:t>
      </w:r>
    </w:p>
    <w:p>
      <w:pPr>
        <w:numPr>
          <w:ilvl w:val="0"/>
          <w:numId w:val="4"/>
        </w:num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施工工区</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本工程区内有较多场地不涉及基本农田、耕地及居民建筑物，可作为施工场地。项目共</w:t>
      </w:r>
      <w:r>
        <w:rPr>
          <w:rFonts w:hint="eastAsia"/>
          <w:color w:val="000000" w:themeColor="text1"/>
          <w:kern w:val="0"/>
          <w:sz w:val="24"/>
          <w:szCs w:val="24"/>
          <w:lang w:val="en-US" w:eastAsia="zh-CN"/>
          <w14:textFill>
            <w14:solidFill>
              <w14:schemeClr w14:val="tx1"/>
            </w14:solidFill>
          </w14:textFill>
        </w:rPr>
        <w:t>新建</w:t>
      </w:r>
      <w:r>
        <w:rPr>
          <w:rFonts w:hint="eastAsia"/>
          <w:color w:val="000000" w:themeColor="text1"/>
          <w:kern w:val="0"/>
          <w:sz w:val="24"/>
          <w:szCs w:val="24"/>
          <w14:textFill>
            <w14:solidFill>
              <w14:schemeClr w14:val="tx1"/>
            </w14:solidFill>
          </w14:textFill>
        </w:rPr>
        <w:t>1个施工工区，</w:t>
      </w:r>
      <w:r>
        <w:rPr>
          <w:rFonts w:hint="eastAsia"/>
          <w:color w:val="000000" w:themeColor="text1"/>
          <w:kern w:val="0"/>
          <w:sz w:val="24"/>
          <w:szCs w:val="24"/>
          <w:lang w:val="en-US" w:eastAsia="zh-CN"/>
          <w14:textFill>
            <w14:solidFill>
              <w14:schemeClr w14:val="tx1"/>
            </w14:solidFill>
          </w14:textFill>
        </w:rPr>
        <w:t>占地</w:t>
      </w:r>
      <w:r>
        <w:rPr>
          <w:rFonts w:hint="eastAsia"/>
          <w:color w:val="000000" w:themeColor="text1"/>
          <w:kern w:val="0"/>
          <w:sz w:val="24"/>
          <w:szCs w:val="24"/>
          <w14:textFill>
            <w14:solidFill>
              <w14:schemeClr w14:val="tx1"/>
            </w14:solidFill>
          </w14:textFill>
        </w:rPr>
        <w:t>面积4000m</w:t>
      </w:r>
      <w:r>
        <w:rPr>
          <w:rFonts w:hint="eastAsia"/>
          <w:color w:val="000000" w:themeColor="text1"/>
          <w:kern w:val="0"/>
          <w:sz w:val="24"/>
          <w:szCs w:val="24"/>
          <w:vertAlign w:val="superscript"/>
          <w14:textFill>
            <w14:solidFill>
              <w14:schemeClr w14:val="tx1"/>
            </w14:solidFill>
          </w14:textFill>
        </w:rPr>
        <w:t>2</w:t>
      </w:r>
      <w:r>
        <w:rPr>
          <w:rFonts w:hint="eastAsia"/>
          <w:color w:val="000000" w:themeColor="text1"/>
          <w:kern w:val="0"/>
          <w:sz w:val="24"/>
          <w:szCs w:val="24"/>
          <w14:textFill>
            <w14:solidFill>
              <w14:schemeClr w14:val="tx1"/>
            </w14:solidFill>
          </w14:textFill>
        </w:rPr>
        <w:t>，工区内设置综合仓库、钢筋及木模加工厂等。各类施工机械车辆保养维修委托附近城镇内厂家；工程建设管理机构的办公生活等用房租用当地民房。</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（3）施工交通</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1）对外交通</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工程区地处成都市绕城高速两侧，对外主要交通道路有成绵高速、沪蓉高速、成洛大道、蜀都大道等，施工区通过绕城高速与对外道路相接，主干道畅通且形成网络，交通十分便利，完全满足工程建设的运输要求，不再新修对外交通道路。</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2）场内交通</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场内交通以公路运输为主，根据现场查勘情况，工程附近有公路与对外主干交通道路相接，其余根据临近道路的有利条件修建施工临时道路。场内道路运输条件选择的原则是：尽量利用现有道路，同时结合管护道路建设工程情况，采用永临结合的布置方式，尽量少占耕地，尽量减少扰民，尽量方便附近居民生产生活。</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工程工区布置分散，结合进度安排、运输强度、设备型号、使用时段等综合分析，场内施工道路宽4.5m，位于已开放园区的宽4m，对于符合上述标准的现有道路，考虑原路利用；对于不符合上述要求的现有道路，予以拓宽改建；对于无现有可利用道路的，予以新修。经计算，本工程施工临时道路共计5.71km，其中新建施工临时道路5.48km，其中路面宽4.5m为2.54km，路面宽4m为2.95km；扩建道路约0.23km，为宽4m路面。均采用泥结碎石路面。</w:t>
      </w:r>
    </w:p>
    <w:p>
      <w:pPr>
        <w:autoSpaceDE/>
        <w:autoSpaceDN/>
        <w:adjustRightInd w:val="0"/>
        <w:snapToGrid w:val="0"/>
        <w:ind w:firstLine="480" w:firstLineChars="200"/>
        <w:jc w:val="center"/>
        <w:rPr>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表2.2-8临时便道一览表</w:t>
      </w:r>
    </w:p>
    <w:tbl>
      <w:tblPr>
        <w:tblStyle w:val="3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41"/>
        <w:gridCol w:w="1606"/>
        <w:gridCol w:w="1003"/>
        <w:gridCol w:w="1488"/>
        <w:gridCol w:w="1003"/>
        <w:gridCol w:w="1717"/>
        <w:gridCol w:w="7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9" w:hRule="exact"/>
          <w:jc w:val="center"/>
        </w:trPr>
        <w:tc>
          <w:tcPr>
            <w:tcW w:w="44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9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道路名称</w:t>
            </w:r>
          </w:p>
        </w:tc>
        <w:tc>
          <w:tcPr>
            <w:tcW w:w="60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路宽</w:t>
            </w:r>
            <w:r>
              <w:rPr>
                <w:rFonts w:hint="default" w:eastAsia="Times New Roman"/>
                <w:b/>
                <w:bCs/>
                <w:color w:val="000000" w:themeColor="text1"/>
                <w14:textFill>
                  <w14:solidFill>
                    <w14:schemeClr w14:val="tx1"/>
                  </w14:solidFill>
                </w14:textFill>
              </w:rPr>
              <w:t>/m</w:t>
            </w:r>
          </w:p>
        </w:tc>
        <w:tc>
          <w:tcPr>
            <w:tcW w:w="89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型式</w:t>
            </w:r>
          </w:p>
        </w:tc>
        <w:tc>
          <w:tcPr>
            <w:tcW w:w="60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长度</w:t>
            </w:r>
            <w:r>
              <w:rPr>
                <w:rFonts w:hint="default" w:eastAsia="Times New Roman"/>
                <w:b/>
                <w:bCs/>
                <w:color w:val="000000" w:themeColor="text1"/>
                <w14:textFill>
                  <w14:solidFill>
                    <w14:schemeClr w14:val="tx1"/>
                  </w14:solidFill>
                </w14:textFill>
              </w:rPr>
              <w:t>/m</w:t>
            </w:r>
          </w:p>
        </w:tc>
        <w:tc>
          <w:tcPr>
            <w:tcW w:w="103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所属渠道</w:t>
            </w:r>
          </w:p>
        </w:tc>
        <w:tc>
          <w:tcPr>
            <w:tcW w:w="44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96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72#</w:t>
            </w:r>
            <w:r>
              <w:rPr>
                <w:rFonts w:hint="default" w:ascii="宋体" w:hAnsi="宋体" w:cs="宋体"/>
                <w:color w:val="000000" w:themeColor="text1"/>
                <w14:textFill>
                  <w14:solidFill>
                    <w14:schemeClr w14:val="tx1"/>
                  </w14:solidFill>
                </w14:textFill>
              </w:rPr>
              <w:t>施工便道</w:t>
            </w:r>
          </w:p>
        </w:tc>
        <w:tc>
          <w:tcPr>
            <w:tcW w:w="60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w:t>
            </w:r>
          </w:p>
        </w:tc>
        <w:tc>
          <w:tcPr>
            <w:tcW w:w="89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246.31</w:t>
            </w:r>
          </w:p>
        </w:tc>
        <w:tc>
          <w:tcPr>
            <w:tcW w:w="103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p>
        </w:tc>
        <w:tc>
          <w:tcPr>
            <w:tcW w:w="44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73#</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28.55</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56#</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2260.84</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北支一渠（上）</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19#</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415.68</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20#</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401.82</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21#</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1058.56</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22#</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227.38</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扩建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15#</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989.68</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exact"/>
          <w:jc w:val="center"/>
        </w:trPr>
        <w:tc>
          <w:tcPr>
            <w:tcW w:w="446"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w:t>
            </w:r>
          </w:p>
        </w:tc>
        <w:tc>
          <w:tcPr>
            <w:tcW w:w="96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16#</w:t>
            </w:r>
            <w:r>
              <w:rPr>
                <w:rFonts w:hint="default" w:ascii="宋体" w:hAnsi="宋体" w:cs="宋体"/>
                <w:color w:val="000000" w:themeColor="text1"/>
                <w14:textFill>
                  <w14:solidFill>
                    <w14:schemeClr w14:val="tx1"/>
                  </w14:solidFill>
                </w14:textFill>
              </w:rPr>
              <w:t>施工便道</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83.6</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exact"/>
          <w:jc w:val="center"/>
        </w:trPr>
        <w:tc>
          <w:tcPr>
            <w:tcW w:w="2913" w:type="pct"/>
            <w:gridSpan w:val="4"/>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60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5712.42</w:t>
            </w:r>
          </w:p>
        </w:tc>
        <w:tc>
          <w:tcPr>
            <w:tcW w:w="10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w:t>
            </w:r>
          </w:p>
        </w:tc>
      </w:tr>
    </w:tbl>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（4）施工作业带</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项目渠道整治以人工作业为主，</w:t>
      </w:r>
      <w:r>
        <w:rPr>
          <w:rFonts w:hint="eastAsia"/>
          <w:color w:val="000000" w:themeColor="text1"/>
          <w:kern w:val="0"/>
          <w:sz w:val="24"/>
          <w:szCs w:val="24"/>
          <w:lang w:val="en-US" w:eastAsia="zh-CN"/>
          <w14:textFill>
            <w14:solidFill>
              <w14:schemeClr w14:val="tx1"/>
            </w14:solidFill>
          </w14:textFill>
        </w:rPr>
        <w:t>左右两侧</w:t>
      </w:r>
      <w:r>
        <w:rPr>
          <w:rFonts w:hint="eastAsia"/>
          <w:color w:val="000000" w:themeColor="text1"/>
          <w:kern w:val="0"/>
          <w:sz w:val="24"/>
          <w:szCs w:val="24"/>
          <w14:textFill>
            <w14:solidFill>
              <w14:schemeClr w14:val="tx1"/>
            </w14:solidFill>
          </w14:textFill>
        </w:rPr>
        <w:t>均设置1.5m施工作业带。施工作业带尽量布置于渠道永久用地和施工便道、现状道路范围内。</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（5）临时堆土场</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本期拟实施5条渠道拟设置1处临时堆土场，依托环城生态区农田综合整治</w:t>
      </w:r>
      <w:r>
        <w:rPr>
          <w:rFonts w:hint="eastAsia"/>
          <w:color w:val="000000" w:themeColor="text1"/>
          <w:kern w:val="0"/>
          <w:sz w:val="24"/>
          <w:szCs w:val="24"/>
          <w:lang w:val="en-US" w:eastAsia="zh-CN"/>
          <w14:textFill>
            <w14:solidFill>
              <w14:schemeClr w14:val="tx1"/>
            </w14:solidFill>
          </w14:textFill>
        </w:rPr>
        <w:t>工程</w:t>
      </w:r>
      <w:r>
        <w:rPr>
          <w:rFonts w:hint="eastAsia"/>
          <w:color w:val="000000" w:themeColor="text1"/>
          <w:kern w:val="0"/>
          <w:sz w:val="24"/>
          <w:szCs w:val="24"/>
          <w14:textFill>
            <w14:solidFill>
              <w14:schemeClr w14:val="tx1"/>
            </w14:solidFill>
          </w14:textFill>
        </w:rPr>
        <w:t>1个余土摊平处理区；分别为：董家堰临时堆土场（E：104.168976245，N：30.731823784）、南五、南六余土摊平处理区（E：104.200197158，N：30.680432659）。董家堰临时堆土场位于北支一渠（上）南侧，桩号K0+445；南五、南六余土摊平处理区位于螺狮坝立交西北，东风路北侧低洼地。</w:t>
      </w:r>
    </w:p>
    <w:p>
      <w:pPr>
        <w:autoSpaceDE/>
        <w:autoSpaceDN/>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w:t>
      </w:r>
      <w:r>
        <w:rPr>
          <w:color w:val="000000" w:themeColor="text1"/>
          <w:kern w:val="0"/>
          <w:sz w:val="24"/>
          <w:szCs w:val="24"/>
          <w14:textFill>
            <w14:solidFill>
              <w14:schemeClr w14:val="tx1"/>
            </w14:solidFill>
          </w14:textFill>
        </w:rPr>
        <w:t>项目组成及主要环境问题见下表：</w:t>
      </w:r>
    </w:p>
    <w:p>
      <w:pPr>
        <w:autoSpaceDE/>
        <w:autoSpaceDN/>
        <w:adjustRightInd w:val="0"/>
        <w:snapToGrid w:val="0"/>
        <w:ind w:firstLine="480" w:firstLineChars="200"/>
        <w:jc w:val="center"/>
        <w:rPr>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表2.2-9</w:t>
      </w:r>
      <w:r>
        <w:rPr>
          <w:rFonts w:eastAsia="黑体"/>
          <w:color w:val="000000" w:themeColor="text1"/>
          <w:kern w:val="0"/>
          <w:sz w:val="24"/>
          <w:szCs w:val="24"/>
          <w14:textFill>
            <w14:solidFill>
              <w14:schemeClr w14:val="tx1"/>
            </w14:solidFill>
          </w14:textFill>
        </w:rPr>
        <w:t>项目组成及主要环境问题</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28"/>
        <w:gridCol w:w="532"/>
        <w:gridCol w:w="5702"/>
        <w:gridCol w:w="928"/>
        <w:gridCol w:w="6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634" w:type="pct"/>
            <w:gridSpan w:val="2"/>
            <w:vMerge w:val="restar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工程项目</w:t>
            </w:r>
          </w:p>
        </w:tc>
        <w:tc>
          <w:tcPr>
            <w:tcW w:w="3410" w:type="pct"/>
            <w:vMerge w:val="restar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工程组成</w:t>
            </w:r>
          </w:p>
        </w:tc>
        <w:tc>
          <w:tcPr>
            <w:tcW w:w="954" w:type="pct"/>
            <w:gridSpan w:val="2"/>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主要环境影响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634" w:type="pct"/>
            <w:gridSpan w:val="2"/>
            <w:vMerge w:val="continue"/>
            <w:vAlign w:val="center"/>
          </w:tcPr>
          <w:p>
            <w:pPr>
              <w:keepNext w:val="0"/>
              <w:keepLines w:val="0"/>
              <w:suppressLineNumbers w:val="0"/>
              <w:spacing w:before="0" w:beforeAutospacing="0" w:after="0" w:afterAutospacing="0"/>
              <w:ind w:left="0" w:right="0" w:firstLine="480"/>
              <w:jc w:val="center"/>
              <w:rPr>
                <w:rFonts w:hint="default"/>
                <w:b/>
                <w:color w:val="000000" w:themeColor="text1"/>
                <w14:textFill>
                  <w14:solidFill>
                    <w14:schemeClr w14:val="tx1"/>
                  </w14:solidFill>
                </w14:textFill>
              </w:rPr>
            </w:pPr>
          </w:p>
        </w:tc>
        <w:tc>
          <w:tcPr>
            <w:tcW w:w="3410" w:type="pct"/>
            <w:vMerge w:val="continue"/>
            <w:vAlign w:val="center"/>
          </w:tcPr>
          <w:p>
            <w:pPr>
              <w:keepNext w:val="0"/>
              <w:keepLines w:val="0"/>
              <w:suppressLineNumbers w:val="0"/>
              <w:spacing w:before="0" w:beforeAutospacing="0" w:after="0" w:afterAutospacing="0"/>
              <w:ind w:left="0" w:right="0" w:firstLine="480"/>
              <w:jc w:val="center"/>
              <w:rPr>
                <w:rFonts w:hint="default"/>
                <w:b/>
                <w:color w:val="000000" w:themeColor="text1"/>
                <w14:textFill>
                  <w14:solidFill>
                    <w14:schemeClr w14:val="tx1"/>
                  </w14:solidFill>
                </w14:textFill>
              </w:rPr>
            </w:pPr>
          </w:p>
        </w:tc>
        <w:tc>
          <w:tcPr>
            <w:tcW w:w="555"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施工期</w:t>
            </w:r>
          </w:p>
        </w:tc>
        <w:tc>
          <w:tcPr>
            <w:tcW w:w="399"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营运期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主体工程</w:t>
            </w:r>
          </w:p>
        </w:tc>
        <w:tc>
          <w:tcPr>
            <w:tcW w:w="318" w:type="pct"/>
            <w:vAlign w:val="center"/>
          </w:tcPr>
          <w:p>
            <w:pPr>
              <w:keepNext w:val="0"/>
              <w:keepLines w:val="0"/>
              <w:suppressLineNumbers w:val="0"/>
              <w:spacing w:before="0" w:beforeAutospacing="0" w:after="0" w:afterAutospacing="0"/>
              <w:ind w:left="0" w:right="0"/>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渠道整治工程</w:t>
            </w:r>
          </w:p>
        </w:tc>
        <w:tc>
          <w:tcPr>
            <w:tcW w:w="3410" w:type="pct"/>
            <w:vAlign w:val="center"/>
          </w:tcPr>
          <w:p>
            <w:pPr>
              <w:keepNext w:val="0"/>
              <w:keepLines w:val="0"/>
              <w:suppressLineNumbers w:val="0"/>
              <w:spacing w:before="0" w:beforeAutospacing="0" w:after="0" w:afterAutospacing="0"/>
              <w:ind w:left="0" w:right="0"/>
              <w:rPr>
                <w:rFonts w:hint="default" w:eastAsia="宋"/>
                <w:color w:val="000000" w:themeColor="text1"/>
                <w14:textFill>
                  <w14:solidFill>
                    <w14:schemeClr w14:val="tx1"/>
                  </w14:solidFill>
                </w14:textFill>
              </w:rPr>
            </w:pPr>
            <w:r>
              <w:rPr>
                <w:rFonts w:hint="default" w:eastAsia="宋"/>
                <w:color w:val="000000" w:themeColor="text1"/>
                <w14:textFill>
                  <w14:solidFill>
                    <w14:schemeClr w14:val="tx1"/>
                  </w14:solidFill>
                </w14:textFill>
              </w:rPr>
              <w:t>主要</w:t>
            </w:r>
            <w:r>
              <w:rPr>
                <w:rFonts w:hint="eastAsia" w:eastAsia="宋"/>
                <w:color w:val="000000" w:themeColor="text1"/>
                <w14:textFill>
                  <w14:solidFill>
                    <w14:schemeClr w14:val="tx1"/>
                  </w14:solidFill>
                </w14:textFill>
              </w:rPr>
              <w:t>对成都市环城生态带现有5条灌溉及排</w:t>
            </w:r>
            <w:r>
              <w:rPr>
                <w:rFonts w:hint="eastAsia" w:eastAsia="宋"/>
                <w:color w:val="000000" w:themeColor="text1"/>
                <w:lang w:val="en-US" w:eastAsia="zh-CN"/>
                <w14:textFill>
                  <w14:solidFill>
                    <w14:schemeClr w14:val="tx1"/>
                  </w14:solidFill>
                </w14:textFill>
              </w:rPr>
              <w:t>涝</w:t>
            </w:r>
            <w:r>
              <w:rPr>
                <w:rFonts w:hint="eastAsia" w:eastAsia="宋"/>
                <w:color w:val="000000" w:themeColor="text1"/>
                <w14:textFill>
                  <w14:solidFill>
                    <w14:schemeClr w14:val="tx1"/>
                  </w14:solidFill>
                </w14:textFill>
              </w:rPr>
              <w:t>渠道</w:t>
            </w:r>
            <w:r>
              <w:rPr>
                <w:rFonts w:hint="default" w:eastAsia="宋"/>
                <w:color w:val="000000" w:themeColor="text1"/>
                <w14:textFill>
                  <w14:solidFill>
                    <w14:schemeClr w14:val="tx1"/>
                  </w14:solidFill>
                </w14:textFill>
              </w:rPr>
              <w:t>进行</w:t>
            </w:r>
            <w:r>
              <w:rPr>
                <w:rFonts w:hint="eastAsia" w:eastAsia="宋"/>
                <w:color w:val="000000" w:themeColor="text1"/>
                <w14:textFill>
                  <w14:solidFill>
                    <w14:schemeClr w14:val="tx1"/>
                  </w14:solidFill>
                </w14:textFill>
              </w:rPr>
              <w:t>整治</w:t>
            </w:r>
            <w:r>
              <w:rPr>
                <w:rFonts w:hint="default" w:eastAsia="宋"/>
                <w:color w:val="000000" w:themeColor="text1"/>
                <w14:textFill>
                  <w14:solidFill>
                    <w14:schemeClr w14:val="tx1"/>
                  </w14:solidFill>
                </w14:textFill>
              </w:rPr>
              <w:t>，</w:t>
            </w:r>
            <w:r>
              <w:rPr>
                <w:rFonts w:hint="eastAsia" w:eastAsia="宋"/>
                <w:color w:val="000000" w:themeColor="text1"/>
                <w:lang w:val="en-US" w:eastAsia="zh-CN"/>
                <w14:textFill>
                  <w14:solidFill>
                    <w14:schemeClr w14:val="tx1"/>
                  </w14:solidFill>
                </w14:textFill>
              </w:rPr>
              <w:t>不涉及新建渠道；</w:t>
            </w:r>
            <w:r>
              <w:rPr>
                <w:rFonts w:hint="eastAsia" w:eastAsia="宋"/>
                <w:color w:val="000000" w:themeColor="text1"/>
                <w14:textFill>
                  <w14:solidFill>
                    <w14:schemeClr w14:val="tx1"/>
                  </w14:solidFill>
                </w14:textFill>
              </w:rPr>
              <w:t>整治渠道总长</w:t>
            </w:r>
            <w:r>
              <w:rPr>
                <w:rFonts w:hint="eastAsia" w:eastAsia="宋"/>
                <w:color w:val="000000" w:themeColor="text1"/>
                <w:lang w:eastAsia="zh-CN"/>
                <w14:textFill>
                  <w14:solidFill>
                    <w14:schemeClr w14:val="tx1"/>
                  </w14:solidFill>
                </w14:textFill>
              </w:rPr>
              <w:t>6732m</w:t>
            </w:r>
            <w:r>
              <w:rPr>
                <w:rFonts w:hint="eastAsia" w:eastAsia="宋"/>
                <w:color w:val="000000" w:themeColor="text1"/>
                <w14:textFill>
                  <w14:solidFill>
                    <w14:schemeClr w14:val="tx1"/>
                  </w14:solidFill>
                </w14:textFill>
              </w:rPr>
              <w:t>。其中：</w:t>
            </w:r>
          </w:p>
          <w:p>
            <w:pPr>
              <w:keepNext w:val="0"/>
              <w:keepLines w:val="0"/>
              <w:suppressLineNumbers w:val="0"/>
              <w:spacing w:before="0" w:beforeAutospacing="0" w:after="0" w:afterAutospacing="0"/>
              <w:ind w:left="0" w:right="0"/>
              <w:rPr>
                <w:rFonts w:hint="eastAsia" w:eastAsia="宋"/>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北支一渠（上）：</w:t>
            </w:r>
            <w:r>
              <w:rPr>
                <w:rFonts w:hint="eastAsia"/>
                <w:color w:val="000000" w:themeColor="text1"/>
                <w:lang w:val="en-US" w:eastAsia="zh-CN"/>
                <w14:textFill>
                  <w14:solidFill>
                    <w14:schemeClr w14:val="tx1"/>
                  </w14:solidFill>
                </w14:textFill>
              </w:rPr>
              <w:t>为灌溉渠，</w:t>
            </w:r>
            <w:r>
              <w:rPr>
                <w:rFonts w:hint="eastAsia"/>
                <w:color w:val="000000" w:themeColor="text1"/>
                <w14:textFill>
                  <w14:solidFill>
                    <w14:schemeClr w14:val="tx1"/>
                  </w14:solidFill>
                </w14:textFill>
              </w:rPr>
              <w:t>整治长度为2261m</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K0+000~K0+2261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设计渠道底宽4m，渠高1.7m</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渠底</w:t>
            </w:r>
            <w:r>
              <w:rPr>
                <w:rFonts w:hint="eastAsia"/>
                <w:color w:val="000000" w:themeColor="text1"/>
                <w:lang w:val="en-US" w:eastAsia="zh-CN"/>
                <w14:textFill>
                  <w14:solidFill>
                    <w14:schemeClr w14:val="tx1"/>
                  </w14:solidFill>
                </w14:textFill>
              </w:rPr>
              <w:t>采用</w:t>
            </w:r>
            <w:r>
              <w:rPr>
                <w:rFonts w:hint="eastAsia"/>
                <w:color w:val="000000" w:themeColor="text1"/>
                <w14:textFill>
                  <w14:solidFill>
                    <w14:schemeClr w14:val="tx1"/>
                  </w14:solidFill>
                </w14:textFill>
              </w:rPr>
              <w:t>0.12m厚C25现浇砼板</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0.1m厚碎石垫层</w:t>
            </w:r>
            <w:r>
              <w:rPr>
                <w:rFonts w:hint="eastAsia"/>
                <w:color w:val="000000" w:themeColor="text1"/>
                <w:lang w:val="en-US" w:eastAsia="zh-CN"/>
                <w14:textFill>
                  <w14:solidFill>
                    <w14:schemeClr w14:val="tx1"/>
                  </w14:solidFill>
                </w14:textFill>
              </w:rPr>
              <w:t>+土工布</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挡土墙采用C25砼贴坡式，坡比1：0.5，挡土墙高2.2m，顶</w:t>
            </w:r>
            <w:r>
              <w:rPr>
                <w:rFonts w:hint="eastAsia" w:ascii="Times New Roman" w:hAnsi="Times New Roman" w:eastAsia="宋" w:cs="Times New Roman"/>
                <w:color w:val="000000" w:themeColor="text1"/>
                <w14:textFill>
                  <w14:solidFill>
                    <w14:schemeClr w14:val="tx1"/>
                  </w14:solidFill>
                </w14:textFill>
              </w:rPr>
              <w:t>宽0.5m，背水侧设排水孔和反滤料</w:t>
            </w:r>
            <w:r>
              <w:rPr>
                <w:rFonts w:hint="eastAsia" w:ascii="Times New Roman" w:hAnsi="Times New Roman" w:eastAsia="宋" w:cs="Times New Roman"/>
                <w:color w:val="000000" w:themeColor="text1"/>
                <w:lang w:eastAsia="zh-CN"/>
                <w14:textFill>
                  <w14:solidFill>
                    <w14:schemeClr w14:val="tx1"/>
                  </w14:solidFill>
                </w14:textFill>
              </w:rPr>
              <w:t>，</w:t>
            </w:r>
            <w:r>
              <w:rPr>
                <w:rFonts w:hint="eastAsia" w:ascii="Times New Roman" w:hAnsi="Times New Roman" w:eastAsia="宋" w:cs="Times New Roman"/>
                <w:color w:val="000000" w:themeColor="text1"/>
                <w14:textFill>
                  <w14:solidFill>
                    <w14:schemeClr w14:val="tx1"/>
                  </w14:solidFill>
                </w14:textFill>
              </w:rPr>
              <w:t>挡墙顶至岸坡上植草皮</w:t>
            </w:r>
            <w:r>
              <w:rPr>
                <w:rFonts w:hint="eastAsia" w:ascii="Times New Roman" w:hAnsi="Times New Roman" w:eastAsia="宋" w:cs="Times New Roman"/>
                <w:color w:val="000000" w:themeColor="text1"/>
                <w:lang w:eastAsia="zh-CN"/>
                <w14:textFill>
                  <w14:solidFill>
                    <w14:schemeClr w14:val="tx1"/>
                  </w14:solidFill>
                </w14:textFill>
              </w:rPr>
              <w:t>。</w:t>
            </w:r>
          </w:p>
          <w:p>
            <w:pPr>
              <w:keepNext w:val="0"/>
              <w:keepLines w:val="0"/>
              <w:suppressLineNumbers w:val="0"/>
              <w:spacing w:before="0" w:beforeAutospacing="0" w:after="0" w:afterAutospacing="0"/>
              <w:ind w:left="0" w:right="0"/>
              <w:rPr>
                <w:rFonts w:hint="eastAsia" w:eastAsia="宋体"/>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董家堰补水渠（上）：</w:t>
            </w:r>
            <w:r>
              <w:rPr>
                <w:rFonts w:hint="eastAsia"/>
                <w:color w:val="000000" w:themeColor="text1"/>
                <w:lang w:val="en-US" w:eastAsia="zh-CN"/>
                <w14:textFill>
                  <w14:solidFill>
                    <w14:schemeClr w14:val="tx1"/>
                  </w14:solidFill>
                </w14:textFill>
              </w:rPr>
              <w:t>为灌排渠，</w:t>
            </w:r>
            <w:r>
              <w:rPr>
                <w:rFonts w:hint="eastAsia"/>
                <w:color w:val="000000" w:themeColor="text1"/>
                <w14:textFill>
                  <w14:solidFill>
                    <w14:schemeClr w14:val="tx1"/>
                  </w14:solidFill>
                </w14:textFill>
              </w:rPr>
              <w:t>整治长度为235m</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K0+000~K0+235</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设计渠道底宽1.0m，高1.0m，壁厚0.3m</w:t>
            </w:r>
            <w:r>
              <w:rPr>
                <w:rFonts w:hint="eastAsia" w:ascii="Times New Roman" w:hAnsi="Times New Roman" w:eastAsia="宋体" w:cs="Times New Roman"/>
                <w:color w:val="000000" w:themeColor="text1"/>
                <w14:textFill>
                  <w14:solidFill>
                    <w14:schemeClr w14:val="tx1"/>
                  </w14:solidFill>
                </w14:textFill>
              </w:rPr>
              <w:t>，底板厚0.3m，底部</w:t>
            </w:r>
            <w:r>
              <w:rPr>
                <w:rFonts w:hint="eastAsia" w:ascii="Times New Roman" w:hAnsi="Times New Roman" w:eastAsia="宋体" w:cs="Times New Roman"/>
                <w:color w:val="000000" w:themeColor="text1"/>
                <w:lang w:val="en-US" w:eastAsia="zh-CN"/>
                <w14:textFill>
                  <w14:solidFill>
                    <w14:schemeClr w14:val="tx1"/>
                  </w14:solidFill>
                </w14:textFill>
              </w:rPr>
              <w:t>采用</w:t>
            </w:r>
            <w:r>
              <w:rPr>
                <w:rFonts w:hint="eastAsia" w:ascii="Times New Roman" w:hAnsi="Times New Roman" w:eastAsia="宋体" w:cs="Times New Roman"/>
                <w:color w:val="000000" w:themeColor="text1"/>
                <w14:textFill>
                  <w14:solidFill>
                    <w14:schemeClr w14:val="tx1"/>
                  </w14:solidFill>
                </w14:textFill>
              </w:rPr>
              <w:t>0.1m厚碎石垫层</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在设计河床以上至设计水位+0.5m（超高）采用C30钢筋砼现浇矩形渠结构全断面护砌</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矩形渠顶至岸坡上植草皮</w:t>
            </w:r>
            <w:r>
              <w:rPr>
                <w:rFonts w:hint="eastAsia" w:ascii="Times New Roman" w:hAnsi="Times New Roman" w:eastAsia="宋体" w:cs="Times New Roman"/>
                <w:color w:val="000000" w:themeColor="text1"/>
                <w:lang w:eastAsia="zh-CN"/>
                <w14:textFill>
                  <w14:solidFill>
                    <w14:schemeClr w14:val="tx1"/>
                  </w14:solidFill>
                </w14:textFill>
              </w:rPr>
              <w:t>。</w:t>
            </w:r>
          </w:p>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董家堰补水渠（下）：</w:t>
            </w:r>
            <w:r>
              <w:rPr>
                <w:rFonts w:hint="eastAsia"/>
                <w:color w:val="000000" w:themeColor="text1"/>
                <w:lang w:val="en-US" w:eastAsia="zh-CN"/>
                <w14:textFill>
                  <w14:solidFill>
                    <w14:schemeClr w14:val="tx1"/>
                  </w14:solidFill>
                </w14:textFill>
              </w:rPr>
              <w:t>为灌排渠，</w:t>
            </w:r>
            <w:r>
              <w:rPr>
                <w:rFonts w:hint="eastAsia"/>
                <w:color w:val="000000" w:themeColor="text1"/>
                <w14:textFill>
                  <w14:solidFill>
                    <w14:schemeClr w14:val="tx1"/>
                  </w14:solidFill>
                </w14:textFill>
              </w:rPr>
              <w:t>整治长度为34m</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K0+000~K0+034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新建排水口一个（</w:t>
            </w:r>
            <w:r>
              <w:rPr>
                <w:rFonts w:hint="default"/>
                <w:color w:val="000000" w:themeColor="text1"/>
                <w14:textFill>
                  <w14:solidFill>
                    <w14:schemeClr w14:val="tx1"/>
                  </w14:solidFill>
                </w14:textFill>
              </w:rPr>
              <w:t>0+028</w:t>
            </w:r>
            <w:r>
              <w:rPr>
                <w:rFonts w:hint="eastAsia"/>
                <w:color w:val="000000" w:themeColor="text1"/>
                <w:lang w:val="en-US" w:eastAsia="zh-CN"/>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设计渠道底宽1.5m，高1.0m</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底部</w:t>
            </w:r>
            <w:r>
              <w:rPr>
                <w:rFonts w:hint="eastAsia"/>
                <w:color w:val="000000" w:themeColor="text1"/>
                <w:lang w:val="en-US" w:eastAsia="zh-CN"/>
                <w14:textFill>
                  <w14:solidFill>
                    <w14:schemeClr w14:val="tx1"/>
                  </w14:solidFill>
                </w14:textFill>
              </w:rPr>
              <w:t>采用</w:t>
            </w:r>
            <w:r>
              <w:rPr>
                <w:rFonts w:hint="eastAsia"/>
                <w:color w:val="000000" w:themeColor="text1"/>
                <w14:textFill>
                  <w14:solidFill>
                    <w14:schemeClr w14:val="tx1"/>
                  </w14:solidFill>
                </w14:textFill>
              </w:rPr>
              <w:t>0.1m厚碎石垫层</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在设计河床以上至设计水位+0.36m（超高）</w:t>
            </w:r>
            <w:r>
              <w:rPr>
                <w:rFonts w:hint="eastAsia"/>
                <w:color w:val="000000" w:themeColor="text1"/>
                <w14:textFill>
                  <w14:solidFill>
                    <w14:schemeClr w14:val="tx1"/>
                  </w14:solidFill>
                </w14:textFill>
              </w:rPr>
              <w:t>采用C30钢筋砼现浇矩形渠结构</w:t>
            </w:r>
            <w:r>
              <w:rPr>
                <w:rFonts w:hint="eastAsia" w:ascii="Times New Roman" w:hAnsi="Times New Roman" w:eastAsia="宋体" w:cs="Times New Roman"/>
                <w:color w:val="000000" w:themeColor="text1"/>
                <w14:textFill>
                  <w14:solidFill>
                    <w14:schemeClr w14:val="tx1"/>
                  </w14:solidFill>
                </w14:textFill>
              </w:rPr>
              <w:t>全断面护砌</w:t>
            </w:r>
            <w:r>
              <w:rPr>
                <w:rFonts w:hint="eastAsia" w:eastAsia="宋体"/>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矩形渠顶至岸坡上植草皮</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拆除重建排水口1座，采用DN500钢筋砼II级承插管。</w:t>
            </w:r>
          </w:p>
          <w:p>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14:textFill>
                  <w14:solidFill>
                    <w14:schemeClr w14:val="tx1"/>
                  </w14:solidFill>
                </w14:textFill>
              </w:rPr>
            </w:pP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南五支渠</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为灌排渠，</w:t>
            </w:r>
            <w:r>
              <w:rPr>
                <w:rFonts w:hint="eastAsia"/>
                <w:color w:val="000000" w:themeColor="text1"/>
                <w14:textFill>
                  <w14:solidFill>
                    <w14:schemeClr w14:val="tx1"/>
                  </w14:solidFill>
                </w14:textFill>
              </w:rPr>
              <w:t>整治长度为3056m</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K0+000~K3+056</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设计渠底宽1.0m，高1.1m，底部</w:t>
            </w:r>
            <w:r>
              <w:rPr>
                <w:rFonts w:hint="eastAsia"/>
                <w:color w:val="000000" w:themeColor="text1"/>
                <w:lang w:val="en-US" w:eastAsia="zh-CN"/>
                <w14:textFill>
                  <w14:solidFill>
                    <w14:schemeClr w14:val="tx1"/>
                  </w14:solidFill>
                </w14:textFill>
              </w:rPr>
              <w:t>采用</w:t>
            </w:r>
            <w:r>
              <w:rPr>
                <w:rFonts w:hint="eastAsia"/>
                <w:color w:val="000000" w:themeColor="text1"/>
                <w14:textFill>
                  <w14:solidFill>
                    <w14:schemeClr w14:val="tx1"/>
                  </w14:solidFill>
                </w14:textFill>
              </w:rPr>
              <w:t>0</w:t>
            </w:r>
            <w:r>
              <w:rPr>
                <w:rFonts w:hint="eastAsia" w:ascii="Times New Roman" w:hAnsi="Times New Roman" w:eastAsia="宋体" w:cs="Times New Roman"/>
                <w:color w:val="000000" w:themeColor="text1"/>
                <w14:textFill>
                  <w14:solidFill>
                    <w14:schemeClr w14:val="tx1"/>
                  </w14:solidFill>
                </w14:textFill>
              </w:rPr>
              <w:t>.1m厚碎石垫层</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设计河床以上至设计水位+0.4m（超高）采用C30钢筋砼现浇矩形渠结构</w:t>
            </w:r>
            <w:r>
              <w:rPr>
                <w:rFonts w:hint="eastAsia" w:ascii="Times New Roman" w:hAnsi="Times New Roman" w:eastAsia="宋体" w:cs="Times New Roman"/>
                <w:color w:val="000000" w:themeColor="text1"/>
                <w:lang w:val="en-US" w:eastAsia="zh-CN"/>
                <w14:textFill>
                  <w14:solidFill>
                    <w14:schemeClr w14:val="tx1"/>
                  </w14:solidFill>
                </w14:textFill>
              </w:rPr>
              <w:t>全断面护砌；</w:t>
            </w:r>
            <w:r>
              <w:rPr>
                <w:rFonts w:hint="eastAsia" w:ascii="Times New Roman" w:hAnsi="Times New Roman" w:eastAsia="宋体" w:cs="Times New Roman"/>
                <w:color w:val="000000" w:themeColor="text1"/>
                <w14:textFill>
                  <w14:solidFill>
                    <w14:schemeClr w14:val="tx1"/>
                  </w14:solidFill>
                </w14:textFill>
              </w:rPr>
              <w:t>矩形渠顶至岸坡上植草皮。拆除涵2座，改为渠道。</w:t>
            </w:r>
          </w:p>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（5）南六支渠</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为灌排渠，</w:t>
            </w:r>
            <w:r>
              <w:rPr>
                <w:rFonts w:hint="eastAsia"/>
                <w:color w:val="000000" w:themeColor="text1"/>
                <w14:textFill>
                  <w14:solidFill>
                    <w14:schemeClr w14:val="tx1"/>
                  </w14:solidFill>
                </w14:textFill>
              </w:rPr>
              <w:t>整治长度为</w:t>
            </w:r>
            <w:r>
              <w:rPr>
                <w:rFonts w:hint="eastAsia"/>
                <w:color w:val="000000" w:themeColor="text1"/>
                <w:lang w:eastAsia="zh-CN"/>
                <w14:textFill>
                  <w14:solidFill>
                    <w14:schemeClr w14:val="tx1"/>
                  </w14:solidFill>
                </w14:textFill>
              </w:rPr>
              <w:t>1146m（</w:t>
            </w:r>
            <w:r>
              <w:rPr>
                <w:rFonts w:hint="eastAsia"/>
                <w:color w:val="000000" w:themeColor="text1"/>
                <w:lang w:val="en-US" w:eastAsia="zh-CN"/>
                <w14:textFill>
                  <w14:solidFill>
                    <w14:schemeClr w14:val="tx1"/>
                  </w14:solidFill>
                </w14:textFill>
              </w:rPr>
              <w:t>K0+000~K1+146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新建排水口1个（</w:t>
            </w:r>
            <w:r>
              <w:rPr>
                <w:rFonts w:hint="default"/>
                <w:color w:val="000000" w:themeColor="text1"/>
                <w14:textFill>
                  <w14:solidFill>
                    <w14:schemeClr w14:val="tx1"/>
                  </w14:solidFill>
                </w14:textFill>
              </w:rPr>
              <w:t>2+793</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设计渠道底宽1.0m，高1.0m，底部</w:t>
            </w:r>
            <w:r>
              <w:rPr>
                <w:rFonts w:hint="eastAsia"/>
                <w:color w:val="000000" w:themeColor="text1"/>
                <w:lang w:val="en-US" w:eastAsia="zh-CN"/>
                <w14:textFill>
                  <w14:solidFill>
                    <w14:schemeClr w14:val="tx1"/>
                  </w14:solidFill>
                </w14:textFill>
              </w:rPr>
              <w:t>采用</w:t>
            </w:r>
            <w:r>
              <w:rPr>
                <w:rFonts w:hint="eastAsia"/>
                <w:color w:val="000000" w:themeColor="text1"/>
                <w14:textFill>
                  <w14:solidFill>
                    <w14:schemeClr w14:val="tx1"/>
                  </w14:solidFill>
                </w14:textFill>
              </w:rPr>
              <w:t>0.1m厚碎石垫层</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在设计河床以上至设计水位+0.4m（超高）采用C30钢筋砼现</w:t>
            </w:r>
            <w:r>
              <w:rPr>
                <w:rFonts w:hint="eastAsia"/>
                <w:color w:val="000000" w:themeColor="text1"/>
                <w14:textFill>
                  <w14:solidFill>
                    <w14:schemeClr w14:val="tx1"/>
                  </w14:solidFill>
                </w14:textFill>
              </w:rPr>
              <w:t>浇矩形渠结构</w:t>
            </w:r>
            <w:r>
              <w:rPr>
                <w:rFonts w:hint="eastAsia"/>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矩形渠顶至岸坡上植草皮</w:t>
            </w:r>
            <w:r>
              <w:rPr>
                <w:rFonts w:hint="eastAsia"/>
                <w:color w:val="000000" w:themeColor="text1"/>
                <w14:textFill>
                  <w14:solidFill>
                    <w14:schemeClr w14:val="tx1"/>
                  </w14:solidFill>
                </w14:textFill>
              </w:rPr>
              <w:t>。拆除箱涵4座，改为渠道。</w:t>
            </w:r>
          </w:p>
        </w:tc>
        <w:tc>
          <w:tcPr>
            <w:tcW w:w="555"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w:t>
            </w:r>
            <w:r>
              <w:rPr>
                <w:rFonts w:hint="default"/>
                <w:color w:val="000000" w:themeColor="text1"/>
                <w14:textFill>
                  <w14:solidFill>
                    <w14:schemeClr w14:val="tx1"/>
                  </w14:solidFill>
                </w14:textFill>
              </w:rPr>
              <w:t>废水、生活污水、土石方、淤泥、生活垃圾、施工噪声、水土流失、植被破坏</w:t>
            </w:r>
          </w:p>
        </w:tc>
        <w:tc>
          <w:tcPr>
            <w:tcW w:w="399"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环境</w:t>
            </w:r>
            <w:r>
              <w:rPr>
                <w:rFonts w:hint="default"/>
                <w:color w:val="000000" w:themeColor="text1"/>
                <w14:textFill>
                  <w14:solidFill>
                    <w14:schemeClr w14:val="tx1"/>
                  </w14:solidFill>
                </w14:textFill>
              </w:rPr>
              <w:t>正效益为主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闸门及工程</w:t>
            </w:r>
          </w:p>
        </w:tc>
        <w:tc>
          <w:tcPr>
            <w:tcW w:w="3410" w:type="pct"/>
            <w:tcBorders>
              <w:bottom w:val="single" w:color="auto" w:sz="4" w:space="0"/>
            </w:tcBorders>
            <w:vAlign w:val="center"/>
          </w:tcPr>
          <w:p>
            <w:pPr>
              <w:keepNext w:val="0"/>
              <w:keepLines w:val="0"/>
              <w:widowControl/>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南六支渠新建水闸4座，其中节制闸2座，分水闸2座，规模均为1m</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1m-1孔（宽</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高），采用一体化闸门，主要由进口段、闸室段及下游连接段3部分组成，闸室布置智能化控制系统。</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97" w:hRule="atLeast"/>
          <w:jc w:val="center"/>
        </w:trPr>
        <w:tc>
          <w:tcPr>
            <w:tcW w:w="316"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临时</w:t>
            </w:r>
          </w:p>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工程</w:t>
            </w: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施工导流</w:t>
            </w:r>
          </w:p>
        </w:tc>
        <w:tc>
          <w:tcPr>
            <w:tcW w:w="3410" w:type="pct"/>
            <w:vAlign w:val="center"/>
          </w:tcPr>
          <w:p>
            <w:pPr>
              <w:keepNext w:val="0"/>
              <w:keepLines w:val="0"/>
              <w:suppressLineNumbers w:val="0"/>
              <w:autoSpaceDE/>
              <w:autoSpaceDN/>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渠道施工期选在非灌溉期，</w:t>
            </w:r>
            <w:r>
              <w:rPr>
                <w:rFonts w:hint="eastAsia"/>
                <w:color w:val="000000" w:themeColor="text1"/>
                <w:lang w:val="en-US" w:eastAsia="zh-CN"/>
                <w14:textFill>
                  <w14:solidFill>
                    <w14:schemeClr w14:val="tx1"/>
                  </w14:solidFill>
                </w14:textFill>
              </w:rPr>
              <w:t>为断水施工，</w:t>
            </w:r>
            <w:r>
              <w:rPr>
                <w:rFonts w:hint="eastAsia"/>
                <w:color w:val="000000" w:themeColor="text1"/>
                <w14:textFill>
                  <w14:solidFill>
                    <w14:schemeClr w14:val="tx1"/>
                  </w14:solidFill>
                </w14:textFill>
              </w:rPr>
              <w:t>期间不再从上游引水，对临时积水采用水泵抽排方式；对所在渠道水位较高的渠系建筑物上下游填筑</w:t>
            </w:r>
            <w:r>
              <w:rPr>
                <w:rFonts w:hint="default"/>
                <w:color w:val="000000" w:themeColor="text1"/>
                <w14:textFill>
                  <w14:solidFill>
                    <w14:schemeClr w14:val="tx1"/>
                  </w14:solidFill>
                </w14:textFill>
              </w:rPr>
              <w:t>横向</w:t>
            </w:r>
            <w:r>
              <w:rPr>
                <w:rFonts w:hint="eastAsia"/>
                <w:color w:val="000000" w:themeColor="text1"/>
                <w14:textFill>
                  <w14:solidFill>
                    <w14:schemeClr w14:val="tx1"/>
                  </w14:solidFill>
                </w14:textFill>
              </w:rPr>
              <w:t>围堰，利用水泵定期抽排基坑积水、渗水的方式实现干地施工，围堰采用编织袋土围堰。</w:t>
            </w:r>
          </w:p>
        </w:tc>
        <w:tc>
          <w:tcPr>
            <w:tcW w:w="555"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水土流失、施工噪声、施工扬尘</w:t>
            </w:r>
          </w:p>
        </w:tc>
        <w:tc>
          <w:tcPr>
            <w:tcW w:w="399"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20" w:hRule="atLeast"/>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施工工区</w:t>
            </w:r>
          </w:p>
        </w:tc>
        <w:tc>
          <w:tcPr>
            <w:tcW w:w="3410" w:type="pct"/>
            <w:vAlign w:val="center"/>
          </w:tcPr>
          <w:p>
            <w:pPr>
              <w:keepNext w:val="0"/>
              <w:keepLines w:val="0"/>
              <w:suppressLineNumbers w:val="0"/>
              <w:snapToGrid w:val="0"/>
              <w:spacing w:before="120" w:beforeLines="5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本项目共设置1个施工工区，占地面积4000㎡，工区内设置综合仓库、钢筋及木模加工厂等。各类施工机械车辆保养维修均委托附近城镇内厂家；</w:t>
            </w:r>
            <w:r>
              <w:rPr>
                <w:rFonts w:hint="eastAsia"/>
                <w:color w:val="000000" w:themeColor="text1"/>
                <w:lang w:val="en-US" w:eastAsia="zh-CN"/>
                <w14:textFill>
                  <w14:solidFill>
                    <w14:schemeClr w14:val="tx1"/>
                  </w14:solidFill>
                </w14:textFill>
              </w:rPr>
              <w:t>施工人员</w:t>
            </w:r>
            <w:r>
              <w:rPr>
                <w:rFonts w:hint="eastAsia"/>
                <w:color w:val="000000" w:themeColor="text1"/>
                <w14:textFill>
                  <w14:solidFill>
                    <w14:schemeClr w14:val="tx1"/>
                  </w14:solidFill>
                </w14:textFill>
              </w:rPr>
              <w:t>办公生活等用房租用当地</w:t>
            </w:r>
            <w:r>
              <w:rPr>
                <w:rFonts w:hint="eastAsia"/>
                <w:color w:val="000000" w:themeColor="text1"/>
                <w:lang w:val="en-US" w:eastAsia="zh-CN"/>
                <w14:textFill>
                  <w14:solidFill>
                    <w14:schemeClr w14:val="tx1"/>
                  </w14:solidFill>
                </w14:textFill>
              </w:rPr>
              <w:t>现有商住房</w:t>
            </w:r>
            <w:r>
              <w:rPr>
                <w:rFonts w:hint="eastAsia"/>
                <w:color w:val="000000" w:themeColor="text1"/>
                <w14:textFill>
                  <w14:solidFill>
                    <w14:schemeClr w14:val="tx1"/>
                  </w14:solidFill>
                </w14:textFill>
              </w:rPr>
              <w:t>。</w:t>
            </w:r>
          </w:p>
        </w:tc>
        <w:tc>
          <w:tcPr>
            <w:tcW w:w="555"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水土流失、施工“三废”排放。</w:t>
            </w:r>
          </w:p>
        </w:tc>
        <w:tc>
          <w:tcPr>
            <w:tcW w:w="399"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7" w:hRule="atLeast"/>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施工交通</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对外交通：工程区道路纵横交错，对外交通</w:t>
            </w:r>
            <w:r>
              <w:rPr>
                <w:rFonts w:hint="eastAsia"/>
                <w:color w:val="000000" w:themeColor="text1"/>
                <w14:textFill>
                  <w14:solidFill>
                    <w14:schemeClr w14:val="tx1"/>
                  </w14:solidFill>
                </w14:textFill>
              </w:rPr>
              <w:t>便利</w:t>
            </w:r>
            <w:r>
              <w:rPr>
                <w:rFonts w:hint="default"/>
                <w:color w:val="000000" w:themeColor="text1"/>
                <w14:textFill>
                  <w14:solidFill>
                    <w14:schemeClr w14:val="tx1"/>
                  </w14:solidFill>
                </w14:textFill>
              </w:rPr>
              <w:t>。</w:t>
            </w:r>
          </w:p>
        </w:tc>
        <w:tc>
          <w:tcPr>
            <w:tcW w:w="555"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施工“三废”排放、水土流失、占用土地、改变地貌、破坏原有植被和自然景观等</w:t>
            </w:r>
          </w:p>
        </w:tc>
        <w:tc>
          <w:tcPr>
            <w:tcW w:w="399"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410" w:type="pct"/>
            <w:vAlign w:val="center"/>
          </w:tcPr>
          <w:p>
            <w:pPr>
              <w:keepNext w:val="0"/>
              <w:keepLines w:val="0"/>
              <w:suppressLineNumbers w:val="0"/>
              <w:spacing w:before="0" w:beforeAutospacing="0" w:after="0" w:afterAutospacing="0"/>
              <w:ind w:left="0" w:right="0"/>
              <w:rPr>
                <w:rFonts w:hint="default" w:eastAsia="宋"/>
                <w:color w:val="000000" w:themeColor="text1"/>
                <w14:textFill>
                  <w14:solidFill>
                    <w14:schemeClr w14:val="tx1"/>
                  </w14:solidFill>
                </w14:textFill>
              </w:rPr>
            </w:pPr>
            <w:r>
              <w:rPr>
                <w:rFonts w:hint="default"/>
                <w:color w:val="000000" w:themeColor="text1"/>
                <w14:textFill>
                  <w14:solidFill>
                    <w14:schemeClr w14:val="tx1"/>
                  </w14:solidFill>
                </w14:textFill>
              </w:rPr>
              <w:t>场内交</w:t>
            </w:r>
            <w:r>
              <w:rPr>
                <w:rFonts w:hint="eastAsia" w:eastAsia="宋"/>
                <w:color w:val="000000" w:themeColor="text1"/>
                <w14:textFill>
                  <w14:solidFill>
                    <w14:schemeClr w14:val="tx1"/>
                  </w14:solidFill>
                </w14:textFill>
              </w:rPr>
              <w:t>通：为施工工厂与仓库、渠道开挖、填筑区、临时堆土</w:t>
            </w:r>
          </w:p>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eastAsia="宋"/>
                <w:color w:val="000000" w:themeColor="text1"/>
                <w:lang w:val="en-US" w:eastAsia="zh-CN"/>
                <w14:textFill>
                  <w14:solidFill>
                    <w14:schemeClr w14:val="tx1"/>
                  </w14:solidFill>
                </w14:textFill>
              </w:rPr>
              <w:t>场外交通：场地</w:t>
            </w:r>
            <w:r>
              <w:rPr>
                <w:rFonts w:hint="default" w:eastAsia="宋"/>
                <w:color w:val="000000" w:themeColor="text1"/>
                <w14:textFill>
                  <w14:solidFill>
                    <w14:schemeClr w14:val="tx1"/>
                  </w14:solidFill>
                </w14:textFill>
              </w:rPr>
              <w:t>与生产区之间的连接道路</w:t>
            </w:r>
            <w:r>
              <w:rPr>
                <w:rFonts w:hint="eastAsia" w:eastAsia="宋"/>
                <w:color w:val="000000" w:themeColor="text1"/>
                <w14:textFill>
                  <w14:solidFill>
                    <w14:schemeClr w14:val="tx1"/>
                  </w14:solidFill>
                </w14:textFill>
              </w:rPr>
              <w:t>，</w:t>
            </w:r>
            <w:r>
              <w:rPr>
                <w:rFonts w:hint="default" w:eastAsia="宋"/>
                <w:color w:val="000000" w:themeColor="text1"/>
                <w14:textFill>
                  <w14:solidFill>
                    <w14:schemeClr w14:val="tx1"/>
                  </w14:solidFill>
                </w14:textFill>
              </w:rPr>
              <w:t>采用土路与水泥路相结合，主要利用渠道附近现有沿河路和新建临时道路</w:t>
            </w:r>
            <w:r>
              <w:rPr>
                <w:rFonts w:hint="eastAsia" w:eastAsia="宋"/>
                <w:color w:val="000000" w:themeColor="text1"/>
                <w14:textFill>
                  <w14:solidFill>
                    <w14:schemeClr w14:val="tx1"/>
                  </w14:solidFill>
                </w14:textFill>
              </w:rPr>
              <w:t>。项目共建临时道路</w:t>
            </w:r>
            <w:r>
              <w:rPr>
                <w:rFonts w:hint="default" w:eastAsia="宋"/>
                <w:color w:val="000000" w:themeColor="text1"/>
                <w14:textFill>
                  <w14:solidFill>
                    <w14:schemeClr w14:val="tx1"/>
                  </w14:solidFill>
                </w14:textFill>
              </w:rPr>
              <w:t>5.71km</w:t>
            </w:r>
            <w:r>
              <w:rPr>
                <w:rFonts w:hint="eastAsia" w:eastAsia="宋"/>
                <w:color w:val="000000" w:themeColor="text1"/>
                <w14:textFill>
                  <w14:solidFill>
                    <w14:schemeClr w14:val="tx1"/>
                  </w14:solidFill>
                </w14:textFill>
              </w:rPr>
              <w:t>，其中新建施工临时道路</w:t>
            </w:r>
            <w:r>
              <w:rPr>
                <w:rFonts w:hint="default" w:eastAsia="宋"/>
                <w:color w:val="000000" w:themeColor="text1"/>
                <w14:textFill>
                  <w14:solidFill>
                    <w14:schemeClr w14:val="tx1"/>
                  </w14:solidFill>
                </w14:textFill>
              </w:rPr>
              <w:t>5.48km</w:t>
            </w:r>
            <w:r>
              <w:rPr>
                <w:rFonts w:hint="eastAsia" w:eastAsia="宋"/>
                <w:color w:val="000000" w:themeColor="text1"/>
                <w14:textFill>
                  <w14:solidFill>
                    <w14:schemeClr w14:val="tx1"/>
                  </w14:solidFill>
                </w14:textFill>
              </w:rPr>
              <w:t>，其中路面宽</w:t>
            </w:r>
            <w:r>
              <w:rPr>
                <w:rFonts w:hint="default" w:eastAsia="宋"/>
                <w:color w:val="000000" w:themeColor="text1"/>
                <w14:textFill>
                  <w14:solidFill>
                    <w14:schemeClr w14:val="tx1"/>
                  </w14:solidFill>
                </w14:textFill>
              </w:rPr>
              <w:t>4.5m</w:t>
            </w:r>
            <w:r>
              <w:rPr>
                <w:rFonts w:hint="eastAsia" w:eastAsia="宋"/>
                <w:color w:val="000000" w:themeColor="text1"/>
                <w14:textFill>
                  <w14:solidFill>
                    <w14:schemeClr w14:val="tx1"/>
                  </w14:solidFill>
                </w14:textFill>
              </w:rPr>
              <w:t>为</w:t>
            </w:r>
            <w:r>
              <w:rPr>
                <w:rFonts w:hint="default" w:eastAsia="宋"/>
                <w:color w:val="000000" w:themeColor="text1"/>
                <w14:textFill>
                  <w14:solidFill>
                    <w14:schemeClr w14:val="tx1"/>
                  </w14:solidFill>
                </w14:textFill>
              </w:rPr>
              <w:t>2.54km</w:t>
            </w:r>
            <w:r>
              <w:rPr>
                <w:rFonts w:hint="eastAsia" w:eastAsia="宋"/>
                <w:color w:val="000000" w:themeColor="text1"/>
                <w14:textFill>
                  <w14:solidFill>
                    <w14:schemeClr w14:val="tx1"/>
                  </w14:solidFill>
                </w14:textFill>
              </w:rPr>
              <w:t>，路面宽</w:t>
            </w:r>
            <w:r>
              <w:rPr>
                <w:rFonts w:hint="default" w:eastAsia="宋"/>
                <w:color w:val="000000" w:themeColor="text1"/>
                <w14:textFill>
                  <w14:solidFill>
                    <w14:schemeClr w14:val="tx1"/>
                  </w14:solidFill>
                </w14:textFill>
              </w:rPr>
              <w:t>4m</w:t>
            </w:r>
            <w:r>
              <w:rPr>
                <w:rFonts w:hint="eastAsia" w:eastAsia="宋"/>
                <w:color w:val="000000" w:themeColor="text1"/>
                <w14:textFill>
                  <w14:solidFill>
                    <w14:schemeClr w14:val="tx1"/>
                  </w14:solidFill>
                </w14:textFill>
              </w:rPr>
              <w:t>为</w:t>
            </w:r>
            <w:r>
              <w:rPr>
                <w:rFonts w:hint="default" w:eastAsia="宋"/>
                <w:color w:val="000000" w:themeColor="text1"/>
                <w14:textFill>
                  <w14:solidFill>
                    <w14:schemeClr w14:val="tx1"/>
                  </w14:solidFill>
                </w14:textFill>
              </w:rPr>
              <w:t>2.95km</w:t>
            </w:r>
            <w:r>
              <w:rPr>
                <w:rFonts w:hint="eastAsia" w:eastAsia="宋"/>
                <w:color w:val="000000" w:themeColor="text1"/>
                <w14:textFill>
                  <w14:solidFill>
                    <w14:schemeClr w14:val="tx1"/>
                  </w14:solidFill>
                </w14:textFill>
              </w:rPr>
              <w:t>；扩建道路约</w:t>
            </w:r>
            <w:r>
              <w:rPr>
                <w:rFonts w:hint="default" w:eastAsia="宋"/>
                <w:color w:val="000000" w:themeColor="text1"/>
                <w14:textFill>
                  <w14:solidFill>
                    <w14:schemeClr w14:val="tx1"/>
                  </w14:solidFill>
                </w14:textFill>
              </w:rPr>
              <w:t>0.23km</w:t>
            </w:r>
            <w:r>
              <w:rPr>
                <w:rFonts w:hint="eastAsia" w:eastAsia="宋"/>
                <w:color w:val="000000" w:themeColor="text1"/>
                <w14:textFill>
                  <w14:solidFill>
                    <w14:schemeClr w14:val="tx1"/>
                  </w14:solidFill>
                </w14:textFill>
              </w:rPr>
              <w:t>，为宽</w:t>
            </w:r>
            <w:r>
              <w:rPr>
                <w:rFonts w:hint="default" w:eastAsia="宋"/>
                <w:color w:val="000000" w:themeColor="text1"/>
                <w14:textFill>
                  <w14:solidFill>
                    <w14:schemeClr w14:val="tx1"/>
                  </w14:solidFill>
                </w14:textFill>
              </w:rPr>
              <w:t>4m</w:t>
            </w:r>
            <w:r>
              <w:rPr>
                <w:rFonts w:hint="eastAsia" w:eastAsia="宋"/>
                <w:color w:val="000000" w:themeColor="text1"/>
                <w14:textFill>
                  <w14:solidFill>
                    <w14:schemeClr w14:val="tx1"/>
                  </w14:solidFill>
                </w14:textFill>
              </w:rPr>
              <w:t>路面。</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84" w:hRule="atLeast"/>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施工作业带</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eastAsia="宋"/>
                <w:color w:val="000000" w:themeColor="text1"/>
                <w14:textFill>
                  <w14:solidFill>
                    <w14:schemeClr w14:val="tx1"/>
                  </w14:solidFill>
                </w14:textFill>
              </w:rPr>
              <w:t>项目渠道整治以人工作业为主，均设置1.5m施工作业带。施工作业带尽量布置于渠道永久用地和施工便道、现状道路范围内。</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临时堆土场</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default"/>
                <w:color w:val="000000" w:themeColor="text1"/>
                <w14:textFill>
                  <w14:solidFill>
                    <w14:schemeClr w14:val="tx1"/>
                  </w14:solidFill>
                </w14:textFill>
              </w:rPr>
              <w:t>共设置</w:t>
            </w:r>
            <w:r>
              <w:rPr>
                <w:rFonts w:hint="eastAsia"/>
                <w:color w:val="000000" w:themeColor="text1"/>
                <w14:textFill>
                  <w14:solidFill>
                    <w14:schemeClr w14:val="tx1"/>
                  </w14:solidFill>
                </w14:textFill>
              </w:rPr>
              <w:t>1</w:t>
            </w:r>
            <w:r>
              <w:rPr>
                <w:rFonts w:hint="default"/>
                <w:color w:val="000000" w:themeColor="text1"/>
                <w14:textFill>
                  <w14:solidFill>
                    <w14:schemeClr w14:val="tx1"/>
                  </w14:solidFill>
                </w14:textFill>
              </w:rPr>
              <w:t>个</w:t>
            </w:r>
            <w:r>
              <w:rPr>
                <w:rFonts w:hint="eastAsia"/>
                <w:color w:val="000000" w:themeColor="text1"/>
                <w14:textFill>
                  <w14:solidFill>
                    <w14:schemeClr w14:val="tx1"/>
                  </w14:solidFill>
                </w14:textFill>
              </w:rPr>
              <w:t>临时堆土场（董家堰临时堆土场</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占地面积1.03hm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14:textFill>
                  <w14:solidFill>
                    <w14:schemeClr w14:val="tx1"/>
                  </w14:solidFill>
                </w14:textFill>
              </w:rPr>
              <w:t>），依托</w:t>
            </w:r>
            <w:r>
              <w:rPr>
                <w:rFonts w:hint="eastAsia" w:ascii="仿宋_GB2312" w:hAnsi="等线"/>
                <w:color w:val="000000" w:themeColor="text1"/>
                <w14:textFill>
                  <w14:solidFill>
                    <w14:schemeClr w14:val="tx1"/>
                  </w14:solidFill>
                </w14:textFill>
              </w:rPr>
              <w:t>成都市环城生态区农田综合整治及农业灌区设施建设项目</w:t>
            </w:r>
            <w:r>
              <w:rPr>
                <w:rFonts w:hint="eastAsia"/>
                <w:color w:val="000000" w:themeColor="text1"/>
                <w14:textFill>
                  <w14:solidFill>
                    <w14:schemeClr w14:val="tx1"/>
                  </w14:solidFill>
                </w14:textFill>
              </w:rPr>
              <w:t>南五、南六余土摊平处理区</w:t>
            </w:r>
            <w:r>
              <w:rPr>
                <w:rFonts w:hint="default"/>
                <w:color w:val="000000" w:themeColor="text1"/>
                <w14:textFill>
                  <w14:solidFill>
                    <w14:schemeClr w14:val="tx1"/>
                  </w14:solidFill>
                </w14:textFill>
              </w:rPr>
              <w:t>，共消纳弃土</w:t>
            </w:r>
            <w:r>
              <w:rPr>
                <w:rFonts w:hint="eastAsia"/>
                <w:color w:val="000000" w:themeColor="text1"/>
                <w14:textFill>
                  <w14:solidFill>
                    <w14:schemeClr w14:val="tx1"/>
                  </w14:solidFill>
                </w14:textFill>
              </w:rPr>
              <w:t>0.35</w:t>
            </w:r>
            <w:r>
              <w:rPr>
                <w:rFonts w:hint="default"/>
                <w:color w:val="000000" w:themeColor="text1"/>
                <w14:textFill>
                  <w14:solidFill>
                    <w14:schemeClr w14:val="tx1"/>
                  </w14:solidFill>
                </w14:textFill>
              </w:rPr>
              <w:t>万</w:t>
            </w:r>
            <w:r>
              <w:rPr>
                <w:rFonts w:hint="default" w:eastAsia="Times New Roman"/>
                <w:color w:val="000000" w:themeColor="text1"/>
                <w14:textFill>
                  <w14:solidFill>
                    <w14:schemeClr w14:val="tx1"/>
                  </w14:solidFill>
                </w14:textFill>
              </w:rPr>
              <w:t>m</w:t>
            </w:r>
            <w:r>
              <w:rPr>
                <w:rFonts w:hint="default"/>
                <w:color w:val="000000" w:themeColor="text1"/>
                <w14:textFill>
                  <w14:solidFill>
                    <w14:schemeClr w14:val="tx1"/>
                  </w14:solidFill>
                </w14:textFill>
              </w:rPr>
              <w:t>³</w:t>
            </w:r>
            <w:r>
              <w:rPr>
                <w:rFonts w:hint="eastAsia"/>
                <w:color w:val="000000" w:themeColor="text1"/>
                <w14:textFill>
                  <w14:solidFill>
                    <w14:schemeClr w14:val="tx1"/>
                  </w14:solidFill>
                </w14:textFill>
              </w:rPr>
              <w:t>，临时堆土2.1万</w:t>
            </w:r>
            <w:r>
              <w:rPr>
                <w:rFonts w:hint="default" w:eastAsia="Times New Roman"/>
                <w:color w:val="000000" w:themeColor="text1"/>
                <w14:textFill>
                  <w14:solidFill>
                    <w14:schemeClr w14:val="tx1"/>
                  </w14:solidFill>
                </w14:textFill>
              </w:rPr>
              <w:t>m</w:t>
            </w:r>
            <w:r>
              <w:rPr>
                <w:rFonts w:hint="default"/>
                <w:color w:val="000000" w:themeColor="text1"/>
                <w14:textFill>
                  <w14:solidFill>
                    <w14:schemeClr w14:val="tx1"/>
                  </w14:solidFill>
                </w14:textFill>
              </w:rPr>
              <w:t>³</w:t>
            </w:r>
            <w:r>
              <w:rPr>
                <w:rFonts w:hint="eastAsia"/>
                <w:color w:val="000000" w:themeColor="text1"/>
                <w14:textFill>
                  <w14:solidFill>
                    <w14:schemeClr w14:val="tx1"/>
                  </w14:solidFill>
                </w14:textFill>
              </w:rPr>
              <w:t>。部分渠道开挖料含水率偏高，选择渠道内晾晒干化；清淤时段安排在枯水期渠道断水期间，清淤前先进行抽排、翻晒，使淤泥在渠道内进行晾晒干化后同弃土一起处置。</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公用工程</w:t>
            </w: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供电</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eastAsia="宋"/>
                <w:color w:val="000000" w:themeColor="text1"/>
                <w14:textFill>
                  <w14:solidFill>
                    <w14:schemeClr w14:val="tx1"/>
                  </w14:solidFill>
                </w14:textFill>
              </w:rPr>
              <w:t>项目区已建立起比较完善的电网，施工用电直接接入。</w:t>
            </w:r>
          </w:p>
        </w:tc>
        <w:tc>
          <w:tcPr>
            <w:tcW w:w="555"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施工噪声、施工废气</w:t>
            </w:r>
          </w:p>
        </w:tc>
        <w:tc>
          <w:tcPr>
            <w:tcW w:w="399"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供水</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工程区附近各配套设施建设完善，采用市政供水。</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环保工程</w:t>
            </w: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废水</w:t>
            </w:r>
          </w:p>
        </w:tc>
        <w:tc>
          <w:tcPr>
            <w:tcW w:w="3410" w:type="pct"/>
            <w:vAlign w:val="center"/>
          </w:tcPr>
          <w:p>
            <w:pPr>
              <w:keepNext w:val="0"/>
              <w:keepLines w:val="0"/>
              <w:suppressLineNumbers w:val="0"/>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施工废水：</w:t>
            </w:r>
            <w:r>
              <w:rPr>
                <w:rFonts w:hint="eastAsia"/>
                <w:color w:val="000000" w:themeColor="text1"/>
                <w14:textFill>
                  <w14:solidFill>
                    <w14:schemeClr w14:val="tx1"/>
                  </w14:solidFill>
                </w14:textFill>
              </w:rPr>
              <w:t>于施工工区设置1个沉淀池（10m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），用于处理施工机械及车辆冲洗产生的废水；各渠道沿线</w:t>
            </w:r>
            <w:r>
              <w:rPr>
                <w:rFonts w:hint="eastAsia"/>
                <w:color w:val="000000" w:themeColor="text1"/>
                <w:lang w:val="en-US" w:eastAsia="zh-CN"/>
                <w14:textFill>
                  <w14:solidFill>
                    <w14:schemeClr w14:val="tx1"/>
                  </w14:solidFill>
                </w14:textFill>
              </w:rPr>
              <w:t>视现场情况设置若干</w:t>
            </w:r>
            <w:r>
              <w:rPr>
                <w:rFonts w:hint="eastAsia"/>
                <w:color w:val="000000" w:themeColor="text1"/>
                <w14:textFill>
                  <w14:solidFill>
                    <w14:schemeClr w14:val="tx1"/>
                  </w14:solidFill>
                </w14:textFill>
              </w:rPr>
              <w:t>临时沉淀池（2</w:t>
            </w:r>
            <w:r>
              <w:rPr>
                <w:rFonts w:hint="default"/>
                <w:color w:val="000000" w:themeColor="text1"/>
                <w14:textFill>
                  <w14:solidFill>
                    <w14:schemeClr w14:val="tx1"/>
                  </w14:solidFill>
                </w14:textFill>
              </w:rPr>
              <w:t>m</w:t>
            </w:r>
            <w:r>
              <w:rPr>
                <w:rFonts w:hint="default"/>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用于收集淤泥渗滤液和基坑废水；临时堆土场周边设置导流沟及1个沉淀池（5m</w:t>
            </w:r>
            <w:r>
              <w:rPr>
                <w:rFonts w:hint="default"/>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），收集处理临时堆土产生的淋沥水；各沉淀池</w:t>
            </w:r>
            <w:r>
              <w:rPr>
                <w:rFonts w:hint="default"/>
                <w:color w:val="000000" w:themeColor="text1"/>
                <w14:textFill>
                  <w14:solidFill>
                    <w14:schemeClr w14:val="tx1"/>
                  </w14:solidFill>
                </w14:textFill>
              </w:rPr>
              <w:t>收集</w:t>
            </w:r>
            <w:r>
              <w:rPr>
                <w:rFonts w:hint="eastAsia"/>
                <w:color w:val="000000" w:themeColor="text1"/>
                <w14:textFill>
                  <w14:solidFill>
                    <w14:schemeClr w14:val="tx1"/>
                  </w14:solidFill>
                </w14:textFill>
              </w:rPr>
              <w:t>的</w:t>
            </w:r>
            <w:r>
              <w:rPr>
                <w:rFonts w:hint="default"/>
                <w:color w:val="000000" w:themeColor="text1"/>
                <w14:textFill>
                  <w14:solidFill>
                    <w14:schemeClr w14:val="tx1"/>
                  </w14:solidFill>
                </w14:textFill>
              </w:rPr>
              <w:t>废水经沉淀处理后用于洒水降尘</w:t>
            </w:r>
            <w:r>
              <w:rPr>
                <w:rFonts w:hint="eastAsia"/>
                <w:color w:val="000000" w:themeColor="text1"/>
                <w14:textFill>
                  <w14:solidFill>
                    <w14:schemeClr w14:val="tx1"/>
                  </w14:solidFill>
                </w14:textFill>
              </w:rPr>
              <w:t>，不外排</w:t>
            </w:r>
            <w:r>
              <w:rPr>
                <w:rFonts w:hint="default"/>
                <w:color w:val="000000" w:themeColor="text1"/>
                <w14:textFill>
                  <w14:solidFill>
                    <w14:schemeClr w14:val="tx1"/>
                  </w14:solidFill>
                </w14:textFill>
              </w:rPr>
              <w:t>。</w:t>
            </w:r>
          </w:p>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生活污水：通过租住民房</w:t>
            </w:r>
            <w:r>
              <w:rPr>
                <w:rFonts w:hint="eastAsia"/>
                <w:color w:val="000000" w:themeColor="text1"/>
                <w:lang w:val="en-US" w:eastAsia="zh-CN"/>
                <w14:textFill>
                  <w14:solidFill>
                    <w14:schemeClr w14:val="tx1"/>
                  </w14:solidFill>
                </w14:textFill>
              </w:rPr>
              <w:t>的</w:t>
            </w:r>
            <w:r>
              <w:rPr>
                <w:rFonts w:hint="default"/>
                <w:color w:val="000000" w:themeColor="text1"/>
                <w14:textFill>
                  <w14:solidFill>
                    <w14:schemeClr w14:val="tx1"/>
                  </w14:solidFill>
                </w14:textFill>
              </w:rPr>
              <w:t>现有生活污水处理设施处理</w:t>
            </w:r>
            <w:r>
              <w:rPr>
                <w:rFonts w:hint="eastAsia"/>
                <w:color w:val="000000" w:themeColor="text1"/>
                <w14:textFill>
                  <w14:solidFill>
                    <w14:schemeClr w14:val="tx1"/>
                  </w14:solidFill>
                </w14:textFill>
              </w:rPr>
              <w:t>。</w:t>
            </w:r>
          </w:p>
        </w:tc>
        <w:tc>
          <w:tcPr>
            <w:tcW w:w="555"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rFonts w:hint="default"/>
                <w:color w:val="000000" w:themeColor="text1"/>
                <w14:textFill>
                  <w14:solidFill>
                    <w14:schemeClr w14:val="tx1"/>
                  </w14:solidFill>
                </w14:textFill>
              </w:rPr>
              <w:t>三废及噪声</w:t>
            </w:r>
          </w:p>
        </w:tc>
        <w:tc>
          <w:tcPr>
            <w:tcW w:w="399"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废气</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施工场地洒水降尘；建渣垃圾及时清运；对裸露地面和建筑物料进行覆盖、遮盖；物料运输和堆放遮挡覆盖；加强施工机械的保养维护等措施减少燃油废气排放</w:t>
            </w:r>
            <w:r>
              <w:rPr>
                <w:rFonts w:hint="eastAsia"/>
                <w:color w:val="000000" w:themeColor="text1"/>
                <w14:textFill>
                  <w14:solidFill>
                    <w14:schemeClr w14:val="tx1"/>
                  </w14:solidFill>
                </w14:textFill>
              </w:rPr>
              <w:t>。</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噪声</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选用低噪声机械，加强设备保养，合理安排作业时间，夜间不施工。</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72" w:hRule="atLeast"/>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固废</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施工工区设置若干垃圾收集桶，生活垃圾经收集后交由环卫部门处理；</w:t>
            </w:r>
            <w:r>
              <w:rPr>
                <w:rFonts w:hint="eastAsia"/>
                <w:color w:val="000000" w:themeColor="text1"/>
                <w14:textFill>
                  <w14:solidFill>
                    <w14:schemeClr w14:val="tx1"/>
                  </w14:solidFill>
                </w14:textFill>
              </w:rPr>
              <w:t>施工场地产生的</w:t>
            </w:r>
            <w:r>
              <w:rPr>
                <w:rFonts w:hint="default"/>
                <w:color w:val="000000" w:themeColor="text1"/>
                <w14:textFill>
                  <w14:solidFill>
                    <w14:schemeClr w14:val="tx1"/>
                  </w14:solidFill>
                </w14:textFill>
              </w:rPr>
              <w:t>建筑垃圾尽可能重新利用，废弃设备</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钢筋、钢板、木材等送废品回收站，不能利用</w:t>
            </w:r>
            <w:r>
              <w:rPr>
                <w:rFonts w:hint="eastAsia"/>
                <w:color w:val="000000" w:themeColor="text1"/>
                <w14:textFill>
                  <w14:solidFill>
                    <w14:schemeClr w14:val="tx1"/>
                  </w14:solidFill>
                </w14:textFill>
              </w:rPr>
              <w:t>的</w:t>
            </w:r>
            <w:r>
              <w:rPr>
                <w:rFonts w:hint="default"/>
                <w:color w:val="000000" w:themeColor="text1"/>
                <w14:textFill>
                  <w14:solidFill>
                    <w14:schemeClr w14:val="tx1"/>
                  </w14:solidFill>
                </w14:textFill>
              </w:rPr>
              <w:t>应集中堆置，及时清运</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项目产生弃方共2.45万m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（其中含淤泥0.06万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淤泥主要以泥沙淤积为主，</w:t>
            </w:r>
            <w:r>
              <w:rPr>
                <w:rFonts w:hint="eastAsia" w:eastAsia="宋"/>
                <w:color w:val="000000" w:themeColor="text1"/>
                <w14:textFill>
                  <w14:solidFill>
                    <w14:schemeClr w14:val="tx1"/>
                  </w14:solidFill>
                </w14:textFill>
              </w:rPr>
              <w:t>在渠道内</w:t>
            </w:r>
            <w:r>
              <w:rPr>
                <w:rFonts w:hint="eastAsia" w:eastAsia="宋"/>
                <w:color w:val="000000" w:themeColor="text1"/>
                <w:lang w:val="en-US" w:eastAsia="zh-CN"/>
                <w14:textFill>
                  <w14:solidFill>
                    <w14:schemeClr w14:val="tx1"/>
                  </w14:solidFill>
                </w14:textFill>
              </w:rPr>
              <w:t>翻</w:t>
            </w:r>
            <w:r>
              <w:rPr>
                <w:rFonts w:hint="eastAsia" w:eastAsia="宋"/>
                <w:color w:val="000000" w:themeColor="text1"/>
                <w14:textFill>
                  <w14:solidFill>
                    <w14:schemeClr w14:val="tx1"/>
                  </w14:solidFill>
                </w14:textFill>
              </w:rPr>
              <w:t>晒干化后同弃土</w:t>
            </w:r>
            <w:r>
              <w:rPr>
                <w:rFonts w:hint="eastAsia" w:eastAsia="宋"/>
                <w:color w:val="000000" w:themeColor="text1"/>
                <w:lang w:eastAsia="zh-CN"/>
                <w14:textFill>
                  <w14:solidFill>
                    <w14:schemeClr w14:val="tx1"/>
                  </w14:solidFill>
                </w14:textFill>
              </w:rPr>
              <w:t>（</w:t>
            </w:r>
            <w:r>
              <w:rPr>
                <w:rFonts w:hint="eastAsia" w:eastAsia="宋"/>
                <w:color w:val="000000" w:themeColor="text1"/>
                <w:lang w:val="en-US" w:eastAsia="zh-CN"/>
                <w14:textFill>
                  <w14:solidFill>
                    <w14:schemeClr w14:val="tx1"/>
                  </w14:solidFill>
                </w14:textFill>
              </w:rPr>
              <w:t>约1.53</w:t>
            </w:r>
            <w:r>
              <w:rPr>
                <w:rFonts w:hint="eastAsia"/>
                <w:color w:val="000000" w:themeColor="text1"/>
                <w:vertAlign w:val="baseline"/>
                <w:lang w:val="en-US"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r>
              <w:rPr>
                <w:rFonts w:hint="eastAsia" w:eastAsia="宋"/>
                <w:color w:val="000000" w:themeColor="text1"/>
                <w:lang w:eastAsia="zh-CN"/>
                <w14:textFill>
                  <w14:solidFill>
                    <w14:schemeClr w14:val="tx1"/>
                  </w14:solidFill>
                </w14:textFill>
              </w:rPr>
              <w:t>）</w:t>
            </w:r>
            <w:r>
              <w:rPr>
                <w:rFonts w:hint="eastAsia" w:eastAsia="宋"/>
                <w:color w:val="000000" w:themeColor="text1"/>
                <w:lang w:val="en-US" w:eastAsia="zh-CN"/>
                <w14:textFill>
                  <w14:solidFill>
                    <w14:schemeClr w14:val="tx1"/>
                  </w14:solidFill>
                </w14:textFill>
              </w:rPr>
              <w:t>一起运至董家堰</w:t>
            </w:r>
            <w:r>
              <w:rPr>
                <w:rFonts w:hint="default"/>
                <w:color w:val="000000" w:themeColor="text1"/>
                <w14:textFill>
                  <w14:solidFill>
                    <w14:schemeClr w14:val="tx1"/>
                  </w14:solidFill>
                </w14:textFill>
              </w:rPr>
              <w:t>临时堆土场</w:t>
            </w:r>
            <w:r>
              <w:rPr>
                <w:rFonts w:hint="eastAsia"/>
                <w:color w:val="000000" w:themeColor="text1"/>
                <w:lang w:val="en-US" w:eastAsia="zh-CN"/>
                <w14:textFill>
                  <w14:solidFill>
                    <w14:schemeClr w14:val="tx1"/>
                  </w14:solidFill>
                </w14:textFill>
              </w:rPr>
              <w:t>暂存（约1年）</w:t>
            </w:r>
            <w:r>
              <w:rPr>
                <w:rFonts w:hint="eastAsia" w:ascii="仿宋_GB2312" w:hAnsi="等线"/>
                <w:color w:val="000000" w:themeColor="text1"/>
                <w14:textFill>
                  <w14:solidFill>
                    <w14:schemeClr w14:val="tx1"/>
                  </w14:solidFill>
                </w14:textFill>
              </w:rPr>
              <w:t>，后期用作农田综合整治等其他工程回填或综合利用</w:t>
            </w:r>
            <w:r>
              <w:rPr>
                <w:rFonts w:hint="eastAsia"/>
                <w:color w:val="000000" w:themeColor="text1"/>
                <w:lang w:val="en-US" w:eastAsia="zh-CN"/>
                <w14:textFill>
                  <w14:solidFill>
                    <w14:schemeClr w14:val="tx1"/>
                  </w14:solidFill>
                </w14:textFill>
              </w:rPr>
              <w:t>；剩余弃方（约</w:t>
            </w:r>
            <w:r>
              <w:rPr>
                <w:rFonts w:hint="eastAsia" w:eastAsia="宋"/>
                <w:color w:val="000000" w:themeColor="text1"/>
                <w:lang w:val="en-US" w:eastAsia="zh-CN"/>
                <w14:textFill>
                  <w14:solidFill>
                    <w14:schemeClr w14:val="tx1"/>
                  </w14:solidFill>
                </w14:textFill>
              </w:rPr>
              <w:t>0.86</w:t>
            </w:r>
            <w:r>
              <w:rPr>
                <w:rFonts w:hint="eastAsia"/>
                <w:color w:val="000000" w:themeColor="text1"/>
                <w:vertAlign w:val="baseline"/>
                <w:lang w:val="en-US"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运至南五、南六余土摊平处理区作为</w:t>
            </w:r>
            <w:r>
              <w:rPr>
                <w:rFonts w:hint="eastAsia" w:ascii="仿宋_GB2312" w:hAnsi="等线"/>
                <w:color w:val="000000" w:themeColor="text1"/>
                <w14:textFill>
                  <w14:solidFill>
                    <w14:schemeClr w14:val="tx1"/>
                  </w14:solidFill>
                </w14:textFill>
              </w:rPr>
              <w:t>成都</w:t>
            </w:r>
            <w:r>
              <w:rPr>
                <w:rFonts w:hint="eastAsia" w:ascii="Times New Roman" w:hAnsi="Times New Roman" w:eastAsia="宋体" w:cs="Times New Roman"/>
                <w:color w:val="000000" w:themeColor="text1"/>
                <w14:textFill>
                  <w14:solidFill>
                    <w14:schemeClr w14:val="tx1"/>
                  </w14:solidFill>
                </w14:textFill>
              </w:rPr>
              <w:t>市环城生态区农田综合整治及农业灌区设施建设项目农田综合整治工程回填利用。不能利用的建筑垃圾</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约</w:t>
            </w:r>
            <w:r>
              <w:rPr>
                <w:rFonts w:hint="eastAsia" w:ascii="Times New Roman" w:hAnsi="Times New Roman" w:eastAsia="宋体" w:cs="Times New Roman"/>
                <w:color w:val="000000" w:themeColor="text1"/>
                <w14:textFill>
                  <w14:solidFill>
                    <w14:schemeClr w14:val="tx1"/>
                  </w14:solidFill>
                </w14:textFill>
              </w:rPr>
              <w:t>1422t</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运至政府指定建筑垃圾处理场；沉淀池沉渣计入淤泥处置。</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生态环境</w:t>
            </w:r>
          </w:p>
        </w:tc>
        <w:tc>
          <w:tcPr>
            <w:tcW w:w="3410" w:type="pct"/>
            <w:vAlign w:val="center"/>
          </w:tcPr>
          <w:p>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加强宣传教育，植被恢复，复垦，加强绿化</w:t>
            </w:r>
          </w:p>
        </w:tc>
        <w:tc>
          <w:tcPr>
            <w:tcW w:w="555"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99"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88" w:hRule="atLeast"/>
          <w:jc w:val="center"/>
        </w:trPr>
        <w:tc>
          <w:tcPr>
            <w:tcW w:w="316"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建设征地和移民征地</w:t>
            </w:r>
          </w:p>
        </w:tc>
        <w:tc>
          <w:tcPr>
            <w:tcW w:w="318"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项目占地</w:t>
            </w:r>
          </w:p>
        </w:tc>
        <w:tc>
          <w:tcPr>
            <w:tcW w:w="3410" w:type="pct"/>
            <w:vAlign w:val="center"/>
          </w:tcPr>
          <w:p>
            <w:pPr>
              <w:keepNext w:val="0"/>
              <w:keepLines w:val="0"/>
              <w:widowControl/>
              <w:suppressLineNumbers w:val="0"/>
              <w:spacing w:before="0" w:beforeAutospacing="0" w:after="0" w:afterAutospacing="0"/>
              <w:ind w:left="0" w:right="0"/>
              <w:jc w:val="both"/>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本工程</w:t>
            </w:r>
            <w:r>
              <w:rPr>
                <w:rFonts w:hint="eastAsia"/>
                <w:color w:val="000000" w:themeColor="text1"/>
                <w:sz w:val="21"/>
                <w:szCs w:val="21"/>
                <w14:textFill>
                  <w14:solidFill>
                    <w14:schemeClr w14:val="tx1"/>
                  </w14:solidFill>
                </w14:textFill>
              </w:rPr>
              <w:t>建设工程永久征地</w:t>
            </w:r>
            <w:r>
              <w:rPr>
                <w:rFonts w:hint="eastAsia"/>
                <w:color w:val="000000" w:themeColor="text1"/>
                <w:sz w:val="21"/>
                <w:szCs w:val="21"/>
                <w:lang w:val="en-US" w:eastAsia="zh-CN"/>
                <w14:textFill>
                  <w14:solidFill>
                    <w14:schemeClr w14:val="tx1"/>
                  </w14:solidFill>
                </w14:textFill>
              </w:rPr>
              <w:t>5.66</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，其中耕地</w:t>
            </w:r>
            <w:r>
              <w:rPr>
                <w:rFonts w:hint="eastAsia"/>
                <w:color w:val="000000" w:themeColor="text1"/>
                <w:sz w:val="21"/>
                <w:szCs w:val="21"/>
                <w:lang w:eastAsia="zh-CN"/>
                <w14:textFill>
                  <w14:solidFill>
                    <w14:schemeClr w14:val="tx1"/>
                  </w14:solidFill>
                </w14:textFill>
              </w:rPr>
              <w:t>0.15</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，林</w:t>
            </w:r>
            <w:r>
              <w:rPr>
                <w:rFonts w:hint="eastAsia"/>
                <w:color w:val="000000" w:themeColor="text1"/>
                <w:sz w:val="21"/>
                <w:szCs w:val="21"/>
                <w:lang w:val="en-US" w:eastAsia="zh-CN"/>
                <w14:textFill>
                  <w14:solidFill>
                    <w14:schemeClr w14:val="tx1"/>
                  </w14:solidFill>
                </w14:textFill>
              </w:rPr>
              <w:t>0.33</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，水域及水利设施用地</w:t>
            </w:r>
            <w:r>
              <w:rPr>
                <w:rFonts w:hint="eastAsia"/>
                <w:color w:val="000000" w:themeColor="text1"/>
                <w:sz w:val="21"/>
                <w:szCs w:val="21"/>
                <w:lang w:val="en-US" w:eastAsia="zh-CN"/>
                <w14:textFill>
                  <w14:solidFill>
                    <w14:schemeClr w14:val="tx1"/>
                  </w14:solidFill>
                </w14:textFill>
              </w:rPr>
              <w:t>5.18</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；施工临时占地</w:t>
            </w:r>
            <w:r>
              <w:rPr>
                <w:rFonts w:hint="eastAsia"/>
                <w:color w:val="000000" w:themeColor="text1"/>
                <w:sz w:val="21"/>
                <w:szCs w:val="21"/>
                <w:lang w:val="en-US" w:eastAsia="zh-CN"/>
                <w14:textFill>
                  <w14:solidFill>
                    <w14:schemeClr w14:val="tx1"/>
                  </w14:solidFill>
                </w14:textFill>
              </w:rPr>
              <w:t>3.25</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，其中耕地</w:t>
            </w:r>
            <w:r>
              <w:rPr>
                <w:rFonts w:hint="eastAsia"/>
                <w:color w:val="000000" w:themeColor="text1"/>
                <w:sz w:val="21"/>
                <w:szCs w:val="21"/>
                <w:lang w:val="en-US" w:eastAsia="zh-CN"/>
                <w14:textFill>
                  <w14:solidFill>
                    <w14:schemeClr w14:val="tx1"/>
                  </w14:solidFill>
                </w14:textFill>
              </w:rPr>
              <w:t>1.6</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，林地</w:t>
            </w:r>
            <w:r>
              <w:rPr>
                <w:rFonts w:hint="eastAsia"/>
                <w:color w:val="000000" w:themeColor="text1"/>
                <w:sz w:val="21"/>
                <w:szCs w:val="21"/>
                <w:lang w:val="en-US" w:eastAsia="zh-CN"/>
                <w14:textFill>
                  <w14:solidFill>
                    <w14:schemeClr w14:val="tx1"/>
                  </w14:solidFill>
                </w14:textFill>
              </w:rPr>
              <w:t>0.76</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建设</w:t>
            </w:r>
            <w:r>
              <w:rPr>
                <w:rFonts w:hint="eastAsia"/>
                <w:color w:val="000000" w:themeColor="text1"/>
                <w:sz w:val="21"/>
                <w:szCs w:val="21"/>
                <w14:textFill>
                  <w14:solidFill>
                    <w14:schemeClr w14:val="tx1"/>
                  </w14:solidFill>
                </w14:textFill>
              </w:rPr>
              <w:t>用地</w:t>
            </w:r>
            <w:r>
              <w:rPr>
                <w:rFonts w:hint="eastAsia"/>
                <w:color w:val="000000" w:themeColor="text1"/>
                <w:sz w:val="21"/>
                <w:szCs w:val="21"/>
                <w:lang w:val="en-US" w:eastAsia="zh-CN"/>
                <w14:textFill>
                  <w14:solidFill>
                    <w14:schemeClr w14:val="tx1"/>
                  </w14:solidFill>
                </w14:textFill>
              </w:rPr>
              <w:t>0.73</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其他农</w:t>
            </w:r>
            <w:r>
              <w:rPr>
                <w:rFonts w:hint="eastAsia"/>
                <w:color w:val="000000" w:themeColor="text1"/>
                <w:sz w:val="21"/>
                <w:szCs w:val="21"/>
                <w14:textFill>
                  <w14:solidFill>
                    <w14:schemeClr w14:val="tx1"/>
                  </w14:solidFill>
                </w14:textFill>
              </w:rPr>
              <w:t>用地</w:t>
            </w:r>
            <w:r>
              <w:rPr>
                <w:rFonts w:hint="eastAsia"/>
                <w:color w:val="000000" w:themeColor="text1"/>
                <w:sz w:val="21"/>
                <w:szCs w:val="21"/>
                <w:lang w:val="en-US" w:eastAsia="zh-CN"/>
                <w14:textFill>
                  <w14:solidFill>
                    <w14:schemeClr w14:val="tx1"/>
                  </w14:solidFill>
                </w14:textFill>
              </w:rPr>
              <w:t>0.15</w:t>
            </w:r>
            <w:r>
              <w:rPr>
                <w:rFonts w:hint="eastAsia"/>
                <w:color w:val="000000" w:themeColor="text1"/>
                <w:sz w:val="21"/>
                <w:szCs w:val="21"/>
                <w14:textFill>
                  <w14:solidFill>
                    <w14:schemeClr w14:val="tx1"/>
                  </w14:solidFill>
                </w14:textFill>
              </w:rPr>
              <w:t>hm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vertAlign w:val="baseline"/>
                <w:lang w:eastAsia="zh-CN"/>
                <w14:textFill>
                  <w14:solidFill>
                    <w14:schemeClr w14:val="tx1"/>
                  </w14:solidFill>
                </w14:textFill>
              </w:rPr>
              <w:t>。</w:t>
            </w:r>
          </w:p>
        </w:tc>
        <w:tc>
          <w:tcPr>
            <w:tcW w:w="555"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破坏原有植被和景观、施工“三废”排放。</w:t>
            </w:r>
          </w:p>
        </w:tc>
        <w:tc>
          <w:tcPr>
            <w:tcW w:w="399"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迹地整治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tcBorders>
              <w:bottom w:val="single" w:color="auto" w:sz="12"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318" w:type="pct"/>
            <w:tcBorders>
              <w:bottom w:val="single" w:color="auto" w:sz="12"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移民</w:t>
            </w:r>
          </w:p>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安置</w:t>
            </w:r>
          </w:p>
        </w:tc>
        <w:tc>
          <w:tcPr>
            <w:tcW w:w="3410" w:type="pct"/>
            <w:tcBorders>
              <w:bottom w:val="single" w:color="auto" w:sz="12" w:space="0"/>
            </w:tcBorders>
            <w:vAlign w:val="center"/>
          </w:tcPr>
          <w:p>
            <w:pPr>
              <w:keepNext w:val="0"/>
              <w:keepLines w:val="0"/>
              <w:widowControl/>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eastAsia="宋"/>
                <w:color w:val="000000" w:themeColor="text1"/>
                <w14:textFill>
                  <w14:solidFill>
                    <w14:schemeClr w14:val="tx1"/>
                  </w14:solidFill>
                </w14:textFill>
              </w:rPr>
              <w:t>本工程不涉及搬迁安置人口，不涉及拆迁房</w:t>
            </w:r>
            <w:r>
              <w:rPr>
                <w:rFonts w:hint="default" w:eastAsia="宋"/>
                <w:color w:val="000000" w:themeColor="text1"/>
                <w14:textFill>
                  <w14:solidFill>
                    <w14:schemeClr w14:val="tx1"/>
                  </w14:solidFill>
                </w14:textFill>
              </w:rPr>
              <w:t>屋</w:t>
            </w:r>
            <w:r>
              <w:rPr>
                <w:rFonts w:hint="eastAsia" w:eastAsia="宋"/>
                <w:color w:val="000000" w:themeColor="text1"/>
                <w14:textFill>
                  <w14:solidFill>
                    <w14:schemeClr w14:val="tx1"/>
                  </w14:solidFill>
                </w14:textFill>
              </w:rPr>
              <w:t>，</w:t>
            </w:r>
            <w:r>
              <w:rPr>
                <w:rFonts w:hint="default"/>
                <w:color w:val="000000" w:themeColor="text1"/>
                <w14:textFill>
                  <w14:solidFill>
                    <w14:schemeClr w14:val="tx1"/>
                  </w14:solidFill>
                </w14:textFill>
              </w:rPr>
              <w:t>不涉及文物古迹保护</w:t>
            </w:r>
            <w:r>
              <w:rPr>
                <w:rFonts w:hint="eastAsia" w:eastAsia="宋"/>
                <w:color w:val="000000" w:themeColor="text1"/>
                <w14:textFill>
                  <w14:solidFill>
                    <w14:schemeClr w14:val="tx1"/>
                  </w14:solidFill>
                </w14:textFill>
              </w:rPr>
              <w:t>。</w:t>
            </w:r>
          </w:p>
        </w:tc>
        <w:tc>
          <w:tcPr>
            <w:tcW w:w="555" w:type="pct"/>
            <w:tcBorders>
              <w:bottom w:val="single" w:color="auto" w:sz="12"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399" w:type="pct"/>
            <w:tcBorders>
              <w:bottom w:val="single" w:color="auto" w:sz="12"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bl>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303" w:name="_Toc17309"/>
      <w:bookmarkStart w:id="304" w:name="_Toc70496265"/>
      <w:r>
        <w:rPr>
          <w:rFonts w:eastAsia="黑体"/>
          <w:b/>
          <w:bCs/>
          <w:color w:val="000000" w:themeColor="text1"/>
          <w:kern w:val="0"/>
          <w:sz w:val="32"/>
          <w:szCs w:val="32"/>
          <w14:textFill>
            <w14:solidFill>
              <w14:schemeClr w14:val="tx1"/>
            </w14:solidFill>
          </w14:textFill>
        </w:rPr>
        <w:t>2.3</w:t>
      </w:r>
      <w:r>
        <w:rPr>
          <w:rFonts w:hint="eastAsia" w:eastAsia="黑体"/>
          <w:b/>
          <w:bCs/>
          <w:color w:val="000000" w:themeColor="text1"/>
          <w:kern w:val="0"/>
          <w:sz w:val="32"/>
          <w:szCs w:val="32"/>
          <w14:textFill>
            <w14:solidFill>
              <w14:schemeClr w14:val="tx1"/>
            </w14:solidFill>
          </w14:textFill>
        </w:rPr>
        <w:t>工程</w:t>
      </w:r>
      <w:r>
        <w:rPr>
          <w:rFonts w:eastAsia="黑体"/>
          <w:b/>
          <w:bCs/>
          <w:color w:val="000000" w:themeColor="text1"/>
          <w:kern w:val="0"/>
          <w:sz w:val="32"/>
          <w:szCs w:val="32"/>
          <w14:textFill>
            <w14:solidFill>
              <w14:schemeClr w14:val="tx1"/>
            </w14:solidFill>
          </w14:textFill>
        </w:rPr>
        <w:t>设计</w:t>
      </w:r>
      <w:bookmarkEnd w:id="303"/>
      <w:bookmarkEnd w:id="304"/>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05" w:name="_Toc23213"/>
      <w:bookmarkStart w:id="306" w:name="_Toc21423_WPSOffice_Level2"/>
      <w:bookmarkStart w:id="307" w:name="_Toc476_WPSOffice_Level2"/>
      <w:bookmarkStart w:id="308" w:name="_Toc30893_WPSOffice_Level2"/>
      <w:bookmarkStart w:id="309" w:name="_Toc29758_WPSOffice_Level2"/>
      <w:bookmarkStart w:id="310" w:name="_Toc1671"/>
      <w:bookmarkStart w:id="311" w:name="_Toc10263_WPSOffice_Level2"/>
      <w:bookmarkStart w:id="312" w:name="_Toc70496266"/>
      <w:bookmarkStart w:id="313" w:name="_Toc16336_WPSOffice_Level2"/>
      <w:bookmarkStart w:id="314" w:name="_Toc31697"/>
      <w:r>
        <w:rPr>
          <w:rFonts w:eastAsia="黑体"/>
          <w:b/>
          <w:color w:val="000000" w:themeColor="text1"/>
          <w:kern w:val="0"/>
          <w:sz w:val="28"/>
          <w:szCs w:val="24"/>
          <w14:textFill>
            <w14:solidFill>
              <w14:schemeClr w14:val="tx1"/>
            </w14:solidFill>
          </w14:textFill>
        </w:rPr>
        <w:t>2.3.1</w:t>
      </w:r>
      <w:bookmarkEnd w:id="305"/>
      <w:bookmarkEnd w:id="306"/>
      <w:bookmarkEnd w:id="307"/>
      <w:bookmarkEnd w:id="308"/>
      <w:bookmarkEnd w:id="309"/>
      <w:bookmarkEnd w:id="310"/>
      <w:bookmarkEnd w:id="311"/>
      <w:bookmarkEnd w:id="312"/>
      <w:bookmarkEnd w:id="313"/>
      <w:r>
        <w:rPr>
          <w:rFonts w:hint="eastAsia" w:eastAsia="黑体"/>
          <w:b/>
          <w:color w:val="000000" w:themeColor="text1"/>
          <w:kern w:val="0"/>
          <w:sz w:val="28"/>
          <w:szCs w:val="24"/>
          <w14:textFill>
            <w14:solidFill>
              <w14:schemeClr w14:val="tx1"/>
            </w14:solidFill>
          </w14:textFill>
        </w:rPr>
        <w:t>灌排水工程</w:t>
      </w:r>
      <w:bookmarkEnd w:id="314"/>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2.3.1.1</w:t>
      </w:r>
      <w:r>
        <w:rPr>
          <w:rFonts w:hint="eastAsia"/>
          <w:b/>
          <w:color w:val="000000" w:themeColor="text1"/>
          <w:kern w:val="0"/>
          <w:sz w:val="24"/>
          <w:szCs w:val="24"/>
          <w14:textFill>
            <w14:solidFill>
              <w14:schemeClr w14:val="tx1"/>
            </w14:solidFill>
          </w14:textFill>
        </w:rPr>
        <w:t>工程设计等别和标准</w:t>
      </w:r>
    </w:p>
    <w:p>
      <w:pPr>
        <w:wordWrap w:val="0"/>
        <w:autoSpaceDE/>
        <w:autoSpaceDN/>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水利水电工程等级划分及洪水标准》（SL252-2017）和《灌溉与排水工程设计标准》（GB50288-2018），北支一渠（上）渠道及建筑物级别为4级，董家堰补水渠（上）、董家堰补水渠（下）、南五支渠、南六支渠渠道及建筑物级别为5级；渠道及建筑物合理使用年限为30年；排涝标准为10年一遇。工程区基本烈度为Ⅶ度，按抗震烈度7度设防。</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2.3.1.2横断面设计</w:t>
      </w:r>
    </w:p>
    <w:p>
      <w:pPr>
        <w:widowControl/>
        <w:autoSpaceDE/>
        <w:autoSpaceDN/>
        <w:adjustRightInd w:val="0"/>
        <w:snapToGrid w:val="0"/>
        <w:spacing w:line="360" w:lineRule="auto"/>
        <w:ind w:firstLine="482" w:firstLineChars="200"/>
        <w:rPr>
          <w:color w:val="000000" w:themeColor="text1"/>
          <w:sz w:val="24"/>
          <w:szCs w:val="24"/>
          <w14:textFill>
            <w14:solidFill>
              <w14:schemeClr w14:val="tx1"/>
            </w14:solidFill>
          </w14:textFill>
        </w:rPr>
      </w:pPr>
      <w:r>
        <w:rPr>
          <w:rFonts w:hint="eastAsia"/>
          <w:b/>
          <w:bCs/>
          <w:color w:val="000000" w:themeColor="text1"/>
          <w:kern w:val="0"/>
          <w:sz w:val="24"/>
          <w:szCs w:val="24"/>
          <w:lang w:bidi="ar"/>
          <w14:textFill>
            <w14:solidFill>
              <w14:schemeClr w14:val="tx1"/>
            </w14:solidFill>
          </w14:textFill>
        </w:rPr>
        <w:t>1、</w:t>
      </w:r>
      <w:r>
        <w:rPr>
          <w:b/>
          <w:bCs/>
          <w:color w:val="000000" w:themeColor="text1"/>
          <w:kern w:val="0"/>
          <w:sz w:val="24"/>
          <w:szCs w:val="24"/>
          <w:lang w:bidi="ar"/>
          <w14:textFill>
            <w14:solidFill>
              <w14:schemeClr w14:val="tx1"/>
            </w14:solidFill>
          </w14:textFill>
        </w:rPr>
        <w:t>北支一渠（上）</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color w:val="000000" w:themeColor="text1"/>
          <w:kern w:val="0"/>
          <w:sz w:val="24"/>
          <w:szCs w:val="24"/>
          <w:lang w:bidi="ar"/>
          <w14:textFill>
            <w14:solidFill>
              <w14:schemeClr w14:val="tx1"/>
            </w14:solidFill>
          </w14:textFill>
        </w:rPr>
        <w:t>该治理段采用“现浇混凝土仰斜式挡墙”方案，设计渠道底宽4.0m。C25砼挡墙顶宽500mm，挡墙高2.2m，临水侧挡墙坡比1:0.5，背水侧挡墙坡比1:0.3，挡墙背水侧设排水孔和反滤料；护底采用C25现浇混凝厚120mm，下设碎石垫层厚100mm、土工布；为防止不均匀沉降，挡墙顺水流方向每10m设置一道分缝，缝宽20mm，采用PE闭孔塑料板填充。挡墙顶至岸坡上植草皮。</w:t>
      </w:r>
      <w:r>
        <w:rPr>
          <w:color w:val="000000" w:themeColor="text1"/>
          <w:sz w:val="24"/>
          <w:szCs w:val="24"/>
          <w14:textFill>
            <w14:solidFill>
              <w14:schemeClr w14:val="tx1"/>
            </w14:solidFill>
          </w14:textFill>
        </w:rPr>
        <w:t>该治理段渠道横断面见下图。</w:t>
      </w:r>
    </w:p>
    <w:p>
      <w:pPr>
        <w:widowControl/>
        <w:autoSpaceDE/>
        <w:autoSpaceDN/>
        <w:adjustRightInd w:val="0"/>
        <w:snapToGrid w:val="0"/>
        <w:spacing w:line="360" w:lineRule="auto"/>
        <w:jc w:val="center"/>
        <w:rPr>
          <w:color w:val="000000" w:themeColor="text1"/>
          <w:kern w:val="0"/>
          <w:sz w:val="24"/>
          <w:szCs w:val="24"/>
          <w:lang w:bidi="ar"/>
          <w14:textFill>
            <w14:solidFill>
              <w14:schemeClr w14:val="tx1"/>
            </w14:solidFill>
          </w14:textFill>
        </w:rPr>
      </w:pPr>
      <w:r>
        <w:rPr>
          <w:color w:val="000000" w:themeColor="text1"/>
          <w:position w:val="-106"/>
          <w:sz w:val="24"/>
          <w:szCs w:val="24"/>
          <w14:textFill>
            <w14:solidFill>
              <w14:schemeClr w14:val="tx1"/>
            </w14:solidFill>
          </w14:textFill>
        </w:rPr>
        <w:drawing>
          <wp:inline distT="0" distB="0" distL="114300" distR="114300">
            <wp:extent cx="5024120" cy="3407410"/>
            <wp:effectExtent l="0" t="0" r="5080" b="2540"/>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43"/>
                    <a:stretch>
                      <a:fillRect/>
                    </a:stretch>
                  </pic:blipFill>
                  <pic:spPr>
                    <a:xfrm>
                      <a:off x="0" y="0"/>
                      <a:ext cx="5024120" cy="3407410"/>
                    </a:xfrm>
                    <a:prstGeom prst="rect">
                      <a:avLst/>
                    </a:prstGeom>
                    <a:noFill/>
                    <a:ln>
                      <a:noFill/>
                    </a:ln>
                  </pic:spPr>
                </pic:pic>
              </a:graphicData>
            </a:graphic>
          </wp:inline>
        </w:drawing>
      </w:r>
    </w:p>
    <w:p>
      <w:pPr>
        <w:pStyle w:val="14"/>
        <w:ind w:right="11"/>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图2.3-1北支一渠（上）典型横断面设计图</w:t>
      </w:r>
    </w:p>
    <w:p>
      <w:pPr>
        <w:widowControl/>
        <w:autoSpaceDE/>
        <w:autoSpaceDN/>
        <w:adjustRightInd w:val="0"/>
        <w:snapToGrid w:val="0"/>
        <w:spacing w:line="360" w:lineRule="auto"/>
        <w:ind w:firstLine="482" w:firstLineChars="200"/>
        <w:rPr>
          <w:b/>
          <w:bCs/>
          <w:color w:val="000000" w:themeColor="text1"/>
          <w:kern w:val="0"/>
          <w:sz w:val="24"/>
          <w:szCs w:val="24"/>
          <w:lang w:bidi="ar"/>
          <w14:textFill>
            <w14:solidFill>
              <w14:schemeClr w14:val="tx1"/>
            </w14:solidFill>
          </w14:textFill>
        </w:rPr>
      </w:pPr>
      <w:r>
        <w:rPr>
          <w:rFonts w:hint="eastAsia"/>
          <w:b/>
          <w:bCs/>
          <w:color w:val="000000" w:themeColor="text1"/>
          <w:kern w:val="0"/>
          <w:sz w:val="24"/>
          <w:szCs w:val="24"/>
          <w:lang w:bidi="ar"/>
          <w14:textFill>
            <w14:solidFill>
              <w14:schemeClr w14:val="tx1"/>
            </w14:solidFill>
          </w14:textFill>
        </w:rPr>
        <w:t>2、</w:t>
      </w:r>
      <w:r>
        <w:rPr>
          <w:b/>
          <w:bCs/>
          <w:color w:val="000000" w:themeColor="text1"/>
          <w:kern w:val="0"/>
          <w:sz w:val="24"/>
          <w:szCs w:val="24"/>
          <w:lang w:bidi="ar"/>
          <w14:textFill>
            <w14:solidFill>
              <w14:schemeClr w14:val="tx1"/>
            </w14:solidFill>
          </w14:textFill>
        </w:rPr>
        <w:t>南五支渠</w:t>
      </w:r>
    </w:p>
    <w:p>
      <w:pPr>
        <w:pStyle w:val="22"/>
        <w:autoSpaceDE/>
        <w:autoSpaceDN/>
        <w:adjustRightInd w:val="0"/>
        <w:snapToGrid w:val="0"/>
        <w:spacing w:after="0" w:line="360" w:lineRule="auto"/>
        <w:ind w:left="0" w:leftChars="0"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该治理段采用“现浇钢筋混凝土矩形渠”方案，设计渠底宽1m。渠道横断面采用</w:t>
      </w:r>
      <w:r>
        <w:rPr>
          <w:color w:val="000000" w:themeColor="text1"/>
          <w:spacing w:val="-11"/>
          <w:sz w:val="24"/>
          <w14:textFill>
            <w14:solidFill>
              <w14:schemeClr w14:val="tx1"/>
            </w14:solidFill>
          </w14:textFill>
        </w:rPr>
        <w:t>在设计河床以上至设计水位+0.4m（超高）采用</w:t>
      </w:r>
      <w:r>
        <w:rPr>
          <w:color w:val="000000" w:themeColor="text1"/>
          <w:sz w:val="24"/>
          <w14:textFill>
            <w14:solidFill>
              <w14:schemeClr w14:val="tx1"/>
            </w14:solidFill>
          </w14:textFill>
        </w:rPr>
        <w:t>C30现浇钢筋混凝土矩形渠全断面护砌，矩形渠宽</w:t>
      </w:r>
      <w:r>
        <w:rPr>
          <w:color w:val="000000" w:themeColor="text1"/>
          <w:spacing w:val="-6"/>
          <w:sz w:val="24"/>
          <w14:textFill>
            <w14:solidFill>
              <w14:schemeClr w14:val="tx1"/>
            </w14:solidFill>
          </w14:textFill>
        </w:rPr>
        <w:t>1.0m，顶宽</w:t>
      </w:r>
      <w:r>
        <w:rPr>
          <w:color w:val="000000" w:themeColor="text1"/>
          <w:spacing w:val="-5"/>
          <w:sz w:val="24"/>
          <w14:textFill>
            <w14:solidFill>
              <w14:schemeClr w14:val="tx1"/>
            </w14:solidFill>
          </w14:textFill>
        </w:rPr>
        <w:t>300mm，渠底厚</w:t>
      </w:r>
      <w:r>
        <w:rPr>
          <w:color w:val="000000" w:themeColor="text1"/>
          <w:spacing w:val="-7"/>
          <w:sz w:val="24"/>
          <w14:textFill>
            <w14:solidFill>
              <w14:schemeClr w14:val="tx1"/>
            </w14:solidFill>
          </w14:textFill>
        </w:rPr>
        <w:t>300mm，高</w:t>
      </w:r>
      <w:r>
        <w:rPr>
          <w:color w:val="000000" w:themeColor="text1"/>
          <w:spacing w:val="-3"/>
          <w:sz w:val="24"/>
          <w14:textFill>
            <w14:solidFill>
              <w14:schemeClr w14:val="tx1"/>
            </w14:solidFill>
          </w14:textFill>
        </w:rPr>
        <w:t>1.4m，渠底下设碎石垫层厚</w:t>
      </w:r>
      <w:r>
        <w:rPr>
          <w:color w:val="000000" w:themeColor="text1"/>
          <w:sz w:val="24"/>
          <w14:textFill>
            <w14:solidFill>
              <w14:schemeClr w14:val="tx1"/>
            </w14:solidFill>
          </w14:textFill>
        </w:rPr>
        <w:t>100mm；</w:t>
      </w:r>
      <w:r>
        <w:rPr>
          <w:color w:val="000000" w:themeColor="text1"/>
          <w:spacing w:val="-3"/>
          <w:sz w:val="24"/>
          <w14:textFill>
            <w14:solidFill>
              <w14:schemeClr w14:val="tx1"/>
            </w14:solidFill>
          </w14:textFill>
        </w:rPr>
        <w:t>为防止不均匀沉降，挡墙顺水流方向每</w:t>
      </w:r>
      <w:r>
        <w:rPr>
          <w:color w:val="000000" w:themeColor="text1"/>
          <w:sz w:val="24"/>
          <w14:textFill>
            <w14:solidFill>
              <w14:schemeClr w14:val="tx1"/>
            </w14:solidFill>
          </w14:textFill>
        </w:rPr>
        <w:t>5m</w:t>
      </w:r>
      <w:r>
        <w:rPr>
          <w:color w:val="000000" w:themeColor="text1"/>
          <w:spacing w:val="-4"/>
          <w:sz w:val="24"/>
          <w14:textFill>
            <w14:solidFill>
              <w14:schemeClr w14:val="tx1"/>
            </w14:solidFill>
          </w14:textFill>
        </w:rPr>
        <w:t>设置一道分缝，缝宽</w:t>
      </w:r>
      <w:r>
        <w:rPr>
          <w:color w:val="000000" w:themeColor="text1"/>
          <w:spacing w:val="-6"/>
          <w:sz w:val="24"/>
          <w14:textFill>
            <w14:solidFill>
              <w14:schemeClr w14:val="tx1"/>
            </w14:solidFill>
          </w14:textFill>
        </w:rPr>
        <w:t>20mm，采用</w:t>
      </w:r>
      <w:r>
        <w:rPr>
          <w:color w:val="000000" w:themeColor="text1"/>
          <w:sz w:val="24"/>
          <w14:textFill>
            <w14:solidFill>
              <w14:schemeClr w14:val="tx1"/>
            </w14:solidFill>
          </w14:textFill>
        </w:rPr>
        <w:t>PE闭孔塑料板填充。矩形渠顶至岸坡上植草皮。该治理段渠道横断面见下图</w:t>
      </w:r>
    </w:p>
    <w:p>
      <w:pPr>
        <w:pStyle w:val="22"/>
        <w:autoSpaceDE/>
        <w:autoSpaceDN/>
        <w:adjustRightInd w:val="0"/>
        <w:snapToGrid w:val="0"/>
        <w:spacing w:after="0" w:line="360" w:lineRule="auto"/>
        <w:ind w:left="0" w:leftChars="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114300" distR="114300">
            <wp:extent cx="4476115" cy="2862580"/>
            <wp:effectExtent l="0" t="0" r="635" b="13970"/>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44"/>
                    <a:stretch>
                      <a:fillRect/>
                    </a:stretch>
                  </pic:blipFill>
                  <pic:spPr>
                    <a:xfrm>
                      <a:off x="0" y="0"/>
                      <a:ext cx="4476115" cy="2862580"/>
                    </a:xfrm>
                    <a:prstGeom prst="rect">
                      <a:avLst/>
                    </a:prstGeom>
                    <a:noFill/>
                    <a:ln>
                      <a:noFill/>
                    </a:ln>
                  </pic:spPr>
                </pic:pic>
              </a:graphicData>
            </a:graphic>
          </wp:inline>
        </w:drawing>
      </w:r>
    </w:p>
    <w:p>
      <w:pPr>
        <w:pStyle w:val="14"/>
        <w:ind w:right="11"/>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图2.3-2</w:t>
      </w:r>
      <w:r>
        <w:rPr>
          <w:rFonts w:eastAsia="黑体"/>
          <w:color w:val="000000" w:themeColor="text1"/>
          <w:kern w:val="0"/>
          <w14:textFill>
            <w14:solidFill>
              <w14:schemeClr w14:val="tx1"/>
            </w14:solidFill>
          </w14:textFill>
        </w:rPr>
        <w:t>南五支渠</w:t>
      </w:r>
      <w:r>
        <w:rPr>
          <w:rFonts w:hint="eastAsia" w:eastAsia="黑体"/>
          <w:color w:val="000000" w:themeColor="text1"/>
          <w:kern w:val="0"/>
          <w14:textFill>
            <w14:solidFill>
              <w14:schemeClr w14:val="tx1"/>
            </w14:solidFill>
          </w14:textFill>
        </w:rPr>
        <w:t>典型横断面设计图</w:t>
      </w:r>
    </w:p>
    <w:p>
      <w:pPr>
        <w:pStyle w:val="22"/>
        <w:autoSpaceDE/>
        <w:autoSpaceDN/>
        <w:adjustRightInd w:val="0"/>
        <w:snapToGrid w:val="0"/>
        <w:spacing w:after="0" w:line="360" w:lineRule="auto"/>
        <w:ind w:left="0" w:leftChars="0"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w:t>
      </w:r>
      <w:r>
        <w:rPr>
          <w:b/>
          <w:bCs/>
          <w:color w:val="000000" w:themeColor="text1"/>
          <w:sz w:val="24"/>
          <w14:textFill>
            <w14:solidFill>
              <w14:schemeClr w14:val="tx1"/>
            </w14:solidFill>
          </w14:textFill>
        </w:rPr>
        <w:t>南六支渠</w:t>
      </w:r>
    </w:p>
    <w:p>
      <w:pPr>
        <w:pStyle w:val="22"/>
        <w:autoSpaceDE/>
        <w:autoSpaceDN/>
        <w:adjustRightInd w:val="0"/>
        <w:snapToGrid w:val="0"/>
        <w:spacing w:after="0" w:line="360" w:lineRule="auto"/>
        <w:ind w:left="0" w:leftChars="0"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该治理段采用“现浇钢筋混凝土矩形渠”方案，设计渠底宽1m。渠道横断面采用</w:t>
      </w:r>
      <w:r>
        <w:rPr>
          <w:color w:val="000000" w:themeColor="text1"/>
          <w:spacing w:val="-11"/>
          <w:sz w:val="24"/>
          <w14:textFill>
            <w14:solidFill>
              <w14:schemeClr w14:val="tx1"/>
            </w14:solidFill>
          </w14:textFill>
        </w:rPr>
        <w:t>在设计河床以上至设计水位+0.4m（超高）采用</w:t>
      </w:r>
      <w:r>
        <w:rPr>
          <w:color w:val="000000" w:themeColor="text1"/>
          <w:sz w:val="24"/>
          <w14:textFill>
            <w14:solidFill>
              <w14:schemeClr w14:val="tx1"/>
            </w14:solidFill>
          </w14:textFill>
        </w:rPr>
        <w:t>C30现浇钢筋混凝土矩形渠全断面护砌，矩形渠宽</w:t>
      </w:r>
      <w:r>
        <w:rPr>
          <w:color w:val="000000" w:themeColor="text1"/>
          <w:spacing w:val="-11"/>
          <w:sz w:val="24"/>
          <w14:textFill>
            <w14:solidFill>
              <w14:schemeClr w14:val="tx1"/>
            </w14:solidFill>
          </w14:textFill>
        </w:rPr>
        <w:t>1.0mm，顶宽</w:t>
      </w:r>
      <w:r>
        <w:rPr>
          <w:color w:val="000000" w:themeColor="text1"/>
          <w:spacing w:val="-10"/>
          <w:sz w:val="24"/>
          <w14:textFill>
            <w14:solidFill>
              <w14:schemeClr w14:val="tx1"/>
            </w14:solidFill>
          </w14:textFill>
        </w:rPr>
        <w:t>300mm，渠底厚</w:t>
      </w:r>
      <w:r>
        <w:rPr>
          <w:color w:val="000000" w:themeColor="text1"/>
          <w:spacing w:val="-13"/>
          <w:sz w:val="24"/>
          <w14:textFill>
            <w14:solidFill>
              <w14:schemeClr w14:val="tx1"/>
            </w14:solidFill>
          </w14:textFill>
        </w:rPr>
        <w:t>300mm，高</w:t>
      </w:r>
      <w:r>
        <w:rPr>
          <w:color w:val="000000" w:themeColor="text1"/>
          <w:spacing w:val="-7"/>
          <w:sz w:val="24"/>
          <w14:textFill>
            <w14:solidFill>
              <w14:schemeClr w14:val="tx1"/>
            </w14:solidFill>
          </w14:textFill>
        </w:rPr>
        <w:t>1.3m，渠底下设碎石垫层厚</w:t>
      </w:r>
      <w:r>
        <w:rPr>
          <w:color w:val="000000" w:themeColor="text1"/>
          <w:sz w:val="24"/>
          <w14:textFill>
            <w14:solidFill>
              <w14:schemeClr w14:val="tx1"/>
            </w14:solidFill>
          </w14:textFill>
        </w:rPr>
        <w:t>100mm；</w:t>
      </w:r>
      <w:r>
        <w:rPr>
          <w:color w:val="000000" w:themeColor="text1"/>
          <w:spacing w:val="-3"/>
          <w:sz w:val="24"/>
          <w14:textFill>
            <w14:solidFill>
              <w14:schemeClr w14:val="tx1"/>
            </w14:solidFill>
          </w14:textFill>
        </w:rPr>
        <w:t>为防止不均匀沉降，挡墙顺水流方向每</w:t>
      </w:r>
      <w:r>
        <w:rPr>
          <w:color w:val="000000" w:themeColor="text1"/>
          <w:sz w:val="24"/>
          <w14:textFill>
            <w14:solidFill>
              <w14:schemeClr w14:val="tx1"/>
            </w14:solidFill>
          </w14:textFill>
        </w:rPr>
        <w:t>5m</w:t>
      </w:r>
      <w:r>
        <w:rPr>
          <w:color w:val="000000" w:themeColor="text1"/>
          <w:spacing w:val="-4"/>
          <w:sz w:val="24"/>
          <w14:textFill>
            <w14:solidFill>
              <w14:schemeClr w14:val="tx1"/>
            </w14:solidFill>
          </w14:textFill>
        </w:rPr>
        <w:t>设置一道分缝，缝宽</w:t>
      </w:r>
      <w:r>
        <w:rPr>
          <w:color w:val="000000" w:themeColor="text1"/>
          <w:spacing w:val="-6"/>
          <w:sz w:val="24"/>
          <w14:textFill>
            <w14:solidFill>
              <w14:schemeClr w14:val="tx1"/>
            </w14:solidFill>
          </w14:textFill>
        </w:rPr>
        <w:t>20mm，采用</w:t>
      </w:r>
      <w:r>
        <w:rPr>
          <w:color w:val="000000" w:themeColor="text1"/>
          <w:sz w:val="24"/>
          <w14:textFill>
            <w14:solidFill>
              <w14:schemeClr w14:val="tx1"/>
            </w14:solidFill>
          </w14:textFill>
        </w:rPr>
        <w:t>PE闭孔塑料板填充。矩形渠顶至岸坡上植草皮。该治理段渠道横断面见下图。</w:t>
      </w:r>
    </w:p>
    <w:p>
      <w:pPr>
        <w:pStyle w:val="22"/>
        <w:autoSpaceDE/>
        <w:autoSpaceDN/>
        <w:adjustRightInd w:val="0"/>
        <w:snapToGrid w:val="0"/>
        <w:spacing w:after="0" w:line="360" w:lineRule="auto"/>
        <w:ind w:left="0" w:leftChars="0" w:firstLine="480" w:firstLineChars="200"/>
        <w:jc w:val="center"/>
        <w:rPr>
          <w:b/>
          <w:bCs/>
          <w:color w:val="000000" w:themeColor="text1"/>
          <w:kern w:val="2"/>
          <w:sz w:val="21"/>
          <w:szCs w:val="21"/>
          <w14:textFill>
            <w14:solidFill>
              <w14:schemeClr w14:val="tx1"/>
            </w14:solidFill>
          </w14:textFill>
        </w:rPr>
      </w:pPr>
      <w:r>
        <w:rPr>
          <w:color w:val="000000" w:themeColor="text1"/>
          <w:position w:val="-73"/>
          <w:sz w:val="24"/>
          <w14:textFill>
            <w14:solidFill>
              <w14:schemeClr w14:val="tx1"/>
            </w14:solidFill>
          </w14:textFill>
        </w:rPr>
        <w:drawing>
          <wp:inline distT="0" distB="0" distL="114300" distR="114300">
            <wp:extent cx="4461510" cy="2334260"/>
            <wp:effectExtent l="0" t="0" r="15240" b="8890"/>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45"/>
                    <a:stretch>
                      <a:fillRect/>
                    </a:stretch>
                  </pic:blipFill>
                  <pic:spPr>
                    <a:xfrm>
                      <a:off x="0" y="0"/>
                      <a:ext cx="4461510" cy="2334260"/>
                    </a:xfrm>
                    <a:prstGeom prst="rect">
                      <a:avLst/>
                    </a:prstGeom>
                    <a:noFill/>
                    <a:ln>
                      <a:noFill/>
                    </a:ln>
                  </pic:spPr>
                </pic:pic>
              </a:graphicData>
            </a:graphic>
          </wp:inline>
        </w:drawing>
      </w:r>
    </w:p>
    <w:p>
      <w:pPr>
        <w:pStyle w:val="14"/>
        <w:ind w:right="11"/>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图2.3-3</w:t>
      </w:r>
      <w:r>
        <w:rPr>
          <w:rFonts w:eastAsia="黑体"/>
          <w:color w:val="000000" w:themeColor="text1"/>
          <w:kern w:val="0"/>
          <w14:textFill>
            <w14:solidFill>
              <w14:schemeClr w14:val="tx1"/>
            </w14:solidFill>
          </w14:textFill>
        </w:rPr>
        <w:t>南六支渠</w:t>
      </w:r>
      <w:r>
        <w:rPr>
          <w:rFonts w:hint="eastAsia" w:eastAsia="黑体"/>
          <w:color w:val="000000" w:themeColor="text1"/>
          <w:kern w:val="0"/>
          <w14:textFill>
            <w14:solidFill>
              <w14:schemeClr w14:val="tx1"/>
            </w14:solidFill>
          </w14:textFill>
        </w:rPr>
        <w:t>典型横断面设计图</w:t>
      </w:r>
    </w:p>
    <w:p>
      <w:pPr>
        <w:autoSpaceDE/>
        <w:autoSpaceDN/>
        <w:adjustRightInd w:val="0"/>
        <w:snapToGrid w:val="0"/>
        <w:spacing w:line="360" w:lineRule="auto"/>
        <w:ind w:firstLine="482" w:firstLineChars="20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4、</w:t>
      </w:r>
      <w:r>
        <w:rPr>
          <w:b/>
          <w:bCs/>
          <w:color w:val="000000" w:themeColor="text1"/>
          <w:sz w:val="24"/>
          <w:szCs w:val="24"/>
          <w14:textFill>
            <w14:solidFill>
              <w14:schemeClr w14:val="tx1"/>
            </w14:solidFill>
          </w14:textFill>
        </w:rPr>
        <w:t>董家堰补水渠（上）</w:t>
      </w:r>
    </w:p>
    <w:p>
      <w:pPr>
        <w:pStyle w:val="22"/>
        <w:autoSpaceDE/>
        <w:autoSpaceDN/>
        <w:adjustRightInd w:val="0"/>
        <w:snapToGrid w:val="0"/>
        <w:spacing w:after="0" w:line="360" w:lineRule="auto"/>
        <w:ind w:left="0" w:leftChars="0"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该治理段采用“现浇钢筋混凝土矩形渠”方案，设计渠底宽1m。渠道横断面采用</w:t>
      </w:r>
      <w:r>
        <w:rPr>
          <w:color w:val="000000" w:themeColor="text1"/>
          <w:spacing w:val="-11"/>
          <w:sz w:val="24"/>
          <w14:textFill>
            <w14:solidFill>
              <w14:schemeClr w14:val="tx1"/>
            </w14:solidFill>
          </w14:textFill>
        </w:rPr>
        <w:t>在设计河床以上至设计水位+0.5m（超高）采用</w:t>
      </w:r>
      <w:r>
        <w:rPr>
          <w:color w:val="000000" w:themeColor="text1"/>
          <w:sz w:val="24"/>
          <w14:textFill>
            <w14:solidFill>
              <w14:schemeClr w14:val="tx1"/>
            </w14:solidFill>
          </w14:textFill>
        </w:rPr>
        <w:t>C30现浇钢筋混凝土矩形渠全断面护砌，矩形渠宽</w:t>
      </w:r>
      <w:r>
        <w:rPr>
          <w:color w:val="000000" w:themeColor="text1"/>
          <w:spacing w:val="-11"/>
          <w:sz w:val="24"/>
          <w14:textFill>
            <w14:solidFill>
              <w14:schemeClr w14:val="tx1"/>
            </w14:solidFill>
          </w14:textFill>
        </w:rPr>
        <w:t>1.0mm，顶宽</w:t>
      </w:r>
      <w:r>
        <w:rPr>
          <w:color w:val="000000" w:themeColor="text1"/>
          <w:spacing w:val="-10"/>
          <w:sz w:val="24"/>
          <w14:textFill>
            <w14:solidFill>
              <w14:schemeClr w14:val="tx1"/>
            </w14:solidFill>
          </w14:textFill>
        </w:rPr>
        <w:t>300mm，渠底厚</w:t>
      </w:r>
      <w:r>
        <w:rPr>
          <w:color w:val="000000" w:themeColor="text1"/>
          <w:spacing w:val="-13"/>
          <w:sz w:val="24"/>
          <w14:textFill>
            <w14:solidFill>
              <w14:schemeClr w14:val="tx1"/>
            </w14:solidFill>
          </w14:textFill>
        </w:rPr>
        <w:t>300mm，高</w:t>
      </w:r>
      <w:r>
        <w:rPr>
          <w:color w:val="000000" w:themeColor="text1"/>
          <w:spacing w:val="-7"/>
          <w:sz w:val="24"/>
          <w14:textFill>
            <w14:solidFill>
              <w14:schemeClr w14:val="tx1"/>
            </w14:solidFill>
          </w14:textFill>
        </w:rPr>
        <w:t>1.3m，渠底下设碎石垫层厚</w:t>
      </w:r>
      <w:r>
        <w:rPr>
          <w:color w:val="000000" w:themeColor="text1"/>
          <w:sz w:val="24"/>
          <w14:textFill>
            <w14:solidFill>
              <w14:schemeClr w14:val="tx1"/>
            </w14:solidFill>
          </w14:textFill>
        </w:rPr>
        <w:t>100mm；</w:t>
      </w:r>
      <w:r>
        <w:rPr>
          <w:color w:val="000000" w:themeColor="text1"/>
          <w:spacing w:val="-3"/>
          <w:sz w:val="24"/>
          <w14:textFill>
            <w14:solidFill>
              <w14:schemeClr w14:val="tx1"/>
            </w14:solidFill>
          </w14:textFill>
        </w:rPr>
        <w:t>为防止不均匀沉降，挡墙顺水流方向每</w:t>
      </w:r>
      <w:r>
        <w:rPr>
          <w:color w:val="000000" w:themeColor="text1"/>
          <w:sz w:val="24"/>
          <w14:textFill>
            <w14:solidFill>
              <w14:schemeClr w14:val="tx1"/>
            </w14:solidFill>
          </w14:textFill>
        </w:rPr>
        <w:t>5m</w:t>
      </w:r>
      <w:r>
        <w:rPr>
          <w:color w:val="000000" w:themeColor="text1"/>
          <w:spacing w:val="-4"/>
          <w:sz w:val="24"/>
          <w14:textFill>
            <w14:solidFill>
              <w14:schemeClr w14:val="tx1"/>
            </w14:solidFill>
          </w14:textFill>
        </w:rPr>
        <w:t>设置一道分缝，缝宽</w:t>
      </w:r>
      <w:r>
        <w:rPr>
          <w:color w:val="000000" w:themeColor="text1"/>
          <w:spacing w:val="-6"/>
          <w:sz w:val="24"/>
          <w14:textFill>
            <w14:solidFill>
              <w14:schemeClr w14:val="tx1"/>
            </w14:solidFill>
          </w14:textFill>
        </w:rPr>
        <w:t>20mm，采用</w:t>
      </w:r>
      <w:r>
        <w:rPr>
          <w:color w:val="000000" w:themeColor="text1"/>
          <w:sz w:val="24"/>
          <w14:textFill>
            <w14:solidFill>
              <w14:schemeClr w14:val="tx1"/>
            </w14:solidFill>
          </w14:textFill>
        </w:rPr>
        <w:t>PE闭孔塑料板填充。矩形渠顶至岸坡上植草皮。该治理段渠道横断面见下图。</w:t>
      </w:r>
    </w:p>
    <w:p>
      <w:pPr>
        <w:pStyle w:val="22"/>
        <w:autoSpaceDE/>
        <w:autoSpaceDN/>
        <w:adjustRightInd w:val="0"/>
        <w:snapToGrid w:val="0"/>
        <w:spacing w:after="0" w:line="360" w:lineRule="auto"/>
        <w:ind w:left="0" w:leftChars="0" w:firstLine="480" w:firstLineChars="200"/>
        <w:jc w:val="center"/>
        <w:rPr>
          <w:b/>
          <w:bCs/>
          <w:color w:val="000000" w:themeColor="text1"/>
          <w:kern w:val="2"/>
          <w:sz w:val="21"/>
          <w:szCs w:val="21"/>
          <w14:textFill>
            <w14:solidFill>
              <w14:schemeClr w14:val="tx1"/>
            </w14:solidFill>
          </w14:textFill>
        </w:rPr>
      </w:pPr>
      <w:r>
        <w:rPr>
          <w:color w:val="000000" w:themeColor="text1"/>
          <w:position w:val="-75"/>
          <w:sz w:val="24"/>
          <w14:textFill>
            <w14:solidFill>
              <w14:schemeClr w14:val="tx1"/>
            </w14:solidFill>
          </w14:textFill>
        </w:rPr>
        <w:drawing>
          <wp:inline distT="0" distB="0" distL="114300" distR="114300">
            <wp:extent cx="4464685" cy="2407920"/>
            <wp:effectExtent l="0" t="0" r="12065" b="11430"/>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
                    <pic:cNvPicPr>
                      <a:picLocks noChangeAspect="1"/>
                    </pic:cNvPicPr>
                  </pic:nvPicPr>
                  <pic:blipFill>
                    <a:blip r:embed="rId46"/>
                    <a:stretch>
                      <a:fillRect/>
                    </a:stretch>
                  </pic:blipFill>
                  <pic:spPr>
                    <a:xfrm>
                      <a:off x="0" y="0"/>
                      <a:ext cx="4464685" cy="2407920"/>
                    </a:xfrm>
                    <a:prstGeom prst="rect">
                      <a:avLst/>
                    </a:prstGeom>
                    <a:noFill/>
                    <a:ln>
                      <a:noFill/>
                    </a:ln>
                  </pic:spPr>
                </pic:pic>
              </a:graphicData>
            </a:graphic>
          </wp:inline>
        </w:drawing>
      </w:r>
    </w:p>
    <w:p>
      <w:pPr>
        <w:pStyle w:val="14"/>
        <w:ind w:right="11"/>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图2.3-4</w:t>
      </w:r>
      <w:r>
        <w:rPr>
          <w:rFonts w:eastAsia="黑体"/>
          <w:color w:val="000000" w:themeColor="text1"/>
          <w:kern w:val="0"/>
          <w14:textFill>
            <w14:solidFill>
              <w14:schemeClr w14:val="tx1"/>
            </w14:solidFill>
          </w14:textFill>
        </w:rPr>
        <w:t>董家堰补水渠（上）</w:t>
      </w:r>
      <w:r>
        <w:rPr>
          <w:rFonts w:hint="eastAsia" w:eastAsia="黑体"/>
          <w:color w:val="000000" w:themeColor="text1"/>
          <w:kern w:val="0"/>
          <w14:textFill>
            <w14:solidFill>
              <w14:schemeClr w14:val="tx1"/>
            </w14:solidFill>
          </w14:textFill>
        </w:rPr>
        <w:t>典型横断面设计图</w:t>
      </w:r>
    </w:p>
    <w:p>
      <w:pPr>
        <w:pStyle w:val="22"/>
        <w:autoSpaceDE/>
        <w:autoSpaceDN/>
        <w:adjustRightInd w:val="0"/>
        <w:snapToGrid w:val="0"/>
        <w:spacing w:after="0" w:line="360" w:lineRule="auto"/>
        <w:ind w:left="0" w:leftChars="0" w:firstLine="482" w:firstLineChars="200"/>
        <w:rPr>
          <w:b/>
          <w:bCs/>
          <w:color w:val="000000" w:themeColor="text1"/>
          <w:kern w:val="2"/>
          <w:sz w:val="24"/>
          <w14:textFill>
            <w14:solidFill>
              <w14:schemeClr w14:val="tx1"/>
            </w14:solidFill>
          </w14:textFill>
        </w:rPr>
      </w:pPr>
      <w:r>
        <w:rPr>
          <w:rFonts w:hint="eastAsia"/>
          <w:b/>
          <w:bCs/>
          <w:color w:val="000000" w:themeColor="text1"/>
          <w:kern w:val="2"/>
          <w:sz w:val="24"/>
          <w14:textFill>
            <w14:solidFill>
              <w14:schemeClr w14:val="tx1"/>
            </w14:solidFill>
          </w14:textFill>
        </w:rPr>
        <w:t>5、</w:t>
      </w:r>
      <w:r>
        <w:rPr>
          <w:b/>
          <w:bCs/>
          <w:color w:val="000000" w:themeColor="text1"/>
          <w:kern w:val="2"/>
          <w:sz w:val="24"/>
          <w14:textFill>
            <w14:solidFill>
              <w14:schemeClr w14:val="tx1"/>
            </w14:solidFill>
          </w14:textFill>
        </w:rPr>
        <w:t>董家堰补水渠（下）</w:t>
      </w:r>
    </w:p>
    <w:p>
      <w:pPr>
        <w:pStyle w:val="14"/>
        <w:autoSpaceDE/>
        <w:autoSpaceDN/>
        <w:adjustRightInd w:val="0"/>
        <w:snapToGrid w:val="0"/>
        <w:spacing w:line="360" w:lineRule="auto"/>
        <w:ind w:firstLine="464" w:firstLineChars="200"/>
        <w:jc w:val="both"/>
        <w:rPr>
          <w:color w:val="000000" w:themeColor="text1"/>
          <w14:textFill>
            <w14:solidFill>
              <w14:schemeClr w14:val="tx1"/>
            </w14:solidFill>
          </w14:textFill>
        </w:rPr>
      </w:pPr>
      <w:r>
        <w:rPr>
          <w:color w:val="000000" w:themeColor="text1"/>
          <w:spacing w:val="-4"/>
          <w14:textFill>
            <w14:solidFill>
              <w14:schemeClr w14:val="tx1"/>
            </w14:solidFill>
          </w14:textFill>
        </w:rPr>
        <w:t>该治理段采用“现浇钢筋混凝土矩形渠”方案，设计渠底宽</w:t>
      </w:r>
      <w:r>
        <w:rPr>
          <w:color w:val="000000" w:themeColor="text1"/>
          <w:spacing w:val="-3"/>
          <w14:textFill>
            <w14:solidFill>
              <w14:schemeClr w14:val="tx1"/>
            </w14:solidFill>
          </w14:textFill>
        </w:rPr>
        <w:t>1.5m。渠道横断面采用</w:t>
      </w:r>
      <w:r>
        <w:rPr>
          <w:color w:val="000000" w:themeColor="text1"/>
          <w14:textFill>
            <w14:solidFill>
              <w14:schemeClr w14:val="tx1"/>
            </w14:solidFill>
          </w14:textFill>
        </w:rPr>
        <w:t>在设计河床以上至设计水位+0.36m（超高）采用C30现浇钢筋混凝土矩形渠全断面护砌，矩形渠宽1.0mm，顶宽300mm，渠底厚300mm，高1.3m，渠底下设碎石垫层厚100mm；为防止不均匀沉降，挡墙顺水流方向每5m设置一道分缝，缝宽20mm，采用PE闭孔塑料板填充。矩形渠顶至岸坡上植草皮。该治理段渠道横断面见下图。</w:t>
      </w:r>
    </w:p>
    <w:p>
      <w:pPr>
        <w:autoSpaceDE/>
        <w:autoSpaceDN/>
        <w:adjustRightInd w:val="0"/>
        <w:snapToGrid w:val="0"/>
        <w:spacing w:line="360" w:lineRule="auto"/>
        <w:ind w:firstLine="480" w:firstLineChars="200"/>
        <w:jc w:val="center"/>
        <w:rPr>
          <w:color w:val="000000" w:themeColor="text1"/>
          <w:sz w:val="24"/>
          <w:szCs w:val="24"/>
          <w14:textFill>
            <w14:solidFill>
              <w14:schemeClr w14:val="tx1"/>
            </w14:solidFill>
          </w14:textFill>
        </w:rPr>
      </w:pPr>
      <w:r>
        <w:rPr>
          <w:color w:val="000000" w:themeColor="text1"/>
          <w:position w:val="-84"/>
          <w:sz w:val="24"/>
          <w:szCs w:val="24"/>
          <w14:textFill>
            <w14:solidFill>
              <w14:schemeClr w14:val="tx1"/>
            </w14:solidFill>
          </w14:textFill>
        </w:rPr>
        <w:drawing>
          <wp:inline distT="0" distB="0" distL="114300" distR="114300">
            <wp:extent cx="4094480" cy="2687955"/>
            <wp:effectExtent l="0" t="0" r="1270" b="17145"/>
            <wp:docPr id="1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pic:cNvPicPr>
                      <a:picLocks noChangeAspect="1"/>
                    </pic:cNvPicPr>
                  </pic:nvPicPr>
                  <pic:blipFill>
                    <a:blip r:embed="rId47"/>
                    <a:stretch>
                      <a:fillRect/>
                    </a:stretch>
                  </pic:blipFill>
                  <pic:spPr>
                    <a:xfrm>
                      <a:off x="0" y="0"/>
                      <a:ext cx="4094480" cy="2687955"/>
                    </a:xfrm>
                    <a:prstGeom prst="rect">
                      <a:avLst/>
                    </a:prstGeom>
                    <a:noFill/>
                    <a:ln>
                      <a:noFill/>
                    </a:ln>
                  </pic:spPr>
                </pic:pic>
              </a:graphicData>
            </a:graphic>
          </wp:inline>
        </w:drawing>
      </w:r>
    </w:p>
    <w:p>
      <w:pPr>
        <w:pStyle w:val="14"/>
        <w:ind w:right="11"/>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图2.3-5</w:t>
      </w:r>
      <w:r>
        <w:rPr>
          <w:rFonts w:eastAsia="黑体"/>
          <w:color w:val="000000" w:themeColor="text1"/>
          <w:kern w:val="0"/>
          <w14:textFill>
            <w14:solidFill>
              <w14:schemeClr w14:val="tx1"/>
            </w14:solidFill>
          </w14:textFill>
        </w:rPr>
        <w:t>董家堰补水渠（</w:t>
      </w:r>
      <w:r>
        <w:rPr>
          <w:rFonts w:hint="eastAsia" w:eastAsia="黑体"/>
          <w:color w:val="000000" w:themeColor="text1"/>
          <w:kern w:val="0"/>
          <w14:textFill>
            <w14:solidFill>
              <w14:schemeClr w14:val="tx1"/>
            </w14:solidFill>
          </w14:textFill>
        </w:rPr>
        <w:t>下</w:t>
      </w:r>
      <w:r>
        <w:rPr>
          <w:rFonts w:eastAsia="黑体"/>
          <w:color w:val="000000" w:themeColor="text1"/>
          <w:kern w:val="0"/>
          <w14:textFill>
            <w14:solidFill>
              <w14:schemeClr w14:val="tx1"/>
            </w14:solidFill>
          </w14:textFill>
        </w:rPr>
        <w:t>）</w:t>
      </w:r>
      <w:r>
        <w:rPr>
          <w:rFonts w:hint="eastAsia" w:eastAsia="黑体"/>
          <w:color w:val="000000" w:themeColor="text1"/>
          <w:kern w:val="0"/>
          <w14:textFill>
            <w14:solidFill>
              <w14:schemeClr w14:val="tx1"/>
            </w14:solidFill>
          </w14:textFill>
        </w:rPr>
        <w:t>典型横断面设计图</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2.3.1.3纵断面设计</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纵断面设计原则</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1）渠道纵断面坡向应与现状地形坡向基本一致，使设计岸顶与现状地形基本相符，节约土石方工程量。</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2）沿线渠底高程受干支流及已建渠道、桥涵、绿道等工程限制。这些节点位置的高程是整个灌排渠纵坡及渠底高程的重要控制性因素。</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3）本着技术可行，经济合理的原则，综合考虑上述各项因素，确定本次设计灌排渠渠底高程和渠道纵坡。</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纵断面比降设计成果</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根据渠道设计流量，沿线地形地质情况，控制灌溉面积高程及有关规定，以及原渠道的渠底比降，本次渠道设计纵断面成果见</w:t>
      </w:r>
      <w:r>
        <w:rPr>
          <w:rFonts w:hint="eastAsia"/>
          <w:color w:val="000000" w:themeColor="text1"/>
          <w14:textFill>
            <w14:solidFill>
              <w14:schemeClr w14:val="tx1"/>
            </w14:solidFill>
          </w14:textFill>
        </w:rPr>
        <w:t>下</w:t>
      </w:r>
      <w:r>
        <w:rPr>
          <w:color w:val="000000" w:themeColor="text1"/>
          <w14:textFill>
            <w14:solidFill>
              <w14:schemeClr w14:val="tx1"/>
            </w14:solidFill>
          </w14:textFill>
        </w:rPr>
        <w:t>表。</w:t>
      </w:r>
    </w:p>
    <w:p>
      <w:pPr>
        <w:pStyle w:val="129"/>
        <w:wordWrap w:val="0"/>
        <w:spacing w:line="240" w:lineRule="auto"/>
        <w:ind w:firstLine="0" w:firstLineChars="0"/>
        <w:jc w:val="center"/>
        <w:rPr>
          <w:rFonts w:eastAsia="黑体"/>
          <w:color w:val="000000" w:themeColor="text1"/>
          <w:kern w:val="0"/>
          <w:szCs w:val="24"/>
          <w14:textFill>
            <w14:solidFill>
              <w14:schemeClr w14:val="tx1"/>
            </w14:solidFill>
          </w14:textFill>
        </w:rPr>
      </w:pPr>
      <w:r>
        <w:rPr>
          <w:rFonts w:hint="eastAsia" w:eastAsia="黑体"/>
          <w:color w:val="000000" w:themeColor="text1"/>
          <w:kern w:val="0"/>
          <w:szCs w:val="24"/>
          <w14:textFill>
            <w14:solidFill>
              <w14:schemeClr w14:val="tx1"/>
            </w14:solidFill>
          </w14:textFill>
        </w:rPr>
        <w:t>表2.3-1项目各渠道设计情况汇总表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15"/>
        <w:gridCol w:w="1487"/>
        <w:gridCol w:w="1571"/>
        <w:gridCol w:w="1390"/>
        <w:gridCol w:w="1527"/>
        <w:gridCol w:w="1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2" w:hRule="exact"/>
          <w:jc w:val="center"/>
        </w:trPr>
        <w:tc>
          <w:tcPr>
            <w:tcW w:w="31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w:t>
            </w:r>
          </w:p>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号</w:t>
            </w:r>
          </w:p>
        </w:tc>
        <w:tc>
          <w:tcPr>
            <w:tcW w:w="895"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名称</w:t>
            </w:r>
          </w:p>
        </w:tc>
        <w:tc>
          <w:tcPr>
            <w:tcW w:w="946"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起点桩号</w:t>
            </w:r>
          </w:p>
        </w:tc>
        <w:tc>
          <w:tcPr>
            <w:tcW w:w="837"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终点桩号</w:t>
            </w:r>
          </w:p>
        </w:tc>
        <w:tc>
          <w:tcPr>
            <w:tcW w:w="919"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eastAsia="Times New Roman"/>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设计流量</w:t>
            </w:r>
            <w:r>
              <w:rPr>
                <w:rFonts w:hint="default" w:eastAsia="Times New Roman"/>
                <w:b/>
                <w:bCs/>
                <w:color w:val="000000" w:themeColor="text1"/>
                <w14:textFill>
                  <w14:solidFill>
                    <w14:schemeClr w14:val="tx1"/>
                  </w14:solidFill>
                </w14:textFill>
              </w:rPr>
              <w:t>Q</w:t>
            </w:r>
          </w:p>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m</w:t>
            </w:r>
            <w:r>
              <w:rPr>
                <w:rFonts w:hint="default" w:ascii="宋体" w:hAnsi="宋体" w:cs="宋体"/>
                <w:b/>
                <w:bCs/>
                <w:color w:val="000000" w:themeColor="text1"/>
                <w14:textFill>
                  <w14:solidFill>
                    <w14:schemeClr w14:val="tx1"/>
                  </w14:solidFill>
                </w14:textFill>
              </w:rPr>
              <w:t>³</w:t>
            </w:r>
            <w:r>
              <w:rPr>
                <w:rFonts w:hint="default" w:eastAsia="Times New Roman"/>
                <w:b/>
                <w:bCs/>
                <w:color w:val="000000" w:themeColor="text1"/>
                <w14:textFill>
                  <w14:solidFill>
                    <w14:schemeClr w14:val="tx1"/>
                  </w14:solidFill>
                </w14:textFill>
              </w:rPr>
              <w:t>/s</w:t>
            </w:r>
            <w:r>
              <w:rPr>
                <w:rFonts w:hint="default" w:ascii="宋体" w:hAnsi="宋体" w:cs="宋体"/>
                <w:b/>
                <w:bCs/>
                <w:color w:val="000000" w:themeColor="text1"/>
                <w14:textFill>
                  <w14:solidFill>
                    <w14:schemeClr w14:val="tx1"/>
                  </w14:solidFill>
                </w14:textFill>
              </w:rPr>
              <w:t>）</w:t>
            </w:r>
          </w:p>
        </w:tc>
        <w:tc>
          <w:tcPr>
            <w:tcW w:w="109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设计渠底高程</w:t>
            </w:r>
          </w:p>
          <w:p>
            <w:pPr>
              <w:pStyle w:val="60"/>
              <w:keepNext w:val="0"/>
              <w:keepLines w:val="0"/>
              <w:suppressLineNumbers w:val="0"/>
              <w:autoSpaceDE/>
              <w:autoSpaceDN/>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m</w:t>
            </w:r>
            <w:r>
              <w:rPr>
                <w:rFonts w:hint="default" w:ascii="宋体" w:hAnsi="宋体" w:cs="宋体"/>
                <w:b/>
                <w:bCs/>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9" w:hRule="exact"/>
          <w:jc w:val="center"/>
        </w:trPr>
        <w:tc>
          <w:tcPr>
            <w:tcW w:w="31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95"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p>
        </w:tc>
        <w:tc>
          <w:tcPr>
            <w:tcW w:w="946"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K0+000</w:t>
            </w:r>
          </w:p>
        </w:tc>
        <w:tc>
          <w:tcPr>
            <w:tcW w:w="837"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K0+235</w:t>
            </w:r>
          </w:p>
        </w:tc>
        <w:tc>
          <w:tcPr>
            <w:tcW w:w="919"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0.056</w:t>
            </w:r>
          </w:p>
        </w:tc>
        <w:tc>
          <w:tcPr>
            <w:tcW w:w="109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492.56-501.64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7" w:hRule="exact"/>
          <w:jc w:val="center"/>
        </w:trPr>
        <w:tc>
          <w:tcPr>
            <w:tcW w:w="31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895"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946"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K0+000</w:t>
            </w:r>
          </w:p>
        </w:tc>
        <w:tc>
          <w:tcPr>
            <w:tcW w:w="837"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K0+034</w:t>
            </w:r>
          </w:p>
        </w:tc>
        <w:tc>
          <w:tcPr>
            <w:tcW w:w="919"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0.056</w:t>
            </w:r>
          </w:p>
        </w:tc>
        <w:tc>
          <w:tcPr>
            <w:tcW w:w="109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492.73-492.80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0" w:hRule="exact"/>
          <w:jc w:val="center"/>
        </w:trPr>
        <w:tc>
          <w:tcPr>
            <w:tcW w:w="31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895"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北支一渠（上）</w:t>
            </w:r>
          </w:p>
        </w:tc>
        <w:tc>
          <w:tcPr>
            <w:tcW w:w="946"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K0+000</w:t>
            </w:r>
          </w:p>
        </w:tc>
        <w:tc>
          <w:tcPr>
            <w:tcW w:w="837"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K2+261</w:t>
            </w:r>
          </w:p>
        </w:tc>
        <w:tc>
          <w:tcPr>
            <w:tcW w:w="919"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5.5</w:t>
            </w:r>
          </w:p>
        </w:tc>
        <w:tc>
          <w:tcPr>
            <w:tcW w:w="109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504.40-502.58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1" w:hRule="exact"/>
          <w:jc w:val="center"/>
        </w:trPr>
        <w:tc>
          <w:tcPr>
            <w:tcW w:w="31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95"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946"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K0+000</w:t>
            </w:r>
          </w:p>
        </w:tc>
        <w:tc>
          <w:tcPr>
            <w:tcW w:w="837"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K3+056</w:t>
            </w:r>
          </w:p>
        </w:tc>
        <w:tc>
          <w:tcPr>
            <w:tcW w:w="919"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0.41</w:t>
            </w:r>
          </w:p>
        </w:tc>
        <w:tc>
          <w:tcPr>
            <w:tcW w:w="109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503.3-501.26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exact"/>
          <w:jc w:val="center"/>
        </w:trPr>
        <w:tc>
          <w:tcPr>
            <w:tcW w:w="31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895"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946"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K0+000</w:t>
            </w:r>
          </w:p>
        </w:tc>
        <w:tc>
          <w:tcPr>
            <w:tcW w:w="837"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K1+305</w:t>
            </w:r>
          </w:p>
        </w:tc>
        <w:tc>
          <w:tcPr>
            <w:tcW w:w="919"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0.26</w:t>
            </w:r>
          </w:p>
        </w:tc>
        <w:tc>
          <w:tcPr>
            <w:tcW w:w="1090" w:type="pct"/>
            <w:tcBorders>
              <w:tl2br w:val="nil"/>
              <w:tr2bl w:val="nil"/>
            </w:tcBorders>
            <w:vAlign w:val="center"/>
          </w:tcPr>
          <w:p>
            <w:pPr>
              <w:pStyle w:val="60"/>
              <w:keepNext w:val="0"/>
              <w:keepLines w:val="0"/>
              <w:suppressLineNumbers w:val="0"/>
              <w:autoSpaceDE/>
              <w:autoSpaceDN/>
              <w:spacing w:before="0" w:beforeAutospacing="0" w:after="0" w:afterAutospacing="0"/>
              <w:ind w:left="0" w:right="0"/>
              <w:rPr>
                <w:rFonts w:hint="default" w:hAnsi="宋体" w:cs="宋体"/>
                <w:color w:val="000000" w:themeColor="text1"/>
                <w:lang w:val="zh-CN"/>
                <w14:textFill>
                  <w14:solidFill>
                    <w14:schemeClr w14:val="tx1"/>
                  </w14:solidFill>
                </w14:textFill>
              </w:rPr>
            </w:pPr>
            <w:r>
              <w:rPr>
                <w:rFonts w:hint="default" w:hAnsi="宋体" w:cs="宋体"/>
                <w:color w:val="000000" w:themeColor="text1"/>
                <w14:textFill>
                  <w14:solidFill>
                    <w14:schemeClr w14:val="tx1"/>
                  </w14:solidFill>
                </w14:textFill>
              </w:rPr>
              <w:t>504.3-503.21</w:t>
            </w:r>
          </w:p>
        </w:tc>
      </w:tr>
    </w:tbl>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2.3.1.4</w:t>
      </w:r>
      <w:r>
        <w:rPr>
          <w:rFonts w:hint="eastAsia"/>
          <w:b/>
          <w:color w:val="000000" w:themeColor="text1"/>
          <w:kern w:val="0"/>
          <w:sz w:val="24"/>
          <w:szCs w:val="24"/>
          <w14:textFill>
            <w14:solidFill>
              <w14:schemeClr w14:val="tx1"/>
            </w14:solidFill>
          </w14:textFill>
        </w:rPr>
        <w:t>渠道灌溉方式</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根据项目区内各渠道控灌面积、考虑区域内现有灌溉工程的供水方式，本工程采用明渠和泵站提水灌溉。</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2.3.1.5护砌形式</w:t>
      </w:r>
    </w:p>
    <w:p>
      <w:pPr>
        <w:pStyle w:val="14"/>
        <w:adjustRightInd w:val="0"/>
        <w:snapToGrid w:val="0"/>
        <w:spacing w:line="360" w:lineRule="auto"/>
        <w:ind w:firstLine="480" w:firstLineChars="200"/>
        <w:rPr>
          <w:color w:val="000000" w:themeColor="text1"/>
          <w:kern w:val="0"/>
          <w14:textFill>
            <w14:solidFill>
              <w14:schemeClr w14:val="tx1"/>
            </w14:solidFill>
          </w14:textFill>
        </w:rPr>
      </w:pPr>
      <w:r>
        <w:rPr>
          <w:color w:val="000000" w:themeColor="text1"/>
          <w:kern w:val="0"/>
          <w14:textFill>
            <w14:solidFill>
              <w14:schemeClr w14:val="tx1"/>
            </w14:solidFill>
          </w14:textFill>
        </w:rPr>
        <w:t>参照已实施河道治理的经验，结合渠道现状，减少开挖占用</w:t>
      </w:r>
      <w:r>
        <w:rPr>
          <w:rFonts w:hint="eastAsia"/>
          <w:color w:val="000000" w:themeColor="text1"/>
          <w:kern w:val="0"/>
          <w:lang w:val="en-US" w:eastAsia="zh-CN"/>
          <w14:textFill>
            <w14:solidFill>
              <w14:schemeClr w14:val="tx1"/>
            </w14:solidFill>
          </w14:textFill>
        </w:rPr>
        <w:t>土地</w:t>
      </w:r>
      <w:r>
        <w:rPr>
          <w:color w:val="000000" w:themeColor="text1"/>
          <w:kern w:val="0"/>
          <w14:textFill>
            <w14:solidFill>
              <w14:schemeClr w14:val="tx1"/>
            </w14:solidFill>
          </w14:textFill>
        </w:rPr>
        <w:t>，根据渠道治理方案比较，采用现浇混凝土仰斜式挡墙和现浇钢筋混凝土矩形渠。</w:t>
      </w:r>
    </w:p>
    <w:p>
      <w:pPr>
        <w:autoSpaceDE/>
        <w:autoSpaceDN/>
        <w:spacing w:line="360" w:lineRule="auto"/>
        <w:jc w:val="both"/>
        <w:outlineLvl w:val="3"/>
        <w:rPr>
          <w:b/>
          <w:color w:val="000000" w:themeColor="text1"/>
          <w:kern w:val="0"/>
          <w:sz w:val="24"/>
          <w:szCs w:val="24"/>
          <w14:textFill>
            <w14:solidFill>
              <w14:schemeClr w14:val="tx1"/>
            </w14:solidFill>
          </w14:textFill>
        </w:rPr>
      </w:pPr>
      <w:bookmarkStart w:id="315" w:name="_Toc24935"/>
      <w:r>
        <w:rPr>
          <w:b/>
          <w:color w:val="000000" w:themeColor="text1"/>
          <w:kern w:val="0"/>
          <w:sz w:val="24"/>
          <w:szCs w:val="24"/>
          <w14:textFill>
            <w14:solidFill>
              <w14:schemeClr w14:val="tx1"/>
            </w14:solidFill>
          </w14:textFill>
        </w:rPr>
        <w:t>2.3.1.6</w:t>
      </w:r>
      <w:bookmarkEnd w:id="315"/>
      <w:r>
        <w:rPr>
          <w:rFonts w:hint="eastAsia"/>
          <w:b/>
          <w:color w:val="000000" w:themeColor="text1"/>
          <w:kern w:val="0"/>
          <w:sz w:val="24"/>
          <w:szCs w:val="24"/>
          <w14:textFill>
            <w14:solidFill>
              <w14:schemeClr w14:val="tx1"/>
            </w14:solidFill>
          </w14:textFill>
        </w:rPr>
        <w:t>渠道水力计算</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经计算，</w:t>
      </w:r>
      <w:r>
        <w:rPr>
          <w:rFonts w:hint="eastAsia"/>
          <w:color w:val="000000" w:themeColor="text1"/>
          <w:kern w:val="0"/>
          <w:sz w:val="24"/>
          <w:szCs w:val="24"/>
          <w14:textFill>
            <w14:solidFill>
              <w14:schemeClr w14:val="tx1"/>
            </w14:solidFill>
          </w14:textFill>
        </w:rPr>
        <w:t>渠道最大流速</w:t>
      </w:r>
      <w:r>
        <w:rPr>
          <w:color w:val="000000" w:themeColor="text1"/>
          <w:kern w:val="0"/>
          <w:sz w:val="24"/>
          <w:szCs w:val="24"/>
          <w14:textFill>
            <w14:solidFill>
              <w14:schemeClr w14:val="tx1"/>
            </w14:solidFill>
          </w14:textFill>
        </w:rPr>
        <w:t>为</w:t>
      </w:r>
      <w:r>
        <w:rPr>
          <w:rFonts w:hint="eastAsia"/>
          <w:color w:val="000000" w:themeColor="text1"/>
          <w:kern w:val="0"/>
          <w:sz w:val="24"/>
          <w:szCs w:val="24"/>
          <w14:textFill>
            <w14:solidFill>
              <w14:schemeClr w14:val="tx1"/>
            </w14:solidFill>
          </w14:textFill>
        </w:rPr>
        <w:t>5.5</w:t>
      </w:r>
      <w:r>
        <w:rPr>
          <w:color w:val="000000" w:themeColor="text1"/>
          <w:kern w:val="0"/>
          <w:sz w:val="24"/>
          <w:szCs w:val="24"/>
          <w14:textFill>
            <w14:solidFill>
              <w14:schemeClr w14:val="tx1"/>
            </w14:solidFill>
          </w14:textFill>
        </w:rPr>
        <w:t>m/s，不淤流速</w:t>
      </w:r>
      <w:r>
        <w:rPr>
          <w:rFonts w:hint="eastAsia"/>
          <w:color w:val="000000" w:themeColor="text1"/>
          <w:kern w:val="0"/>
          <w:sz w:val="24"/>
          <w:szCs w:val="24"/>
          <w14:textFill>
            <w14:solidFill>
              <w14:schemeClr w14:val="tx1"/>
            </w14:solidFill>
          </w14:textFill>
        </w:rPr>
        <w:t>为</w:t>
      </w:r>
      <w:r>
        <w:rPr>
          <w:color w:val="000000" w:themeColor="text1"/>
          <w:kern w:val="0"/>
          <w:sz w:val="24"/>
          <w:szCs w:val="24"/>
          <w14:textFill>
            <w14:solidFill>
              <w14:schemeClr w14:val="tx1"/>
            </w14:solidFill>
          </w14:textFill>
        </w:rPr>
        <w:t>0.</w:t>
      </w:r>
      <w:r>
        <w:rPr>
          <w:rFonts w:hint="eastAsia"/>
          <w:color w:val="000000" w:themeColor="text1"/>
          <w:kern w:val="0"/>
          <w:sz w:val="24"/>
          <w:szCs w:val="24"/>
          <w14:textFill>
            <w14:solidFill>
              <w14:schemeClr w14:val="tx1"/>
            </w14:solidFill>
          </w14:textFill>
        </w:rPr>
        <w:t>18</w:t>
      </w:r>
      <w:r>
        <w:rPr>
          <w:color w:val="000000" w:themeColor="text1"/>
          <w:kern w:val="0"/>
          <w:sz w:val="24"/>
          <w:szCs w:val="24"/>
          <w14:textFill>
            <w14:solidFill>
              <w14:schemeClr w14:val="tx1"/>
            </w14:solidFill>
          </w14:textFill>
        </w:rPr>
        <w:t>m/s。满足不冲要求，不满足不淤要求，因此渠道淤积时需及时清淤。</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16" w:name="_Toc70496267"/>
      <w:bookmarkStart w:id="317" w:name="_Toc32553"/>
      <w:r>
        <w:rPr>
          <w:rFonts w:eastAsia="黑体"/>
          <w:b/>
          <w:color w:val="000000" w:themeColor="text1"/>
          <w:kern w:val="0"/>
          <w:sz w:val="28"/>
          <w:szCs w:val="24"/>
          <w14:textFill>
            <w14:solidFill>
              <w14:schemeClr w14:val="tx1"/>
            </w14:solidFill>
          </w14:textFill>
        </w:rPr>
        <w:t>2.3.2</w:t>
      </w:r>
      <w:bookmarkEnd w:id="316"/>
      <w:r>
        <w:rPr>
          <w:rFonts w:hint="eastAsia" w:eastAsia="黑体"/>
          <w:b/>
          <w:color w:val="000000" w:themeColor="text1"/>
          <w:kern w:val="0"/>
          <w:sz w:val="28"/>
          <w:szCs w:val="24"/>
          <w14:textFill>
            <w14:solidFill>
              <w14:schemeClr w14:val="tx1"/>
            </w14:solidFill>
          </w14:textFill>
        </w:rPr>
        <w:t>渠系建筑物工程</w:t>
      </w:r>
      <w:bookmarkEnd w:id="317"/>
    </w:p>
    <w:p>
      <w:pPr>
        <w:widowControl/>
        <w:autoSpaceDE/>
        <w:autoSpaceDN/>
        <w:spacing w:line="360" w:lineRule="auto"/>
        <w:ind w:firstLine="482" w:firstLineChars="200"/>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1、闸门改造工程</w:t>
      </w:r>
    </w:p>
    <w:p>
      <w:pPr>
        <w:pStyle w:val="14"/>
        <w:numPr>
          <w:ilvl w:val="0"/>
          <w:numId w:val="5"/>
        </w:numPr>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改造方案</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新建的水闸依据水闸的功能、特点和运用要求，综合考虑地形、地质、水流、征迁、环境、管理等因素，经技术经济比较后选定。新建节制闸闸址选择在河道顺直、河势相对稳定的河段。</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灌区水闸均采用采用一体化闸门，主要由进口段、闸室段及下游连接段3部分组成，闸室布置智能化控制系统。</w:t>
      </w:r>
    </w:p>
    <w:p>
      <w:pPr>
        <w:pStyle w:val="14"/>
        <w:autoSpaceDE/>
        <w:autoSpaceDN/>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水闸底板高程与所在渠道处渠底高程一致，闸顶高程同所在渠道处渠顶高程一致，闸孔规模根据不同过闸流量同时结合河道宽度综合确定。</w:t>
      </w:r>
    </w:p>
    <w:p>
      <w:pPr>
        <w:pStyle w:val="14"/>
        <w:autoSpaceDE/>
        <w:autoSpaceDN/>
        <w:adjustRightInd w:val="0"/>
        <w:snapToGrid w:val="0"/>
        <w:spacing w:line="360" w:lineRule="auto"/>
        <w:ind w:left="420" w:leftChars="200"/>
        <w:jc w:val="both"/>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2）工程布置</w:t>
      </w:r>
    </w:p>
    <w:p>
      <w:pPr>
        <w:pStyle w:val="14"/>
        <w:autoSpaceDE/>
        <w:autoSpaceDN/>
        <w:adjustRightInd w:val="0"/>
        <w:snapToGrid w:val="0"/>
        <w:spacing w:line="360" w:lineRule="auto"/>
        <w:ind w:firstLine="480" w:firstLineChars="200"/>
        <w:jc w:val="both"/>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项目共新建水闸11座，其中节制闸5座，分水闸6座。</w:t>
      </w:r>
    </w:p>
    <w:p>
      <w:pPr>
        <w:pStyle w:val="129"/>
        <w:wordWrap w:val="0"/>
        <w:spacing w:line="240" w:lineRule="auto"/>
        <w:ind w:firstLine="0" w:firstLineChars="0"/>
        <w:jc w:val="center"/>
        <w:rPr>
          <w:rFonts w:eastAsia="黑体"/>
          <w:color w:val="000000" w:themeColor="text1"/>
          <w:kern w:val="0"/>
          <w:szCs w:val="24"/>
          <w14:textFill>
            <w14:solidFill>
              <w14:schemeClr w14:val="tx1"/>
            </w14:solidFill>
          </w14:textFill>
        </w:rPr>
      </w:pPr>
      <w:r>
        <w:rPr>
          <w:rFonts w:hint="eastAsia" w:eastAsia="黑体"/>
          <w:color w:val="000000" w:themeColor="text1"/>
          <w:kern w:val="0"/>
          <w:szCs w:val="24"/>
          <w14:textFill>
            <w14:solidFill>
              <w14:schemeClr w14:val="tx1"/>
            </w14:solidFill>
          </w14:textFill>
        </w:rPr>
        <w:t>表2.3-2</w:t>
      </w:r>
      <w:r>
        <w:rPr>
          <w:rFonts w:hint="eastAsia" w:eastAsia="黑体"/>
          <w:color w:val="000000" w:themeColor="text1"/>
          <w:kern w:val="0"/>
          <w:szCs w:val="24"/>
          <w:lang w:val="en-US" w:eastAsia="zh-CN"/>
          <w14:textFill>
            <w14:solidFill>
              <w14:schemeClr w14:val="tx1"/>
            </w14:solidFill>
          </w14:textFill>
        </w:rPr>
        <w:t xml:space="preserve"> </w:t>
      </w:r>
      <w:r>
        <w:rPr>
          <w:rFonts w:hint="eastAsia" w:eastAsia="黑体"/>
          <w:color w:val="000000" w:themeColor="text1"/>
          <w:kern w:val="0"/>
          <w:szCs w:val="24"/>
          <w14:textFill>
            <w14:solidFill>
              <w14:schemeClr w14:val="tx1"/>
            </w14:solidFill>
          </w14:textFill>
        </w:rPr>
        <w:t>二标段新建水闸情况表</w:t>
      </w:r>
    </w:p>
    <w:tbl>
      <w:tblPr>
        <w:tblStyle w:val="3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57"/>
        <w:gridCol w:w="1874"/>
        <w:gridCol w:w="1386"/>
        <w:gridCol w:w="957"/>
        <w:gridCol w:w="842"/>
        <w:gridCol w:w="1243"/>
        <w:gridCol w:w="154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水闸名称</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所在河流</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桩号</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建设性质</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结构型式</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设计流量</w:t>
            </w:r>
          </w:p>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sz w:val="24"/>
                <w:szCs w:val="24"/>
                <w14:textFill>
                  <w14:solidFill>
                    <w14:schemeClr w14:val="tx1"/>
                  </w14:solidFill>
                </w14:textFill>
              </w:rPr>
              <w:t>m</w:t>
            </w:r>
            <w:r>
              <w:rPr>
                <w:rFonts w:hint="eastAsia"/>
                <w:b/>
                <w:bCs/>
                <w:color w:val="000000" w:themeColor="text1"/>
                <w:sz w:val="24"/>
                <w:szCs w:val="24"/>
                <w:vertAlign w:val="superscript"/>
                <w14:textFill>
                  <w14:solidFill>
                    <w14:schemeClr w14:val="tx1"/>
                  </w14:solidFill>
                </w14:textFill>
              </w:rPr>
              <w:t>3</w:t>
            </w:r>
            <w:r>
              <w:rPr>
                <w:rFonts w:hint="default" w:eastAsia="Times New Roman"/>
                <w:b/>
                <w:bCs/>
                <w:color w:val="000000" w:themeColor="text1"/>
                <w14:textFill>
                  <w14:solidFill>
                    <w14:schemeClr w14:val="tx1"/>
                  </w14:solidFill>
                </w14:textFill>
              </w:rPr>
              <w:t>/s</w:t>
            </w:r>
            <w:r>
              <w:rPr>
                <w:rFonts w:hint="default" w:ascii="宋体" w:hAnsi="宋体" w:cs="宋体"/>
                <w:b/>
                <w:bCs/>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1#</w:t>
            </w:r>
            <w:r>
              <w:rPr>
                <w:rFonts w:hint="default" w:ascii="宋体" w:hAnsi="宋体" w:cs="宋体"/>
                <w:color w:val="000000" w:themeColor="text1"/>
                <w14:textFill>
                  <w14:solidFill>
                    <w14:schemeClr w14:val="tx1"/>
                  </w14:solidFill>
                </w14:textFill>
              </w:rPr>
              <w:t>节制闸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K2+090</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2#</w:t>
            </w:r>
            <w:r>
              <w:rPr>
                <w:rFonts w:hint="default" w:ascii="宋体" w:hAnsi="宋体" w:cs="宋体"/>
                <w:color w:val="000000" w:themeColor="text1"/>
                <w14:textFill>
                  <w14:solidFill>
                    <w14:schemeClr w14:val="tx1"/>
                  </w14:solidFill>
                </w14:textFill>
              </w:rPr>
              <w:t>节制闸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K2+710</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3#</w:t>
            </w:r>
            <w:r>
              <w:rPr>
                <w:rFonts w:hint="default" w:ascii="宋体" w:hAnsi="宋体" w:cs="宋体"/>
                <w:color w:val="000000" w:themeColor="text1"/>
                <w14:textFill>
                  <w14:solidFill>
                    <w14:schemeClr w14:val="tx1"/>
                  </w14:solidFill>
                </w14:textFill>
              </w:rPr>
              <w:t>节制闸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K2+915</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N3</w:t>
            </w:r>
            <w:r>
              <w:rPr>
                <w:rFonts w:hint="default" w:ascii="宋体" w:hAnsi="宋体" w:cs="宋体"/>
                <w:color w:val="000000" w:themeColor="text1"/>
                <w14:textFill>
                  <w14:solidFill>
                    <w14:schemeClr w14:val="tx1"/>
                  </w14:solidFill>
                </w14:textFill>
              </w:rPr>
              <w:t>节制闸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K0+738</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1#</w:t>
            </w:r>
            <w:r>
              <w:rPr>
                <w:rFonts w:hint="default" w:ascii="宋体" w:hAnsi="宋体" w:cs="宋体"/>
                <w:color w:val="000000" w:themeColor="text1"/>
                <w14:textFill>
                  <w14:solidFill>
                    <w14:schemeClr w14:val="tx1"/>
                  </w14:solidFill>
                </w14:textFill>
              </w:rPr>
              <w:t>节制闸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K1+279</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6</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1#</w:t>
            </w:r>
            <w:r>
              <w:rPr>
                <w:rFonts w:hint="default" w:ascii="宋体" w:hAnsi="宋体" w:cs="宋体"/>
                <w:color w:val="000000" w:themeColor="text1"/>
                <w14:textFill>
                  <w14:solidFill>
                    <w14:schemeClr w14:val="tx1"/>
                  </w14:solidFill>
                </w14:textFill>
              </w:rPr>
              <w:t>分水闸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K2+084</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2#</w:t>
            </w:r>
            <w:r>
              <w:rPr>
                <w:rFonts w:hint="default" w:ascii="宋体" w:hAnsi="宋体" w:cs="宋体"/>
                <w:color w:val="000000" w:themeColor="text1"/>
                <w14:textFill>
                  <w14:solidFill>
                    <w14:schemeClr w14:val="tx1"/>
                  </w14:solidFill>
                </w14:textFill>
              </w:rPr>
              <w:t>分水闸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K2+698</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8</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3#</w:t>
            </w:r>
            <w:r>
              <w:rPr>
                <w:rFonts w:hint="default" w:ascii="宋体" w:hAnsi="宋体" w:cs="宋体"/>
                <w:color w:val="000000" w:themeColor="text1"/>
                <w14:textFill>
                  <w14:solidFill>
                    <w14:schemeClr w14:val="tx1"/>
                  </w14:solidFill>
                </w14:textFill>
              </w:rPr>
              <w:t>分水闸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K2+890</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9</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N3</w:t>
            </w:r>
            <w:r>
              <w:rPr>
                <w:rFonts w:hint="default" w:ascii="宋体" w:hAnsi="宋体" w:cs="宋体"/>
                <w:color w:val="000000" w:themeColor="text1"/>
                <w14:textFill>
                  <w14:solidFill>
                    <w14:schemeClr w14:val="tx1"/>
                  </w14:solidFill>
                </w14:textFill>
              </w:rPr>
              <w:t>分水闸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K0+731</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10</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1#</w:t>
            </w:r>
            <w:r>
              <w:rPr>
                <w:rFonts w:hint="default" w:ascii="宋体" w:hAnsi="宋体" w:cs="宋体"/>
                <w:color w:val="000000" w:themeColor="text1"/>
                <w14:textFill>
                  <w14:solidFill>
                    <w14:schemeClr w14:val="tx1"/>
                  </w14:solidFill>
                </w14:textFill>
              </w:rPr>
              <w:t>分水闸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K1+270</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72" w:hRule="exact"/>
          <w:jc w:val="center"/>
        </w:trPr>
        <w:tc>
          <w:tcPr>
            <w:tcW w:w="275"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eastAsia="Times New Roman"/>
                <w:color w:val="000000" w:themeColor="text1"/>
                <w14:textFill>
                  <w14:solidFill>
                    <w14:schemeClr w14:val="tx1"/>
                  </w14:solidFill>
                </w14:textFill>
              </w:rPr>
            </w:pPr>
            <w:r>
              <w:rPr>
                <w:rFonts w:hint="default"/>
                <w:color w:val="000000" w:themeColor="text1"/>
                <w:spacing w:val="-4"/>
                <w14:textFill>
                  <w14:solidFill>
                    <w14:schemeClr w14:val="tx1"/>
                  </w14:solidFill>
                </w14:textFill>
              </w:rPr>
              <w:t>11</w:t>
            </w:r>
          </w:p>
        </w:tc>
        <w:tc>
          <w:tcPr>
            <w:tcW w:w="11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r>
              <w:rPr>
                <w:rFonts w:hint="default" w:eastAsia="Times New Roman"/>
                <w:color w:val="000000" w:themeColor="text1"/>
                <w14:textFill>
                  <w14:solidFill>
                    <w14:schemeClr w14:val="tx1"/>
                  </w14:solidFill>
                </w14:textFill>
              </w:rPr>
              <w:t>1#</w:t>
            </w:r>
            <w:r>
              <w:rPr>
                <w:rFonts w:hint="default" w:ascii="宋体" w:hAnsi="宋体" w:cs="宋体"/>
                <w:color w:val="000000" w:themeColor="text1"/>
                <w14:textFill>
                  <w14:solidFill>
                    <w14:schemeClr w14:val="tx1"/>
                  </w14:solidFill>
                </w14:textFill>
              </w:rPr>
              <w:t>分水闸</w:t>
            </w:r>
          </w:p>
        </w:tc>
        <w:tc>
          <w:tcPr>
            <w:tcW w:w="834"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p>
        </w:tc>
        <w:tc>
          <w:tcPr>
            <w:tcW w:w="576"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K0+000</w:t>
            </w:r>
          </w:p>
        </w:tc>
        <w:tc>
          <w:tcPr>
            <w:tcW w:w="507"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c>
          <w:tcPr>
            <w:tcW w:w="74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一体化闸</w:t>
            </w:r>
          </w:p>
        </w:tc>
        <w:tc>
          <w:tcPr>
            <w:tcW w:w="928" w:type="pct"/>
            <w:tcBorders>
              <w:tl2br w:val="nil"/>
              <w:tr2bl w:val="nil"/>
            </w:tcBorders>
            <w:vAlign w:val="center"/>
          </w:tcPr>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0.056</w:t>
            </w:r>
          </w:p>
        </w:tc>
      </w:tr>
    </w:tbl>
    <w:p>
      <w:pPr>
        <w:pStyle w:val="14"/>
        <w:autoSpaceDE/>
        <w:autoSpaceDN/>
        <w:adjustRightInd w:val="0"/>
        <w:snapToGrid w:val="0"/>
        <w:spacing w:line="360" w:lineRule="auto"/>
        <w:ind w:firstLine="480" w:firstLineChars="200"/>
        <w:jc w:val="both"/>
        <w:rPr>
          <w:rFonts w:ascii="宋体" w:hAnsi="宋体" w:cs="宋体"/>
          <w:color w:val="000000" w:themeColor="text1"/>
          <w:sz w:val="6"/>
          <w:szCs w:val="6"/>
          <w14:textFill>
            <w14:solidFill>
              <w14:schemeClr w14:val="tx1"/>
            </w14:solidFill>
          </w14:textFill>
        </w:rPr>
      </w:pPr>
      <w:r>
        <w:rPr>
          <w:rFonts w:hint="eastAsia"/>
          <w:color w:val="000000" w:themeColor="text1"/>
          <w14:textFill>
            <w14:solidFill>
              <w14:schemeClr w14:val="tx1"/>
            </w14:solidFill>
          </w14:textFill>
        </w:rPr>
        <w:t>改造闸主要由进口连接段、闸室段和下游连接段3部分组成。智能一体化水闸闸室主要有电机及防护罩、螺杆、闸板、闸门竖梁及闸门横梁组成。以无人值守为设计原则，通过传感技术及自动化控制技术，计算机软硬件技术，网络通信技术等建设闸门自动化控制系统。</w:t>
      </w:r>
    </w:p>
    <w:p>
      <w:pPr>
        <w:spacing w:line="2937" w:lineRule="exact"/>
        <w:jc w:val="both"/>
        <w:rPr>
          <w:rFonts w:ascii="宋体" w:hAnsi="宋体" w:cs="宋体"/>
          <w:color w:val="000000" w:themeColor="text1"/>
          <w:sz w:val="20"/>
          <w:szCs w:val="20"/>
          <w14:textFill>
            <w14:solidFill>
              <w14:schemeClr w14:val="tx1"/>
            </w14:solidFill>
          </w14:textFill>
        </w:rPr>
      </w:pPr>
      <w:r>
        <w:rPr>
          <w:rFonts w:ascii="宋体" w:hAnsi="宋体" w:cs="宋体"/>
          <w:color w:val="000000" w:themeColor="text1"/>
          <w:position w:val="-58"/>
          <w:sz w:val="20"/>
          <w:szCs w:val="20"/>
          <w14:textFill>
            <w14:solidFill>
              <w14:schemeClr w14:val="tx1"/>
            </w14:solidFill>
          </w14:textFill>
        </w:rPr>
        <w:drawing>
          <wp:inline distT="0" distB="0" distL="114300" distR="114300">
            <wp:extent cx="5370195" cy="1678940"/>
            <wp:effectExtent l="0" t="0" r="1905" b="16510"/>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48"/>
                    <a:stretch>
                      <a:fillRect/>
                    </a:stretch>
                  </pic:blipFill>
                  <pic:spPr>
                    <a:xfrm>
                      <a:off x="0" y="0"/>
                      <a:ext cx="5370195" cy="1678940"/>
                    </a:xfrm>
                    <a:prstGeom prst="rect">
                      <a:avLst/>
                    </a:prstGeom>
                    <a:noFill/>
                    <a:ln>
                      <a:noFill/>
                    </a:ln>
                  </pic:spPr>
                </pic:pic>
              </a:graphicData>
            </a:graphic>
          </wp:inline>
        </w:drawing>
      </w:r>
    </w:p>
    <w:p>
      <w:pPr>
        <w:pStyle w:val="14"/>
        <w:ind w:right="11"/>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图2.3-6</w:t>
      </w:r>
      <w:r>
        <w:rPr>
          <w:rFonts w:hint="eastAsia" w:eastAsia="黑体"/>
          <w:color w:val="000000" w:themeColor="text1"/>
          <w:kern w:val="0"/>
          <w:lang w:val="en-US" w:eastAsia="zh-CN"/>
          <w14:textFill>
            <w14:solidFill>
              <w14:schemeClr w14:val="tx1"/>
            </w14:solidFill>
          </w14:textFill>
        </w:rPr>
        <w:t xml:space="preserve"> </w:t>
      </w:r>
      <w:r>
        <w:rPr>
          <w:rFonts w:hint="eastAsia" w:eastAsia="黑体"/>
          <w:color w:val="000000" w:themeColor="text1"/>
          <w:kern w:val="0"/>
          <w14:textFill>
            <w14:solidFill>
              <w14:schemeClr w14:val="tx1"/>
            </w14:solidFill>
          </w14:textFill>
        </w:rPr>
        <w:t>一体化水闸设计纵剖面图</w:t>
      </w:r>
    </w:p>
    <w:p>
      <w:pPr>
        <w:widowControl/>
        <w:autoSpaceDE/>
        <w:autoSpaceDN/>
        <w:spacing w:line="360" w:lineRule="auto"/>
        <w:ind w:firstLine="482" w:firstLineChars="200"/>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2、箱涵工程</w:t>
      </w:r>
    </w:p>
    <w:p>
      <w:pPr>
        <w:widowControl/>
        <w:autoSpaceDE/>
        <w:autoSpaceDN/>
        <w:spacing w:line="360" w:lineRule="auto"/>
        <w:ind w:firstLine="480" w:firstLineChars="200"/>
        <w:rPr>
          <w:color w:val="000000" w:themeColor="text1"/>
          <w:kern w:val="0"/>
          <w:sz w:val="24"/>
          <w:szCs w:val="24"/>
          <w14:textFill>
            <w14:solidFill>
              <w14:schemeClr w14:val="tx1"/>
            </w14:solidFill>
          </w14:textFill>
        </w:rPr>
        <w:sectPr>
          <w:headerReference r:id="rId10" w:type="default"/>
          <w:footerReference r:id="rId11" w:type="default"/>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pPr>
      <w:r>
        <w:rPr>
          <w:rFonts w:hint="eastAsia"/>
          <w:color w:val="000000" w:themeColor="text1"/>
          <w:kern w:val="0"/>
          <w:sz w:val="24"/>
          <w:szCs w:val="24"/>
          <w14:textFill>
            <w14:solidFill>
              <w14:schemeClr w14:val="tx1"/>
            </w14:solidFill>
          </w14:textFill>
        </w:rPr>
        <w:t>项目共拆除箱涵9座，按照设计渠道结构恢复。新建箱涵</w:t>
      </w:r>
      <w:r>
        <w:rPr>
          <w:rFonts w:hint="eastAsia" w:ascii="宋体" w:hAnsi="宋体" w:cs="宋体"/>
          <w:color w:val="000000" w:themeColor="text1"/>
          <w:kern w:val="0"/>
          <w:sz w:val="24"/>
          <w:szCs w:val="24"/>
          <w:lang w:bidi="ar"/>
          <w14:textFill>
            <w14:solidFill>
              <w14:schemeClr w14:val="tx1"/>
            </w14:solidFill>
          </w14:textFill>
        </w:rPr>
        <w:t>采</w:t>
      </w:r>
      <w:r>
        <w:rPr>
          <w:rFonts w:hint="eastAsia"/>
          <w:color w:val="000000" w:themeColor="text1"/>
          <w:kern w:val="0"/>
          <w:sz w:val="24"/>
          <w:szCs w:val="24"/>
          <w14:textFill>
            <w14:solidFill>
              <w14:schemeClr w14:val="tx1"/>
            </w14:solidFill>
          </w14:textFill>
        </w:rPr>
        <w:t>用</w:t>
      </w:r>
      <w:r>
        <w:rPr>
          <w:color w:val="000000" w:themeColor="text1"/>
          <w:kern w:val="0"/>
          <w:sz w:val="24"/>
          <w:szCs w:val="24"/>
          <w14:textFill>
            <w14:solidFill>
              <w14:schemeClr w14:val="tx1"/>
            </w14:solidFill>
          </w14:textFill>
        </w:rPr>
        <w:t>C30</w:t>
      </w:r>
      <w:r>
        <w:rPr>
          <w:rFonts w:hint="eastAsia"/>
          <w:color w:val="000000" w:themeColor="text1"/>
          <w:kern w:val="0"/>
          <w:sz w:val="24"/>
          <w:szCs w:val="24"/>
          <w14:textFill>
            <w14:solidFill>
              <w14:schemeClr w14:val="tx1"/>
            </w14:solidFill>
          </w14:textFill>
        </w:rPr>
        <w:t>钢筋砼，箱涵下设</w:t>
      </w:r>
      <w:r>
        <w:rPr>
          <w:color w:val="000000" w:themeColor="text1"/>
          <w:kern w:val="0"/>
          <w:sz w:val="24"/>
          <w:szCs w:val="24"/>
          <w14:textFill>
            <w14:solidFill>
              <w14:schemeClr w14:val="tx1"/>
            </w14:solidFill>
          </w14:textFill>
        </w:rPr>
        <w:t>C20</w:t>
      </w:r>
      <w:r>
        <w:rPr>
          <w:rFonts w:hint="eastAsia"/>
          <w:color w:val="000000" w:themeColor="text1"/>
          <w:kern w:val="0"/>
          <w:sz w:val="24"/>
          <w:szCs w:val="24"/>
          <w14:textFill>
            <w14:solidFill>
              <w14:schemeClr w14:val="tx1"/>
            </w14:solidFill>
          </w14:textFill>
        </w:rPr>
        <w:t>砼垫层，箱涵上部覆土，坡比</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3</w:t>
      </w:r>
      <w:r>
        <w:rPr>
          <w:rFonts w:hint="eastAsia"/>
          <w:color w:val="000000" w:themeColor="text1"/>
          <w:kern w:val="0"/>
          <w:sz w:val="24"/>
          <w:szCs w:val="24"/>
          <w14:textFill>
            <w14:solidFill>
              <w14:schemeClr w14:val="tx1"/>
            </w14:solidFill>
          </w14:textFill>
        </w:rPr>
        <w:t>，采用草皮护坡。</w:t>
      </w:r>
      <w:r>
        <w:rPr>
          <w:color w:val="000000" w:themeColor="text1"/>
          <w:kern w:val="0"/>
          <w:sz w:val="24"/>
          <w:szCs w:val="24"/>
          <w14:textFill>
            <w14:solidFill>
              <w14:schemeClr w14:val="tx1"/>
            </w14:solidFill>
          </w14:textFill>
        </w:rPr>
        <w:t>C30</w:t>
      </w:r>
      <w:r>
        <w:rPr>
          <w:rFonts w:hint="eastAsia"/>
          <w:color w:val="000000" w:themeColor="text1"/>
          <w:kern w:val="0"/>
          <w:sz w:val="24"/>
          <w:szCs w:val="24"/>
          <w14:textFill>
            <w14:solidFill>
              <w14:schemeClr w14:val="tx1"/>
            </w14:solidFill>
          </w14:textFill>
        </w:rPr>
        <w:t>砼路面厚</w:t>
      </w:r>
      <w:r>
        <w:rPr>
          <w:color w:val="000000" w:themeColor="text1"/>
          <w:kern w:val="0"/>
          <w:sz w:val="24"/>
          <w:szCs w:val="24"/>
          <w14:textFill>
            <w14:solidFill>
              <w14:schemeClr w14:val="tx1"/>
            </w14:solidFill>
          </w14:textFill>
        </w:rPr>
        <w:t>0.3mm</w:t>
      </w:r>
      <w:r>
        <w:rPr>
          <w:rFonts w:hint="eastAsia"/>
          <w:color w:val="000000" w:themeColor="text1"/>
          <w:kern w:val="0"/>
          <w:sz w:val="24"/>
          <w:szCs w:val="24"/>
          <w14:textFill>
            <w14:solidFill>
              <w14:schemeClr w14:val="tx1"/>
            </w14:solidFill>
          </w14:textFill>
        </w:rPr>
        <w:t>，下设</w:t>
      </w:r>
      <w:r>
        <w:rPr>
          <w:color w:val="000000" w:themeColor="text1"/>
          <w:kern w:val="0"/>
          <w:sz w:val="24"/>
          <w:szCs w:val="24"/>
          <w14:textFill>
            <w14:solidFill>
              <w14:schemeClr w14:val="tx1"/>
            </w14:solidFill>
          </w14:textFill>
        </w:rPr>
        <w:t>10%</w:t>
      </w:r>
      <w:r>
        <w:rPr>
          <w:rFonts w:hint="eastAsia"/>
          <w:color w:val="000000" w:themeColor="text1"/>
          <w:kern w:val="0"/>
          <w:sz w:val="24"/>
          <w:szCs w:val="24"/>
          <w14:textFill>
            <w14:solidFill>
              <w14:schemeClr w14:val="tx1"/>
            </w14:solidFill>
          </w14:textFill>
        </w:rPr>
        <w:t>水泥土垫层厚</w:t>
      </w:r>
      <w:r>
        <w:rPr>
          <w:color w:val="000000" w:themeColor="text1"/>
          <w:kern w:val="0"/>
          <w:sz w:val="24"/>
          <w:szCs w:val="24"/>
          <w14:textFill>
            <w14:solidFill>
              <w14:schemeClr w14:val="tx1"/>
            </w14:solidFill>
          </w14:textFill>
        </w:rPr>
        <w:t>0.2mm</w:t>
      </w:r>
      <w:r>
        <w:rPr>
          <w:rFonts w:hint="eastAsia"/>
          <w:color w:val="000000" w:themeColor="text1"/>
          <w:kern w:val="0"/>
          <w:sz w:val="24"/>
          <w:szCs w:val="24"/>
          <w14:textFill>
            <w14:solidFill>
              <w14:schemeClr w14:val="tx1"/>
            </w14:solidFill>
          </w14:textFill>
        </w:rPr>
        <w:t>。箱涵两侧设置</w:t>
      </w:r>
      <w:r>
        <w:rPr>
          <w:color w:val="000000" w:themeColor="text1"/>
          <w:kern w:val="0"/>
          <w:sz w:val="24"/>
          <w:szCs w:val="24"/>
          <w14:textFill>
            <w14:solidFill>
              <w14:schemeClr w14:val="tx1"/>
            </w14:solidFill>
          </w14:textFill>
        </w:rPr>
        <w:t>C25</w:t>
      </w:r>
      <w:r>
        <w:rPr>
          <w:rFonts w:hint="eastAsia"/>
          <w:color w:val="000000" w:themeColor="text1"/>
          <w:kern w:val="0"/>
          <w:sz w:val="24"/>
          <w:szCs w:val="24"/>
          <w14:textFill>
            <w14:solidFill>
              <w14:schemeClr w14:val="tx1"/>
            </w14:solidFill>
          </w14:textFill>
        </w:rPr>
        <w:t>砼刺墙。工程主要设计参数如下：</w:t>
      </w:r>
    </w:p>
    <w:p>
      <w:pPr>
        <w:pStyle w:val="129"/>
        <w:wordWrap w:val="0"/>
        <w:spacing w:line="240" w:lineRule="auto"/>
        <w:ind w:firstLine="0" w:firstLineChars="0"/>
        <w:jc w:val="center"/>
        <w:rPr>
          <w:rFonts w:eastAsia="黑体"/>
          <w:color w:val="000000" w:themeColor="text1"/>
          <w:kern w:val="0"/>
          <w:szCs w:val="24"/>
          <w14:textFill>
            <w14:solidFill>
              <w14:schemeClr w14:val="tx1"/>
            </w14:solidFill>
          </w14:textFill>
        </w:rPr>
      </w:pPr>
      <w:r>
        <w:rPr>
          <w:rFonts w:hint="eastAsia" w:eastAsia="黑体"/>
          <w:color w:val="000000" w:themeColor="text1"/>
          <w:kern w:val="0"/>
          <w:szCs w:val="24"/>
          <w14:textFill>
            <w14:solidFill>
              <w14:schemeClr w14:val="tx1"/>
            </w14:solidFill>
          </w14:textFill>
        </w:rPr>
        <w:t>表2.3-3二标段箱涵整治情况汇总表</w:t>
      </w:r>
    </w:p>
    <w:tbl>
      <w:tblPr>
        <w:tblStyle w:val="38"/>
        <w:tblW w:w="1411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04"/>
        <w:gridCol w:w="1750"/>
        <w:gridCol w:w="1132"/>
        <w:gridCol w:w="2264"/>
        <w:gridCol w:w="1268"/>
        <w:gridCol w:w="1773"/>
        <w:gridCol w:w="1677"/>
        <w:gridCol w:w="1838"/>
        <w:gridCol w:w="151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30" w:hRule="atLeast"/>
          <w:jc w:val="center"/>
        </w:trPr>
        <w:tc>
          <w:tcPr>
            <w:tcW w:w="90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序号</w:t>
            </w:r>
          </w:p>
        </w:tc>
        <w:tc>
          <w:tcPr>
            <w:tcW w:w="175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所在渠</w:t>
            </w:r>
          </w:p>
        </w:tc>
        <w:tc>
          <w:tcPr>
            <w:tcW w:w="1132"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桩号</w:t>
            </w:r>
          </w:p>
        </w:tc>
        <w:tc>
          <w:tcPr>
            <w:tcW w:w="226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名称</w:t>
            </w:r>
          </w:p>
        </w:tc>
        <w:tc>
          <w:tcPr>
            <w:tcW w:w="126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类型</w:t>
            </w:r>
          </w:p>
        </w:tc>
        <w:tc>
          <w:tcPr>
            <w:tcW w:w="1773"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82"/>
              <w:rPr>
                <w:rFonts w:hint="default" w:eastAsia="Times New Roman"/>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尺寸</w:t>
            </w:r>
            <w:r>
              <w:rPr>
                <w:rFonts w:hint="default" w:eastAsia="Times New Roman"/>
                <w:b/>
                <w:bCs/>
                <w:color w:val="000000" w:themeColor="text1"/>
                <w14:textFill>
                  <w14:solidFill>
                    <w14:schemeClr w14:val="tx1"/>
                  </w14:solidFill>
                </w14:textFill>
              </w:rPr>
              <w:t>(b×h)(m)</w:t>
            </w:r>
          </w:p>
        </w:tc>
        <w:tc>
          <w:tcPr>
            <w:tcW w:w="1677"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b/>
                <w:bCs/>
                <w:color w:val="000000" w:themeColor="text1"/>
                <w14:textFill>
                  <w14:solidFill>
                    <w14:schemeClr w14:val="tx1"/>
                  </w14:solidFill>
                </w14:textFill>
              </w:rPr>
            </w:pPr>
            <w:r>
              <w:rPr>
                <w:rFonts w:hint="default"/>
                <w:b/>
                <w:bCs/>
                <w:color w:val="000000" w:themeColor="text1"/>
                <w14:textFill>
                  <w14:solidFill>
                    <w14:schemeClr w14:val="tx1"/>
                  </w14:solidFill>
                </w14:textFill>
              </w:rPr>
              <w:t>过流能力(m</w:t>
            </w:r>
            <w:r>
              <w:rPr>
                <w:rFonts w:hint="default"/>
                <w:b/>
                <w:bCs/>
                <w:color w:val="000000" w:themeColor="text1"/>
                <w:position w:val="7"/>
                <w:sz w:val="14"/>
                <w14:textFill>
                  <w14:solidFill>
                    <w14:schemeClr w14:val="tx1"/>
                  </w14:solidFill>
                </w14:textFill>
              </w:rPr>
              <w:t>3</w:t>
            </w:r>
            <w:r>
              <w:rPr>
                <w:rFonts w:hint="default"/>
                <w:b/>
                <w:bCs/>
                <w:color w:val="000000" w:themeColor="text1"/>
                <w14:textFill>
                  <w14:solidFill>
                    <w14:schemeClr w14:val="tx1"/>
                  </w14:solidFill>
                </w14:textFill>
              </w:rPr>
              <w:t>/s)</w:t>
            </w:r>
          </w:p>
        </w:tc>
        <w:tc>
          <w:tcPr>
            <w:tcW w:w="183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b/>
                <w:bCs/>
                <w:color w:val="000000" w:themeColor="text1"/>
                <w14:textFill>
                  <w14:solidFill>
                    <w14:schemeClr w14:val="tx1"/>
                  </w14:solidFill>
                </w14:textFill>
              </w:rPr>
            </w:pPr>
            <w:r>
              <w:rPr>
                <w:rFonts w:hint="default"/>
                <w:b/>
                <w:bCs/>
                <w:color w:val="000000" w:themeColor="text1"/>
                <w14:textFill>
                  <w14:solidFill>
                    <w14:schemeClr w14:val="tx1"/>
                  </w14:solidFill>
                </w14:textFill>
              </w:rPr>
              <w:t>设计流量(m</w:t>
            </w:r>
            <w:r>
              <w:rPr>
                <w:rFonts w:hint="default"/>
                <w:b/>
                <w:bCs/>
                <w:color w:val="000000" w:themeColor="text1"/>
                <w:position w:val="7"/>
                <w:sz w:val="14"/>
                <w14:textFill>
                  <w14:solidFill>
                    <w14:schemeClr w14:val="tx1"/>
                  </w14:solidFill>
                </w14:textFill>
              </w:rPr>
              <w:t>3</w:t>
            </w:r>
            <w:r>
              <w:rPr>
                <w:rFonts w:hint="default"/>
                <w:b/>
                <w:bCs/>
                <w:color w:val="000000" w:themeColor="text1"/>
                <w14:textFill>
                  <w14:solidFill>
                    <w14:schemeClr w14:val="tx1"/>
                  </w14:solidFill>
                </w14:textFill>
              </w:rPr>
              <w:t>/s)</w:t>
            </w:r>
          </w:p>
        </w:tc>
        <w:tc>
          <w:tcPr>
            <w:tcW w:w="151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是否重建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9" w:hRule="exact"/>
          <w:jc w:val="center"/>
        </w:trPr>
        <w:tc>
          <w:tcPr>
            <w:tcW w:w="90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75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1132"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1+142</w:t>
            </w:r>
          </w:p>
        </w:tc>
        <w:tc>
          <w:tcPr>
            <w:tcW w:w="226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5#</w:t>
            </w:r>
            <w:r>
              <w:rPr>
                <w:rFonts w:hint="default"/>
                <w:color w:val="000000" w:themeColor="text1"/>
                <w14:textFill>
                  <w14:solidFill>
                    <w14:schemeClr w14:val="tx1"/>
                  </w14:solidFill>
                </w14:textFill>
              </w:rPr>
              <w:t>涵</w:t>
            </w:r>
          </w:p>
        </w:tc>
        <w:tc>
          <w:tcPr>
            <w:tcW w:w="126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1773"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φ1.36</w:t>
            </w:r>
          </w:p>
        </w:tc>
        <w:tc>
          <w:tcPr>
            <w:tcW w:w="1677"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1.8</w:t>
            </w:r>
          </w:p>
        </w:tc>
        <w:tc>
          <w:tcPr>
            <w:tcW w:w="183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0.41</w:t>
            </w:r>
          </w:p>
        </w:tc>
        <w:tc>
          <w:tcPr>
            <w:tcW w:w="151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9" w:hRule="exact"/>
          <w:jc w:val="center"/>
        </w:trPr>
        <w:tc>
          <w:tcPr>
            <w:tcW w:w="90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75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p>
        </w:tc>
        <w:tc>
          <w:tcPr>
            <w:tcW w:w="1132"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2+908</w:t>
            </w:r>
          </w:p>
        </w:tc>
        <w:tc>
          <w:tcPr>
            <w:tcW w:w="226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w:t>
            </w:r>
            <w:r>
              <w:rPr>
                <w:rFonts w:hint="default" w:eastAsia="Times New Roman"/>
                <w:color w:val="000000" w:themeColor="text1"/>
                <w14:textFill>
                  <w14:solidFill>
                    <w14:schemeClr w14:val="tx1"/>
                  </w14:solidFill>
                </w14:textFill>
              </w:rPr>
              <w:t>16#</w:t>
            </w:r>
            <w:r>
              <w:rPr>
                <w:rFonts w:hint="default"/>
                <w:color w:val="000000" w:themeColor="text1"/>
                <w14:textFill>
                  <w14:solidFill>
                    <w14:schemeClr w14:val="tx1"/>
                  </w14:solidFill>
                </w14:textFill>
              </w:rPr>
              <w:t>涵</w:t>
            </w:r>
          </w:p>
        </w:tc>
        <w:tc>
          <w:tcPr>
            <w:tcW w:w="126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1773"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φ0.7</w:t>
            </w:r>
          </w:p>
        </w:tc>
        <w:tc>
          <w:tcPr>
            <w:tcW w:w="1677"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0.9</w:t>
            </w:r>
          </w:p>
        </w:tc>
        <w:tc>
          <w:tcPr>
            <w:tcW w:w="183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0.41</w:t>
            </w:r>
          </w:p>
        </w:tc>
        <w:tc>
          <w:tcPr>
            <w:tcW w:w="151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9" w:hRule="exact"/>
          <w:jc w:val="center"/>
        </w:trPr>
        <w:tc>
          <w:tcPr>
            <w:tcW w:w="90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75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1132"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0+521</w:t>
            </w:r>
          </w:p>
        </w:tc>
        <w:tc>
          <w:tcPr>
            <w:tcW w:w="226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5#</w:t>
            </w:r>
            <w:r>
              <w:rPr>
                <w:rFonts w:hint="default"/>
                <w:color w:val="000000" w:themeColor="text1"/>
                <w14:textFill>
                  <w14:solidFill>
                    <w14:schemeClr w14:val="tx1"/>
                  </w14:solidFill>
                </w14:textFill>
              </w:rPr>
              <w:t>涵</w:t>
            </w:r>
          </w:p>
        </w:tc>
        <w:tc>
          <w:tcPr>
            <w:tcW w:w="126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1773"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φ1.0</w:t>
            </w:r>
          </w:p>
        </w:tc>
        <w:tc>
          <w:tcPr>
            <w:tcW w:w="1677"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83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0.26</w:t>
            </w:r>
          </w:p>
        </w:tc>
        <w:tc>
          <w:tcPr>
            <w:tcW w:w="151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9" w:hRule="exact"/>
          <w:jc w:val="center"/>
        </w:trPr>
        <w:tc>
          <w:tcPr>
            <w:tcW w:w="90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175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1132"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0+541</w:t>
            </w:r>
          </w:p>
        </w:tc>
        <w:tc>
          <w:tcPr>
            <w:tcW w:w="226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6#</w:t>
            </w:r>
            <w:r>
              <w:rPr>
                <w:rFonts w:hint="default"/>
                <w:color w:val="000000" w:themeColor="text1"/>
                <w14:textFill>
                  <w14:solidFill>
                    <w14:schemeClr w14:val="tx1"/>
                  </w14:solidFill>
                </w14:textFill>
              </w:rPr>
              <w:t>涵</w:t>
            </w:r>
          </w:p>
        </w:tc>
        <w:tc>
          <w:tcPr>
            <w:tcW w:w="126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1773"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φ1.0</w:t>
            </w:r>
          </w:p>
        </w:tc>
        <w:tc>
          <w:tcPr>
            <w:tcW w:w="1677"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83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0.26</w:t>
            </w:r>
          </w:p>
        </w:tc>
        <w:tc>
          <w:tcPr>
            <w:tcW w:w="151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9" w:hRule="exact"/>
          <w:jc w:val="center"/>
        </w:trPr>
        <w:tc>
          <w:tcPr>
            <w:tcW w:w="90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175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1132"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0+556</w:t>
            </w:r>
          </w:p>
        </w:tc>
        <w:tc>
          <w:tcPr>
            <w:tcW w:w="226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7#</w:t>
            </w:r>
            <w:r>
              <w:rPr>
                <w:rFonts w:hint="default"/>
                <w:color w:val="000000" w:themeColor="text1"/>
                <w14:textFill>
                  <w14:solidFill>
                    <w14:schemeClr w14:val="tx1"/>
                  </w14:solidFill>
                </w14:textFill>
              </w:rPr>
              <w:t>涵</w:t>
            </w:r>
          </w:p>
        </w:tc>
        <w:tc>
          <w:tcPr>
            <w:tcW w:w="126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1773"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φ1.0</w:t>
            </w:r>
          </w:p>
        </w:tc>
        <w:tc>
          <w:tcPr>
            <w:tcW w:w="1677"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83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0.26</w:t>
            </w:r>
          </w:p>
        </w:tc>
        <w:tc>
          <w:tcPr>
            <w:tcW w:w="151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exact"/>
          <w:jc w:val="center"/>
        </w:trPr>
        <w:tc>
          <w:tcPr>
            <w:tcW w:w="90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6</w:t>
            </w:r>
          </w:p>
        </w:tc>
        <w:tc>
          <w:tcPr>
            <w:tcW w:w="175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p>
        </w:tc>
        <w:tc>
          <w:tcPr>
            <w:tcW w:w="1132"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0+571</w:t>
            </w:r>
          </w:p>
        </w:tc>
        <w:tc>
          <w:tcPr>
            <w:tcW w:w="2264"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南六支渠</w:t>
            </w:r>
            <w:r>
              <w:rPr>
                <w:rFonts w:hint="default" w:eastAsia="Times New Roman"/>
                <w:color w:val="000000" w:themeColor="text1"/>
                <w14:textFill>
                  <w14:solidFill>
                    <w14:schemeClr w14:val="tx1"/>
                  </w14:solidFill>
                </w14:textFill>
              </w:rPr>
              <w:t>8#</w:t>
            </w:r>
            <w:r>
              <w:rPr>
                <w:rFonts w:hint="default"/>
                <w:color w:val="000000" w:themeColor="text1"/>
                <w14:textFill>
                  <w14:solidFill>
                    <w14:schemeClr w14:val="tx1"/>
                  </w14:solidFill>
                </w14:textFill>
              </w:rPr>
              <w:t>涵</w:t>
            </w:r>
          </w:p>
        </w:tc>
        <w:tc>
          <w:tcPr>
            <w:tcW w:w="126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涵管</w:t>
            </w:r>
          </w:p>
        </w:tc>
        <w:tc>
          <w:tcPr>
            <w:tcW w:w="1773"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φ1.0</w:t>
            </w:r>
          </w:p>
        </w:tc>
        <w:tc>
          <w:tcPr>
            <w:tcW w:w="1677"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838"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0.26</w:t>
            </w:r>
          </w:p>
        </w:tc>
        <w:tc>
          <w:tcPr>
            <w:tcW w:w="1510" w:type="dxa"/>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exact"/>
          <w:jc w:val="center"/>
        </w:trPr>
        <w:tc>
          <w:tcPr>
            <w:tcW w:w="90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w:t>
            </w:r>
          </w:p>
        </w:tc>
        <w:tc>
          <w:tcPr>
            <w:tcW w:w="175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1132"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0+268</w:t>
            </w:r>
          </w:p>
        </w:tc>
        <w:tc>
          <w:tcPr>
            <w:tcW w:w="226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北支一渠（上）1#涵</w:t>
            </w:r>
          </w:p>
        </w:tc>
        <w:tc>
          <w:tcPr>
            <w:tcW w:w="126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桥涵</w:t>
            </w:r>
          </w:p>
        </w:tc>
        <w:tc>
          <w:tcPr>
            <w:tcW w:w="1773"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4×2.4</w:t>
            </w:r>
          </w:p>
        </w:tc>
        <w:tc>
          <w:tcPr>
            <w:tcW w:w="1677"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8.8</w:t>
            </w:r>
          </w:p>
        </w:tc>
        <w:tc>
          <w:tcPr>
            <w:tcW w:w="183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5.5</w:t>
            </w:r>
          </w:p>
        </w:tc>
        <w:tc>
          <w:tcPr>
            <w:tcW w:w="151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exact"/>
          <w:jc w:val="center"/>
        </w:trPr>
        <w:tc>
          <w:tcPr>
            <w:tcW w:w="90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w:t>
            </w:r>
          </w:p>
        </w:tc>
        <w:tc>
          <w:tcPr>
            <w:tcW w:w="175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1132"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0+445</w:t>
            </w:r>
          </w:p>
        </w:tc>
        <w:tc>
          <w:tcPr>
            <w:tcW w:w="226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北支一渠（上）2#涵</w:t>
            </w:r>
          </w:p>
        </w:tc>
        <w:tc>
          <w:tcPr>
            <w:tcW w:w="126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桥涵</w:t>
            </w:r>
          </w:p>
        </w:tc>
        <w:tc>
          <w:tcPr>
            <w:tcW w:w="1773"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6.87×1.708</w:t>
            </w:r>
          </w:p>
        </w:tc>
        <w:tc>
          <w:tcPr>
            <w:tcW w:w="1677"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16</w:t>
            </w:r>
          </w:p>
        </w:tc>
        <w:tc>
          <w:tcPr>
            <w:tcW w:w="183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5.5</w:t>
            </w:r>
          </w:p>
        </w:tc>
        <w:tc>
          <w:tcPr>
            <w:tcW w:w="151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exact"/>
          <w:jc w:val="center"/>
        </w:trPr>
        <w:tc>
          <w:tcPr>
            <w:tcW w:w="90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w:t>
            </w:r>
          </w:p>
        </w:tc>
        <w:tc>
          <w:tcPr>
            <w:tcW w:w="175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1132"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0+719</w:t>
            </w:r>
          </w:p>
        </w:tc>
        <w:tc>
          <w:tcPr>
            <w:tcW w:w="226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北支一渠（上）3#涵</w:t>
            </w:r>
          </w:p>
        </w:tc>
        <w:tc>
          <w:tcPr>
            <w:tcW w:w="126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桥涵</w:t>
            </w:r>
          </w:p>
        </w:tc>
        <w:tc>
          <w:tcPr>
            <w:tcW w:w="1773"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6×2.02</w:t>
            </w:r>
          </w:p>
        </w:tc>
        <w:tc>
          <w:tcPr>
            <w:tcW w:w="1677"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16</w:t>
            </w:r>
          </w:p>
        </w:tc>
        <w:tc>
          <w:tcPr>
            <w:tcW w:w="183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5.5</w:t>
            </w:r>
          </w:p>
        </w:tc>
        <w:tc>
          <w:tcPr>
            <w:tcW w:w="151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exact"/>
          <w:jc w:val="center"/>
        </w:trPr>
        <w:tc>
          <w:tcPr>
            <w:tcW w:w="90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w:t>
            </w:r>
          </w:p>
        </w:tc>
        <w:tc>
          <w:tcPr>
            <w:tcW w:w="175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1132"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0+790</w:t>
            </w:r>
          </w:p>
        </w:tc>
        <w:tc>
          <w:tcPr>
            <w:tcW w:w="226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北支一渠（上）4#涵</w:t>
            </w:r>
          </w:p>
        </w:tc>
        <w:tc>
          <w:tcPr>
            <w:tcW w:w="126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桥涵</w:t>
            </w:r>
          </w:p>
        </w:tc>
        <w:tc>
          <w:tcPr>
            <w:tcW w:w="1773"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6.905×1.718</w:t>
            </w:r>
          </w:p>
        </w:tc>
        <w:tc>
          <w:tcPr>
            <w:tcW w:w="1677"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16</w:t>
            </w:r>
          </w:p>
        </w:tc>
        <w:tc>
          <w:tcPr>
            <w:tcW w:w="183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5.5</w:t>
            </w:r>
          </w:p>
        </w:tc>
        <w:tc>
          <w:tcPr>
            <w:tcW w:w="151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拆除重建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exact"/>
          <w:jc w:val="center"/>
        </w:trPr>
        <w:tc>
          <w:tcPr>
            <w:tcW w:w="90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w:t>
            </w:r>
          </w:p>
        </w:tc>
        <w:tc>
          <w:tcPr>
            <w:tcW w:w="175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1132"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1+719</w:t>
            </w:r>
          </w:p>
        </w:tc>
        <w:tc>
          <w:tcPr>
            <w:tcW w:w="226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北支一渠（上）5#涵</w:t>
            </w:r>
          </w:p>
        </w:tc>
        <w:tc>
          <w:tcPr>
            <w:tcW w:w="126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桥涵</w:t>
            </w:r>
          </w:p>
        </w:tc>
        <w:tc>
          <w:tcPr>
            <w:tcW w:w="1773"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6.5×1.63</w:t>
            </w:r>
          </w:p>
        </w:tc>
        <w:tc>
          <w:tcPr>
            <w:tcW w:w="1677"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16</w:t>
            </w:r>
          </w:p>
        </w:tc>
        <w:tc>
          <w:tcPr>
            <w:tcW w:w="183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5.5</w:t>
            </w:r>
          </w:p>
        </w:tc>
        <w:tc>
          <w:tcPr>
            <w:tcW w:w="151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7" w:hRule="exact"/>
          <w:jc w:val="center"/>
        </w:trPr>
        <w:tc>
          <w:tcPr>
            <w:tcW w:w="90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12</w:t>
            </w:r>
          </w:p>
        </w:tc>
        <w:tc>
          <w:tcPr>
            <w:tcW w:w="175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w:t>
            </w:r>
          </w:p>
        </w:tc>
        <w:tc>
          <w:tcPr>
            <w:tcW w:w="1132"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1+889</w:t>
            </w:r>
          </w:p>
        </w:tc>
        <w:tc>
          <w:tcPr>
            <w:tcW w:w="2264"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北支一渠（上）6#涵</w:t>
            </w:r>
          </w:p>
        </w:tc>
        <w:tc>
          <w:tcPr>
            <w:tcW w:w="126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桥涵</w:t>
            </w:r>
          </w:p>
        </w:tc>
        <w:tc>
          <w:tcPr>
            <w:tcW w:w="1773"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6.17×1.94</w:t>
            </w:r>
          </w:p>
        </w:tc>
        <w:tc>
          <w:tcPr>
            <w:tcW w:w="1677"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16</w:t>
            </w:r>
          </w:p>
        </w:tc>
        <w:tc>
          <w:tcPr>
            <w:tcW w:w="1838"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5.5</w:t>
            </w:r>
          </w:p>
        </w:tc>
        <w:tc>
          <w:tcPr>
            <w:tcW w:w="1510" w:type="dxa"/>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拆除重建</w:t>
            </w:r>
          </w:p>
        </w:tc>
      </w:tr>
    </w:tbl>
    <w:p>
      <w:pPr>
        <w:autoSpaceDE/>
        <w:autoSpaceDN/>
        <w:spacing w:line="360" w:lineRule="auto"/>
        <w:ind w:firstLine="480" w:firstLineChars="200"/>
        <w:jc w:val="both"/>
        <w:rPr>
          <w:color w:val="000000" w:themeColor="text1"/>
          <w:kern w:val="0"/>
          <w:sz w:val="24"/>
          <w:szCs w:val="24"/>
          <w14:textFill>
            <w14:solidFill>
              <w14:schemeClr w14:val="tx1"/>
            </w14:solidFill>
          </w14:textFill>
        </w:rPr>
      </w:pPr>
    </w:p>
    <w:p>
      <w:pPr>
        <w:widowControl/>
        <w:autoSpaceDE/>
        <w:autoSpaceDN/>
        <w:spacing w:line="360" w:lineRule="auto"/>
        <w:ind w:firstLine="480" w:firstLineChars="200"/>
        <w:rPr>
          <w:color w:val="000000" w:themeColor="text1"/>
          <w:kern w:val="0"/>
          <w:sz w:val="24"/>
          <w:szCs w:val="24"/>
          <w14:textFill>
            <w14:solidFill>
              <w14:schemeClr w14:val="tx1"/>
            </w14:solidFill>
          </w14:textFill>
        </w:rPr>
      </w:pPr>
    </w:p>
    <w:p>
      <w:pPr>
        <w:widowControl/>
        <w:autoSpaceDE/>
        <w:autoSpaceDN/>
        <w:spacing w:line="360" w:lineRule="auto"/>
        <w:ind w:firstLine="480" w:firstLineChars="200"/>
        <w:rPr>
          <w:color w:val="000000" w:themeColor="text1"/>
          <w:kern w:val="0"/>
          <w:sz w:val="24"/>
          <w:szCs w:val="24"/>
          <w14:textFill>
            <w14:solidFill>
              <w14:schemeClr w14:val="tx1"/>
            </w14:solidFill>
          </w14:textFill>
        </w:rPr>
      </w:pPr>
    </w:p>
    <w:p>
      <w:pPr>
        <w:widowControl/>
        <w:autoSpaceDE/>
        <w:autoSpaceDN/>
        <w:spacing w:line="360" w:lineRule="auto"/>
        <w:ind w:firstLine="480" w:firstLineChars="200"/>
        <w:rPr>
          <w:color w:val="000000" w:themeColor="text1"/>
          <w:kern w:val="0"/>
          <w:sz w:val="24"/>
          <w:szCs w:val="24"/>
          <w14:textFill>
            <w14:solidFill>
              <w14:schemeClr w14:val="tx1"/>
            </w14:solidFill>
          </w14:textFill>
        </w:rPr>
        <w:sectPr>
          <w:pgSz w:w="16840" w:h="11910" w:orient="landscape"/>
          <w:pgMar w:top="1440" w:right="1340" w:bottom="1180" w:left="1280" w:header="882" w:footer="1097" w:gutter="0"/>
          <w:pgBorders>
            <w:top w:val="none" w:sz="0" w:space="0"/>
            <w:left w:val="none" w:sz="0" w:space="0"/>
            <w:bottom w:val="none" w:sz="0" w:space="0"/>
            <w:right w:val="none" w:sz="0" w:space="0"/>
          </w:pgBorders>
          <w:pgNumType w:fmt="decimal"/>
          <w:cols w:space="720" w:num="1"/>
        </w:sectPr>
      </w:pPr>
    </w:p>
    <w:p>
      <w:pPr>
        <w:autoSpaceDE/>
        <w:autoSpaceDN/>
        <w:spacing w:line="360" w:lineRule="auto"/>
        <w:jc w:val="center"/>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drawing>
          <wp:inline distT="0" distB="0" distL="114300" distR="114300">
            <wp:extent cx="5300345" cy="3688080"/>
            <wp:effectExtent l="0" t="0" r="14605" b="7620"/>
            <wp:docPr id="29" name="图片 29" descr="171531406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15314065025"/>
                    <pic:cNvPicPr>
                      <a:picLocks noChangeAspect="1"/>
                    </pic:cNvPicPr>
                  </pic:nvPicPr>
                  <pic:blipFill>
                    <a:blip r:embed="rId49"/>
                    <a:stretch>
                      <a:fillRect/>
                    </a:stretch>
                  </pic:blipFill>
                  <pic:spPr>
                    <a:xfrm>
                      <a:off x="0" y="0"/>
                      <a:ext cx="5300345" cy="3688080"/>
                    </a:xfrm>
                    <a:prstGeom prst="rect">
                      <a:avLst/>
                    </a:prstGeom>
                  </pic:spPr>
                </pic:pic>
              </a:graphicData>
            </a:graphic>
          </wp:inline>
        </w:drawing>
      </w:r>
    </w:p>
    <w:p>
      <w:pPr>
        <w:pStyle w:val="14"/>
        <w:ind w:right="11"/>
        <w:jc w:val="center"/>
        <w:rPr>
          <w:rFonts w:eastAsia="黑体"/>
          <w:color w:val="000000" w:themeColor="text1"/>
          <w:kern w:val="0"/>
          <w14:textFill>
            <w14:solidFill>
              <w14:schemeClr w14:val="tx1"/>
            </w14:solidFill>
          </w14:textFill>
        </w:rPr>
      </w:pPr>
      <w:r>
        <w:rPr>
          <w:rFonts w:hint="eastAsia" w:eastAsia="黑体"/>
          <w:color w:val="000000" w:themeColor="text1"/>
          <w:kern w:val="0"/>
          <w14:textFill>
            <w14:solidFill>
              <w14:schemeClr w14:val="tx1"/>
            </w14:solidFill>
          </w14:textFill>
        </w:rPr>
        <w:t>图2.3-7箱涵典型设计图</w:t>
      </w:r>
    </w:p>
    <w:p>
      <w:p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3、排水口设计</w:t>
      </w:r>
    </w:p>
    <w:p>
      <w:pPr>
        <w:wordWrap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项目治理渠道两岸由于重建（新建）护坡或挡墙影响现状排水口，排水口需拆除重建；排水口管涵直径为</w:t>
      </w:r>
      <w:r>
        <w:rPr>
          <w:color w:val="000000" w:themeColor="text1"/>
          <w:sz w:val="24"/>
          <w14:textFill>
            <w14:solidFill>
              <w14:schemeClr w14:val="tx1"/>
            </w14:solidFill>
          </w14:textFill>
        </w:rPr>
        <w:t>0.5m</w:t>
      </w:r>
      <w:r>
        <w:rPr>
          <w:rFonts w:hint="eastAsia"/>
          <w:color w:val="000000" w:themeColor="text1"/>
          <w:sz w:val="24"/>
          <w14:textFill>
            <w14:solidFill>
              <w14:schemeClr w14:val="tx1"/>
            </w14:solidFill>
          </w14:textFill>
        </w:rPr>
        <w:t>，管涵采用预制</w:t>
      </w:r>
      <w:r>
        <w:rPr>
          <w:color w:val="000000" w:themeColor="text1"/>
          <w:sz w:val="24"/>
          <w14:textFill>
            <w14:solidFill>
              <w14:schemeClr w14:val="tx1"/>
            </w14:solidFill>
          </w14:textFill>
        </w:rPr>
        <w:t>C30</w:t>
      </w:r>
      <w:r>
        <w:rPr>
          <w:rFonts w:hint="eastAsia"/>
          <w:color w:val="000000" w:themeColor="text1"/>
          <w:sz w:val="24"/>
          <w14:textFill>
            <w14:solidFill>
              <w14:schemeClr w14:val="tx1"/>
            </w14:solidFill>
          </w14:textFill>
        </w:rPr>
        <w:t>钢筋混凝土Ⅱ级承插管，出口设置闸门。</w:t>
      </w:r>
    </w:p>
    <w:p>
      <w:pPr>
        <w:pStyle w:val="129"/>
        <w:wordWrap w:val="0"/>
        <w:spacing w:line="240" w:lineRule="auto"/>
        <w:ind w:firstLine="0" w:firstLineChars="0"/>
        <w:jc w:val="center"/>
        <w:rPr>
          <w:rFonts w:eastAsia="黑体"/>
          <w:color w:val="000000" w:themeColor="text1"/>
          <w:kern w:val="0"/>
          <w:szCs w:val="24"/>
          <w14:textFill>
            <w14:solidFill>
              <w14:schemeClr w14:val="tx1"/>
            </w14:solidFill>
          </w14:textFill>
        </w:rPr>
      </w:pPr>
      <w:r>
        <w:rPr>
          <w:rFonts w:hint="eastAsia" w:eastAsia="黑体"/>
          <w:color w:val="000000" w:themeColor="text1"/>
          <w:kern w:val="0"/>
          <w:szCs w:val="24"/>
          <w14:textFill>
            <w14:solidFill>
              <w14:schemeClr w14:val="tx1"/>
            </w14:solidFill>
          </w14:textFill>
        </w:rPr>
        <w:t>表2.3-4排水口规划情况表</w:t>
      </w:r>
    </w:p>
    <w:tbl>
      <w:tblPr>
        <w:tblStyle w:val="3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44"/>
        <w:gridCol w:w="2300"/>
        <w:gridCol w:w="1369"/>
        <w:gridCol w:w="830"/>
        <w:gridCol w:w="676"/>
        <w:gridCol w:w="1177"/>
        <w:gridCol w:w="1073"/>
        <w:gridCol w:w="76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3" w:hRule="exact"/>
          <w:jc w:val="center"/>
        </w:trPr>
        <w:tc>
          <w:tcPr>
            <w:tcW w:w="744"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2300"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所在渠</w:t>
            </w:r>
          </w:p>
        </w:tc>
        <w:tc>
          <w:tcPr>
            <w:tcW w:w="1369"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排水口名称</w:t>
            </w:r>
          </w:p>
        </w:tc>
        <w:tc>
          <w:tcPr>
            <w:tcW w:w="830"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桩号</w:t>
            </w:r>
          </w:p>
        </w:tc>
        <w:tc>
          <w:tcPr>
            <w:tcW w:w="676"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岸别</w:t>
            </w:r>
          </w:p>
        </w:tc>
        <w:tc>
          <w:tcPr>
            <w:tcW w:w="1177"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原尺寸</w:t>
            </w:r>
          </w:p>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m</w:t>
            </w:r>
            <w:r>
              <w:rPr>
                <w:rFonts w:hint="default" w:ascii="宋体" w:hAnsi="宋体" w:cs="宋体"/>
                <w:b/>
                <w:bCs/>
                <w:color w:val="000000" w:themeColor="text1"/>
                <w14:textFill>
                  <w14:solidFill>
                    <w14:schemeClr w14:val="tx1"/>
                  </w14:solidFill>
                </w14:textFill>
              </w:rPr>
              <w:t>）</w:t>
            </w:r>
          </w:p>
        </w:tc>
        <w:tc>
          <w:tcPr>
            <w:tcW w:w="1073"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设计管径</w:t>
            </w:r>
          </w:p>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m</w:t>
            </w:r>
            <w:r>
              <w:rPr>
                <w:rFonts w:hint="default" w:ascii="宋体" w:hAnsi="宋体" w:cs="宋体"/>
                <w:b/>
                <w:bCs/>
                <w:color w:val="000000" w:themeColor="text1"/>
                <w14:textFill>
                  <w14:solidFill>
                    <w14:schemeClr w14:val="tx1"/>
                  </w14:solidFill>
                </w14:textFill>
              </w:rPr>
              <w:t>）</w:t>
            </w:r>
          </w:p>
        </w:tc>
        <w:tc>
          <w:tcPr>
            <w:tcW w:w="767"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管长</w:t>
            </w:r>
          </w:p>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m</w:t>
            </w:r>
            <w:r>
              <w:rPr>
                <w:rFonts w:hint="default" w:ascii="宋体" w:hAnsi="宋体" w:cs="宋体"/>
                <w:b/>
                <w:bCs/>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8" w:hRule="exact"/>
          <w:jc w:val="center"/>
        </w:trPr>
        <w:tc>
          <w:tcPr>
            <w:tcW w:w="744"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2300"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1369"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eastAsia="Times New Roman"/>
                <w:color w:val="000000" w:themeColor="text1"/>
                <w14:textFill>
                  <w14:solidFill>
                    <w14:schemeClr w14:val="tx1"/>
                  </w14:solidFill>
                </w14:textFill>
              </w:rPr>
              <w:t>01</w:t>
            </w:r>
            <w:r>
              <w:rPr>
                <w:rFonts w:hint="default" w:ascii="宋体" w:hAnsi="宋体" w:cs="宋体"/>
                <w:color w:val="000000" w:themeColor="text1"/>
                <w14:textFill>
                  <w14:solidFill>
                    <w14:schemeClr w14:val="tx1"/>
                  </w14:solidFill>
                </w14:textFill>
              </w:rPr>
              <w:t>排水口</w:t>
            </w:r>
          </w:p>
        </w:tc>
        <w:tc>
          <w:tcPr>
            <w:tcW w:w="830"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2+793</w:t>
            </w:r>
          </w:p>
        </w:tc>
        <w:tc>
          <w:tcPr>
            <w:tcW w:w="676"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右岸</w:t>
            </w:r>
          </w:p>
        </w:tc>
        <w:tc>
          <w:tcPr>
            <w:tcW w:w="1177"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Φ0.46</w:t>
            </w:r>
          </w:p>
        </w:tc>
        <w:tc>
          <w:tcPr>
            <w:tcW w:w="1073"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Φ0.5</w:t>
            </w:r>
          </w:p>
        </w:tc>
        <w:tc>
          <w:tcPr>
            <w:tcW w:w="767"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8" w:hRule="exact"/>
          <w:jc w:val="center"/>
        </w:trPr>
        <w:tc>
          <w:tcPr>
            <w:tcW w:w="744"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2300"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1369"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eastAsia="Times New Roman"/>
                <w:color w:val="000000" w:themeColor="text1"/>
                <w14:textFill>
                  <w14:solidFill>
                    <w14:schemeClr w14:val="tx1"/>
                  </w14:solidFill>
                </w14:textFill>
              </w:rPr>
              <w:t>03</w:t>
            </w:r>
            <w:r>
              <w:rPr>
                <w:rFonts w:hint="default" w:ascii="宋体" w:hAnsi="宋体" w:cs="宋体"/>
                <w:color w:val="000000" w:themeColor="text1"/>
                <w14:textFill>
                  <w14:solidFill>
                    <w14:schemeClr w14:val="tx1"/>
                  </w14:solidFill>
                </w14:textFill>
              </w:rPr>
              <w:t>排水口</w:t>
            </w:r>
          </w:p>
        </w:tc>
        <w:tc>
          <w:tcPr>
            <w:tcW w:w="830"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0+028</w:t>
            </w:r>
          </w:p>
        </w:tc>
        <w:tc>
          <w:tcPr>
            <w:tcW w:w="676"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右岸</w:t>
            </w:r>
          </w:p>
        </w:tc>
        <w:tc>
          <w:tcPr>
            <w:tcW w:w="1177"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Φ0.5</w:t>
            </w:r>
          </w:p>
        </w:tc>
        <w:tc>
          <w:tcPr>
            <w:tcW w:w="1073"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Φ0.5</w:t>
            </w:r>
          </w:p>
        </w:tc>
        <w:tc>
          <w:tcPr>
            <w:tcW w:w="767" w:type="dxa"/>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6</w:t>
            </w:r>
          </w:p>
        </w:tc>
      </w:tr>
    </w:tbl>
    <w:p>
      <w:pPr>
        <w:autoSpaceDE/>
        <w:autoSpaceDN/>
        <w:spacing w:line="360" w:lineRule="auto"/>
        <w:jc w:val="center"/>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drawing>
          <wp:inline distT="0" distB="0" distL="114300" distR="114300">
            <wp:extent cx="4451985" cy="2789555"/>
            <wp:effectExtent l="0" t="0" r="5715" b="10795"/>
            <wp:docPr id="30" name="图片 30" descr="171531424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15314247802"/>
                    <pic:cNvPicPr>
                      <a:picLocks noChangeAspect="1"/>
                    </pic:cNvPicPr>
                  </pic:nvPicPr>
                  <pic:blipFill>
                    <a:blip r:embed="rId50"/>
                    <a:stretch>
                      <a:fillRect/>
                    </a:stretch>
                  </pic:blipFill>
                  <pic:spPr>
                    <a:xfrm>
                      <a:off x="0" y="0"/>
                      <a:ext cx="4451985" cy="2789555"/>
                    </a:xfrm>
                    <a:prstGeom prst="rect">
                      <a:avLst/>
                    </a:prstGeom>
                  </pic:spPr>
                </pic:pic>
              </a:graphicData>
            </a:graphic>
          </wp:inline>
        </w:drawing>
      </w:r>
    </w:p>
    <w:p>
      <w:pPr>
        <w:autoSpaceDE/>
        <w:autoSpaceDN/>
        <w:spacing w:line="360" w:lineRule="auto"/>
        <w:jc w:val="center"/>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drawing>
          <wp:inline distT="0" distB="0" distL="114300" distR="114300">
            <wp:extent cx="4440555" cy="2501265"/>
            <wp:effectExtent l="0" t="0" r="17145" b="13335"/>
            <wp:docPr id="31" name="图片 31" descr="171531427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15314272987"/>
                    <pic:cNvPicPr>
                      <a:picLocks noChangeAspect="1"/>
                    </pic:cNvPicPr>
                  </pic:nvPicPr>
                  <pic:blipFill>
                    <a:blip r:embed="rId51"/>
                    <a:srcRect l="2164" t="1464"/>
                    <a:stretch>
                      <a:fillRect/>
                    </a:stretch>
                  </pic:blipFill>
                  <pic:spPr>
                    <a:xfrm>
                      <a:off x="0" y="0"/>
                      <a:ext cx="4440555" cy="2501265"/>
                    </a:xfrm>
                    <a:prstGeom prst="rect">
                      <a:avLst/>
                    </a:prstGeom>
                  </pic:spPr>
                </pic:pic>
              </a:graphicData>
            </a:graphic>
          </wp:inline>
        </w:drawing>
      </w:r>
    </w:p>
    <w:p>
      <w:pPr>
        <w:autoSpaceDE/>
        <w:autoSpaceDN/>
        <w:spacing w:line="360" w:lineRule="auto"/>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图2.3-8排水口典型设计图</w:t>
      </w:r>
    </w:p>
    <w:p>
      <w:p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4、监测工程设计</w:t>
      </w:r>
    </w:p>
    <w:p>
      <w:pPr>
        <w:pStyle w:val="14"/>
        <w:adjustRightInd w:val="0"/>
        <w:snapToGrid w:val="0"/>
        <w:spacing w:line="360" w:lineRule="auto"/>
        <w:ind w:firstLine="480" w:firstLineChars="200"/>
        <w:jc w:val="both"/>
        <w:rPr>
          <w:color w:val="000000" w:themeColor="text1"/>
          <w:kern w:val="0"/>
          <w14:textFill>
            <w14:solidFill>
              <w14:schemeClr w14:val="tx1"/>
            </w14:solidFill>
          </w14:textFill>
        </w:rPr>
      </w:pPr>
      <w:r>
        <w:rPr>
          <w:color w:val="000000" w:themeColor="text1"/>
          <w:kern w:val="0"/>
          <w14:textFill>
            <w14:solidFill>
              <w14:schemeClr w14:val="tx1"/>
            </w14:solidFill>
          </w14:textFill>
        </w:rPr>
        <w:t>本工程</w:t>
      </w:r>
      <w:r>
        <w:rPr>
          <w:rFonts w:hint="eastAsia"/>
          <w:color w:val="000000" w:themeColor="text1"/>
          <w:kern w:val="0"/>
          <w14:textFill>
            <w14:solidFill>
              <w14:schemeClr w14:val="tx1"/>
            </w14:solidFill>
          </w14:textFill>
        </w:rPr>
        <w:t>拟</w:t>
      </w:r>
      <w:r>
        <w:rPr>
          <w:color w:val="000000" w:themeColor="text1"/>
          <w:kern w:val="0"/>
          <w14:textFill>
            <w14:solidFill>
              <w14:schemeClr w14:val="tx1"/>
            </w14:solidFill>
          </w14:textFill>
        </w:rPr>
        <w:t>设置测控一体化闸门，监测设施《量测水》采用一体化闸门智能化控制系统。流量和水位的数据通过使用公共网络传输到相应的信息中心进行存储和处理。</w:t>
      </w:r>
    </w:p>
    <w:p>
      <w:pPr>
        <w:pStyle w:val="14"/>
        <w:adjustRightInd w:val="0"/>
        <w:snapToGrid w:val="0"/>
        <w:spacing w:line="360" w:lineRule="auto"/>
        <w:ind w:firstLine="480" w:firstLineChars="200"/>
        <w:jc w:val="both"/>
        <w:rPr>
          <w:color w:val="000000" w:themeColor="text1"/>
          <w:kern w:val="0"/>
          <w14:textFill>
            <w14:solidFill>
              <w14:schemeClr w14:val="tx1"/>
            </w14:solidFill>
          </w14:textFill>
        </w:rPr>
      </w:pPr>
      <w:r>
        <w:rPr>
          <w:color w:val="000000" w:themeColor="text1"/>
          <w:kern w:val="0"/>
          <w14:textFill>
            <w14:solidFill>
              <w14:schemeClr w14:val="tx1"/>
            </w14:solidFill>
          </w14:textFill>
        </w:rPr>
        <w:t>本地控制方式采用触摸屏和按键操作控制，远程控制方式通过手机APP或WEB终端方式控制，通过终端软件可对闸门启闭、闸门开度、瞬时流量、闸前后水深、本次开闸累计时间流量、设备信息等参数进行查询、管理，并远程控制闸门启闭。</w:t>
      </w:r>
    </w:p>
    <w:p>
      <w:pPr>
        <w:pStyle w:val="14"/>
        <w:adjustRightInd w:val="0"/>
        <w:snapToGrid w:val="0"/>
        <w:spacing w:line="360" w:lineRule="auto"/>
        <w:jc w:val="both"/>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drawing>
          <wp:inline distT="0" distB="0" distL="114300" distR="114300">
            <wp:extent cx="5300980" cy="2116455"/>
            <wp:effectExtent l="0" t="0" r="13970" b="17145"/>
            <wp:docPr id="32" name="图片 32" descr="171531438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15314387913"/>
                    <pic:cNvPicPr>
                      <a:picLocks noChangeAspect="1"/>
                    </pic:cNvPicPr>
                  </pic:nvPicPr>
                  <pic:blipFill>
                    <a:blip r:embed="rId52"/>
                    <a:stretch>
                      <a:fillRect/>
                    </a:stretch>
                  </pic:blipFill>
                  <pic:spPr>
                    <a:xfrm>
                      <a:off x="0" y="0"/>
                      <a:ext cx="5300980" cy="2116455"/>
                    </a:xfrm>
                    <a:prstGeom prst="rect">
                      <a:avLst/>
                    </a:prstGeom>
                  </pic:spPr>
                </pic:pic>
              </a:graphicData>
            </a:graphic>
          </wp:inline>
        </w:drawing>
      </w:r>
    </w:p>
    <w:p>
      <w:pPr>
        <w:autoSpaceDE/>
        <w:autoSpaceDN/>
        <w:spacing w:line="360" w:lineRule="auto"/>
        <w:jc w:val="center"/>
        <w:rPr>
          <w:b/>
          <w:bCs/>
          <w:color w:val="000000" w:themeColor="text1"/>
          <w:kern w:val="0"/>
          <w:sz w:val="24"/>
          <w:szCs w:val="24"/>
          <w14:textFill>
            <w14:solidFill>
              <w14:schemeClr w14:val="tx1"/>
            </w14:solidFill>
          </w14:textFill>
        </w:rPr>
      </w:pPr>
      <w:r>
        <w:rPr>
          <w:rFonts w:hint="eastAsia" w:eastAsia="黑体"/>
          <w:color w:val="000000" w:themeColor="text1"/>
          <w:kern w:val="0"/>
          <w14:textFill>
            <w14:solidFill>
              <w14:schemeClr w14:val="tx1"/>
            </w14:solidFill>
          </w14:textFill>
        </w:rPr>
        <w:t>图2.3-9一体化闸门典型设计图</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18" w:name="_Toc32059"/>
      <w:r>
        <w:rPr>
          <w:rFonts w:eastAsia="黑体"/>
          <w:b/>
          <w:color w:val="000000" w:themeColor="text1"/>
          <w:kern w:val="0"/>
          <w:sz w:val="28"/>
          <w:szCs w:val="24"/>
          <w14:textFill>
            <w14:solidFill>
              <w14:schemeClr w14:val="tx1"/>
            </w14:solidFill>
          </w14:textFill>
        </w:rPr>
        <w:t>2.3.</w:t>
      </w:r>
      <w:r>
        <w:rPr>
          <w:rFonts w:hint="eastAsia" w:eastAsia="黑体"/>
          <w:b/>
          <w:color w:val="000000" w:themeColor="text1"/>
          <w:kern w:val="0"/>
          <w:sz w:val="28"/>
          <w:szCs w:val="24"/>
          <w14:textFill>
            <w14:solidFill>
              <w14:schemeClr w14:val="tx1"/>
            </w14:solidFill>
          </w14:textFill>
        </w:rPr>
        <w:t>3清淤工程</w:t>
      </w:r>
      <w:bookmarkEnd w:id="318"/>
    </w:p>
    <w:p>
      <w:pPr>
        <w:pStyle w:val="14"/>
        <w:adjustRightInd w:val="0"/>
        <w:snapToGrid w:val="0"/>
        <w:spacing w:line="360" w:lineRule="auto"/>
        <w:ind w:firstLine="480" w:firstLineChars="200"/>
        <w:jc w:val="both"/>
        <w:rPr>
          <w:color w:val="000000" w:themeColor="text1"/>
          <w:kern w:val="0"/>
          <w14:textFill>
            <w14:solidFill>
              <w14:schemeClr w14:val="tx1"/>
            </w14:solidFill>
          </w14:textFill>
        </w:rPr>
      </w:pPr>
      <w:r>
        <w:rPr>
          <w:color w:val="000000" w:themeColor="text1"/>
          <w:kern w:val="0"/>
          <w14:textFill>
            <w14:solidFill>
              <w14:schemeClr w14:val="tx1"/>
            </w14:solidFill>
          </w14:textFill>
        </w:rPr>
        <w:t>本次清淤疏浚主要对</w:t>
      </w:r>
      <w:r>
        <w:rPr>
          <w:rFonts w:hint="eastAsia"/>
          <w:color w:val="000000" w:themeColor="text1"/>
          <w:kern w:val="0"/>
          <w14:textFill>
            <w14:solidFill>
              <w14:schemeClr w14:val="tx1"/>
            </w14:solidFill>
          </w14:textFill>
        </w:rPr>
        <w:t>工程渠道内已有</w:t>
      </w:r>
      <w:r>
        <w:rPr>
          <w:color w:val="000000" w:themeColor="text1"/>
          <w:kern w:val="0"/>
          <w14:textFill>
            <w14:solidFill>
              <w14:schemeClr w14:val="tx1"/>
            </w14:solidFill>
          </w14:textFill>
        </w:rPr>
        <w:t>淤积物进行清除，</w:t>
      </w:r>
      <w:r>
        <w:rPr>
          <w:rFonts w:hint="eastAsia"/>
          <w:color w:val="000000" w:themeColor="text1"/>
          <w:kern w:val="0"/>
          <w14:textFill>
            <w14:solidFill>
              <w14:schemeClr w14:val="tx1"/>
            </w14:solidFill>
          </w14:textFill>
        </w:rPr>
        <w:t>涉及渠道包括南五支渠、南六支渠、北支一渠（上）、董家堰补水渠（上）、董家堰补水渠（下），</w:t>
      </w:r>
      <w:r>
        <w:rPr>
          <w:color w:val="000000" w:themeColor="text1"/>
          <w:kern w:val="0"/>
          <w14:textFill>
            <w14:solidFill>
              <w14:schemeClr w14:val="tx1"/>
            </w14:solidFill>
          </w14:textFill>
        </w:rPr>
        <w:t>施工时应保证</w:t>
      </w:r>
      <w:r>
        <w:rPr>
          <w:rFonts w:hint="eastAsia"/>
          <w:color w:val="000000" w:themeColor="text1"/>
          <w:kern w:val="0"/>
          <w14:textFill>
            <w14:solidFill>
              <w14:schemeClr w14:val="tx1"/>
            </w14:solidFill>
          </w14:textFill>
        </w:rPr>
        <w:t>渠道</w:t>
      </w:r>
      <w:r>
        <w:rPr>
          <w:color w:val="000000" w:themeColor="text1"/>
          <w:kern w:val="0"/>
          <w14:textFill>
            <w14:solidFill>
              <w14:schemeClr w14:val="tx1"/>
            </w14:solidFill>
          </w14:textFill>
        </w:rPr>
        <w:t>两岸涉河建筑物的安全，预留安全距离。</w:t>
      </w:r>
      <w:r>
        <w:rPr>
          <w:rFonts w:hint="eastAsia"/>
          <w:color w:val="000000" w:themeColor="text1"/>
          <w:kern w:val="0"/>
          <w14:textFill>
            <w14:solidFill>
              <w14:schemeClr w14:val="tx1"/>
            </w14:solidFill>
          </w14:textFill>
        </w:rPr>
        <w:t>清淤应分段进行，</w:t>
      </w:r>
      <w:r>
        <w:rPr>
          <w:rFonts w:hint="eastAsia"/>
          <w:color w:val="000000" w:themeColor="text1"/>
          <w:kern w:val="0"/>
          <w:lang w:val="en-US" w:eastAsia="zh-CN"/>
          <w14:textFill>
            <w14:solidFill>
              <w14:schemeClr w14:val="tx1"/>
            </w14:solidFill>
          </w14:textFill>
        </w:rPr>
        <w:t>需干化的淤泥在渠道内翻晒干化后，</w:t>
      </w:r>
      <w:r>
        <w:rPr>
          <w:rFonts w:hint="eastAsia"/>
          <w:color w:val="000000" w:themeColor="text1"/>
          <w:kern w:val="0"/>
          <w14:textFill>
            <w14:solidFill>
              <w14:schemeClr w14:val="tx1"/>
            </w14:solidFill>
          </w14:textFill>
        </w:rPr>
        <w:t>采用</w:t>
      </w:r>
      <w:r>
        <w:rPr>
          <w:color w:val="000000" w:themeColor="text1"/>
          <w:kern w:val="0"/>
          <w14:textFill>
            <w14:solidFill>
              <w14:schemeClr w14:val="tx1"/>
            </w14:solidFill>
          </w14:textFill>
        </w:rPr>
        <w:t>1.6</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2m³</w:t>
      </w:r>
      <w:r>
        <w:rPr>
          <w:rFonts w:hint="eastAsia"/>
          <w:color w:val="000000" w:themeColor="text1"/>
          <w:kern w:val="0"/>
          <w14:textFill>
            <w14:solidFill>
              <w14:schemeClr w14:val="tx1"/>
            </w14:solidFill>
          </w14:textFill>
        </w:rPr>
        <w:t>反铲挖掘机装</w:t>
      </w:r>
      <w:r>
        <w:rPr>
          <w:color w:val="000000" w:themeColor="text1"/>
          <w:kern w:val="0"/>
          <w14:textFill>
            <w14:solidFill>
              <w14:schemeClr w14:val="tx1"/>
            </w14:solidFill>
          </w14:textFill>
        </w:rPr>
        <w:t>10</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20t</w:t>
      </w:r>
      <w:r>
        <w:rPr>
          <w:rFonts w:hint="eastAsia"/>
          <w:color w:val="000000" w:themeColor="text1"/>
          <w:kern w:val="0"/>
          <w14:textFill>
            <w14:solidFill>
              <w14:schemeClr w14:val="tx1"/>
            </w14:solidFill>
          </w14:textFill>
        </w:rPr>
        <w:t>自卸汽车运至余方接纳点处置。清淤自卸汽车应在车斗内采用防渗薄膜进行铺设，防止运输过程中漏浆。</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19" w:name="_Toc1769"/>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3</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4工程特性</w:t>
      </w:r>
      <w:bookmarkEnd w:id="319"/>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根据项目资料，</w:t>
      </w:r>
      <w:r>
        <w:rPr>
          <w:rFonts w:hint="eastAsia"/>
          <w:color w:val="000000" w:themeColor="text1"/>
          <w:sz w:val="24"/>
          <w14:textFill>
            <w14:solidFill>
              <w14:schemeClr w14:val="tx1"/>
            </w14:solidFill>
          </w14:textFill>
        </w:rPr>
        <w:t>成都市环城生态区农田综合整治及农业灌区设施建设项目灌区水利设施建设（二标段）一期涉及的主要工程量如下：</w:t>
      </w:r>
    </w:p>
    <w:p>
      <w:pPr>
        <w:autoSpaceDE/>
        <w:autoSpaceDN/>
        <w:spacing w:line="360" w:lineRule="auto"/>
        <w:ind w:firstLine="480" w:firstLineChars="200"/>
        <w:jc w:val="center"/>
        <w:rPr>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表2.3-5项目实施方案阶段工程量统计表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47"/>
        <w:gridCol w:w="4152"/>
        <w:gridCol w:w="1270"/>
        <w:gridCol w:w="16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序号</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工程名称</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单位</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2" w:hRule="exact"/>
          <w:jc w:val="center"/>
        </w:trPr>
        <w:tc>
          <w:tcPr>
            <w:tcW w:w="5000" w:type="pct"/>
            <w:gridSpan w:val="4"/>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b/>
                <w:bCs/>
                <w:color w:val="000000" w:themeColor="text1"/>
                <w14:textFill>
                  <w14:solidFill>
                    <w14:schemeClr w14:val="tx1"/>
                  </w14:solidFill>
                </w14:textFill>
              </w:rPr>
              <w:t>董家堰补水渠上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2"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一</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渠系工程</w:t>
            </w:r>
          </w:p>
        </w:tc>
        <w:tc>
          <w:tcPr>
            <w:tcW w:w="765"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98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4"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开挖料回填</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505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余方弃置（运距1km)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PE闭孔塑料板填缝</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草皮护坡</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碎石垫层</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652橡胶止水带</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嵌缝密封胶</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C30混凝土渠道</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二</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测控一体化1.0*1m闸门</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座</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土方回填</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70"/>
              <w:rPr>
                <w:rFonts w:hint="default"/>
                <w:color w:val="000000" w:themeColor="text1"/>
                <w:lang w:val="zh-CN" w:bidi="zh-CN"/>
                <w14:textFill>
                  <w14:solidFill>
                    <w14:schemeClr w14:val="tx1"/>
                  </w14:solidFill>
                </w14:textFill>
              </w:rPr>
            </w:pPr>
            <w:r>
              <w:rPr>
                <w:rFonts w:hint="default"/>
                <w:color w:val="000000" w:themeColor="text1"/>
                <w:spacing w:val="-3"/>
                <w14:textFill>
                  <w14:solidFill>
                    <w14:schemeClr w14:val="tx1"/>
                  </w14:solidFill>
                </w14:textFill>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余方弃置（运距5km)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C15混凝土垫层</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C25钢筋砼底板</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C25钢筋砼边墙</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58"/>
              <w:rPr>
                <w:rFonts w:hint="default"/>
                <w:color w:val="000000" w:themeColor="text1"/>
                <w:lang w:val="zh-CN" w:bidi="zh-CN"/>
                <w14:textFill>
                  <w14:solidFill>
                    <w14:schemeClr w14:val="tx1"/>
                  </w14:solidFill>
                </w14:textFill>
              </w:rPr>
            </w:pPr>
            <w:r>
              <w:rPr>
                <w:rFonts w:hint="default"/>
                <w:color w:val="000000" w:themeColor="text1"/>
                <w:spacing w:val="-6"/>
                <w14:textFill>
                  <w14:solidFill>
                    <w14:schemeClr w14:val="tx1"/>
                  </w14:solidFill>
                </w14:textFill>
              </w:rPr>
              <w:t>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C30二期混凝土</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预埋PVC50水位计测管</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橡胶止水</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聚氨酯密封膏</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05"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低压配电柜</w:t>
            </w:r>
            <w:r>
              <w:rPr>
                <w:rFonts w:hint="default"/>
                <w:color w:val="000000" w:themeColor="text1"/>
                <w:spacing w:val="-4"/>
                <w14:textFill>
                  <w14:solidFill>
                    <w14:schemeClr w14:val="tx1"/>
                  </w14:solidFill>
                </w14:textFill>
              </w:rPr>
              <w:t>XLW-1-21(改)</w:t>
            </w:r>
            <w:r>
              <w:rPr>
                <w:rFonts w:hint="default"/>
                <w:color w:val="000000" w:themeColor="text1"/>
                <w14:textFill>
                  <w14:solidFill>
                    <w14:schemeClr w14:val="tx1"/>
                  </w14:solidFill>
                </w14:textFill>
              </w:rPr>
              <w:t>户外型</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只</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动力电缆ZA-YJY22-1</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预埋件</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0.4kV电源引入ZA-YJY22-4x16</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设备运杂费</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测控一体化1.0*1m闸门</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设备运杂费</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5.735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三</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施工临时工程</w:t>
            </w:r>
          </w:p>
        </w:tc>
        <w:tc>
          <w:tcPr>
            <w:tcW w:w="765"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c>
          <w:tcPr>
            <w:tcW w:w="98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围堰填筑</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围堰拆除（运距5km）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复合土工膜</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17.28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施工排水</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台时</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10kv供电线路</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变配电设施</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新建4.5m施工临时道路（泥结碎石路面）</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施工临时仓库</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办公、生活及文化福利建筑</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其它施工临时工程</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项</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5000" w:type="pct"/>
            <w:gridSpan w:val="4"/>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r>
              <w:rPr>
                <w:rFonts w:hint="default"/>
                <w:b/>
                <w:bCs/>
                <w:color w:val="000000" w:themeColor="text1"/>
                <w14:textFill>
                  <w14:solidFill>
                    <w14:schemeClr w14:val="tx1"/>
                  </w14:solidFill>
                </w14:textFill>
              </w:rPr>
              <w:t>董家堰补水渠下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lang w:bidi="zh-CN"/>
                <w14:textFill>
                  <w14:solidFill>
                    <w14:schemeClr w14:val="tx1"/>
                  </w14:solidFill>
                </w14:textFill>
              </w:rPr>
              <w:t>一</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渠系工程</w:t>
            </w:r>
          </w:p>
        </w:tc>
        <w:tc>
          <w:tcPr>
            <w:tcW w:w="765"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c>
          <w:tcPr>
            <w:tcW w:w="98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开挖料回填</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余方弃置（运距1km)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砌体拆除</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PE闭孔塑料板填缝</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草皮护坡</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碎石垫层</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652橡胶止水带</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嵌缝密封胶</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C30混凝土渠道</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二</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排水口</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土方回填</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余方弃置（运距5km）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ø500钢筋砼管II级</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ø800钢筋砼管II级</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C25砼涵管基础</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油毛毡</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三</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排水口拆除</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董家堰补水渠（下）排水口拆除（运距1km）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四</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施工临时工程</w:t>
            </w:r>
          </w:p>
        </w:tc>
        <w:tc>
          <w:tcPr>
            <w:tcW w:w="765"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c>
          <w:tcPr>
            <w:tcW w:w="98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围堰填筑</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围堰拆除（运距5km）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复合土工膜</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施工排水</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台时</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10kv供电线路</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变配电设施</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新建4.5m施工临时道路（泥结碎石路面）</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施工临时仓库</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办公、生活及文化福利建筑</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其它施工临时工程</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项</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5000" w:type="pct"/>
            <w:gridSpan w:val="4"/>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r>
              <w:rPr>
                <w:rFonts w:hint="default"/>
                <w:b/>
                <w:bCs/>
                <w:color w:val="000000" w:themeColor="text1"/>
                <w14:textFill>
                  <w14:solidFill>
                    <w14:schemeClr w14:val="tx1"/>
                  </w14:solidFill>
                </w14:textFill>
              </w:rPr>
              <w:t>北支一渠（上）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一</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渠系工程</w:t>
            </w:r>
          </w:p>
        </w:tc>
        <w:tc>
          <w:tcPr>
            <w:tcW w:w="765"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c>
          <w:tcPr>
            <w:tcW w:w="98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lang w:val="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19817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开挖料回填</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15020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余方弃置（运距1km)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6850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砌体拆除</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C25混凝土仰斜式挡墙</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C25现浇砼护底</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C25混凝土阶梯</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粗砂垫层</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14:textFill>
                  <w14:solidFill>
                    <w14:schemeClr w14:val="tx1"/>
                  </w14:solidFill>
                </w14:textFill>
              </w:rPr>
              <w:t>土工布400g/m</w:t>
            </w:r>
            <w:r>
              <w:rPr>
                <w:rFonts w:hint="default"/>
                <w:color w:val="000000" w:themeColor="text1"/>
                <w:position w:val="7"/>
                <w:sz w:val="14"/>
                <w:szCs w:val="14"/>
                <w14:textFill>
                  <w14:solidFill>
                    <w14:schemeClr w14:val="tx1"/>
                  </w14:solidFill>
                </w14:textFill>
              </w:rPr>
              <w:t>2</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7711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ascii="Cambria Math" w:hAnsi="Cambria Math" w:cs="Cambria Math"/>
                <w:color w:val="000000" w:themeColor="text1"/>
                <w14:textFill>
                  <w14:solidFill>
                    <w14:schemeClr w14:val="tx1"/>
                  </w14:solidFill>
                </w14:textFill>
              </w:rPr>
              <w:t>∅</w:t>
            </w:r>
            <w:r>
              <w:rPr>
                <w:rFonts w:hint="default"/>
                <w:color w:val="000000" w:themeColor="text1"/>
                <w14:textFill>
                  <w14:solidFill>
                    <w14:schemeClr w14:val="tx1"/>
                  </w14:solidFill>
                </w14:textFill>
              </w:rPr>
              <w:t>60PVC排水管</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3173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PE闭孔塑料板填缝</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镶嵌φ5-10卵石</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草皮护坡</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11365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28025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碎石垫层</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C25砼阶梯侧墙及基础</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C25砼阶梯护肩</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652橡胶止水带</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6659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嵌缝密封胶</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二</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北支一渠上2#3.0*2.0箱涵</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土方回填</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r>
              <w:rPr>
                <w:rFonts w:hint="eastAsia"/>
                <w:color w:val="000000" w:themeColor="text1"/>
                <w14:textFill>
                  <w14:solidFill>
                    <w14:schemeClr w14:val="tx1"/>
                  </w14:solidFill>
                </w14:textFill>
              </w:rPr>
              <w:t>5</w:t>
            </w:r>
            <w:r>
              <w:rPr>
                <w:rFonts w:hint="default"/>
                <w:color w:val="000000" w:themeColor="text1"/>
                <w14:textFill>
                  <w14:solidFill>
                    <w14:schemeClr w14:val="tx1"/>
                  </w14:solidFill>
                </w14:textFill>
              </w:rPr>
              <w:t>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余方弃置（运距1km）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C15混凝土垫层</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碎石垫层</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C30钢筋砼箱涵</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C25砼头墙</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C25砼边墙</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C25砼进出口底板</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651型橡胶止水带</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153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聚氨酯</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聚乙烯闭孔泡沫板伸缩缝</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φ75PVC排水管</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firstLine="470"/>
              <w:rPr>
                <w:rFonts w:hint="default"/>
                <w:color w:val="000000" w:themeColor="text1"/>
                <w:lang w:bidi="zh-CN"/>
                <w14:textFill>
                  <w14:solidFill>
                    <w14:schemeClr w14:val="tx1"/>
                  </w14:solidFill>
                </w14:textFill>
              </w:rPr>
            </w:pPr>
            <w:r>
              <w:rPr>
                <w:rFonts w:hint="default"/>
                <w:color w:val="000000" w:themeColor="text1"/>
                <w:spacing w:val="-3"/>
                <w14:textFill>
                  <w14:solidFill>
                    <w14:schemeClr w14:val="tx1"/>
                  </w14:solidFill>
                </w14:textFill>
              </w:rPr>
              <w:t>118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砂砾石反滤包</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14:textFill>
                  <w14:solidFill>
                    <w14:schemeClr w14:val="tx1"/>
                  </w14:solidFill>
                </w14:textFill>
              </w:rPr>
              <w:t>土工布400g/m</w:t>
            </w:r>
            <w:r>
              <w:rPr>
                <w:rFonts w:hint="default"/>
                <w:color w:val="000000" w:themeColor="text1"/>
                <w:position w:val="7"/>
                <w:sz w:val="14"/>
                <w:szCs w:val="14"/>
                <w14:textFill>
                  <w14:solidFill>
                    <w14:schemeClr w14:val="tx1"/>
                  </w14:solidFill>
                </w14:textFill>
              </w:rPr>
              <w:t>2</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三</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箱涵拆除</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北支一渠箱涵拆除（运距1km）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四</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施工临时工程</w:t>
            </w:r>
          </w:p>
        </w:tc>
        <w:tc>
          <w:tcPr>
            <w:tcW w:w="765"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981" w:type="pct"/>
            <w:tcBorders>
              <w:tl2br w:val="nil"/>
              <w:tr2bl w:val="nil"/>
            </w:tcBorders>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围堰填筑</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230.3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围堰拆除（运距5km）</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230.3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3</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复合土工膜</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130.68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4</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施工排水</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台时</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5</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10kv供电线路</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6</w:t>
            </w:r>
          </w:p>
        </w:tc>
        <w:tc>
          <w:tcPr>
            <w:tcW w:w="250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变配电设施</w:t>
            </w:r>
          </w:p>
        </w:tc>
        <w:tc>
          <w:tcPr>
            <w:tcW w:w="76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7</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新建4.5m施工临时道路（泥结碎石路面）</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2.26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8</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施工临时仓库</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270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9</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办公、生活及文化福利建筑</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324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10</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其它施工临时工程</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项</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5000" w:type="pct"/>
            <w:gridSpan w:val="4"/>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r>
              <w:rPr>
                <w:rFonts w:hint="default"/>
                <w:b/>
                <w:bCs/>
                <w:color w:val="000000" w:themeColor="text1"/>
                <w14:textFill>
                  <w14:solidFill>
                    <w14:schemeClr w14:val="tx1"/>
                  </w14:solidFill>
                </w14:textFill>
              </w:rPr>
              <w:t>南五支渠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一</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渠系工程</w:t>
            </w:r>
          </w:p>
        </w:tc>
        <w:tc>
          <w:tcPr>
            <w:tcW w:w="765"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98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10614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开挖料回填</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802</w:t>
            </w:r>
            <w:r>
              <w:rPr>
                <w:rFonts w:hint="eastAsia"/>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余方弃置（运距20km)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砌体拆除</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3796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PE闭孔塑料板填缝</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草皮护坡</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18336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16076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碎石垫层</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652橡胶止水带</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2326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嵌缝密封胶</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C30混凝土渠道</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3973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278.1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二</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测控一体化1.0*1m闸门</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座</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670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土方回填</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余方弃置（运距5km)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C15混凝土垫层</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C25钢筋砼底板</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C25钢筋砼边墙</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C30二期混凝土</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预埋PVC50水位计测管</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橡胶止水</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聚氨酯密封膏</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低压配电柜</w:t>
            </w:r>
            <w:r>
              <w:rPr>
                <w:rFonts w:hint="default"/>
                <w:color w:val="000000" w:themeColor="text1"/>
                <w:spacing w:val="-4"/>
                <w14:textFill>
                  <w14:solidFill>
                    <w14:schemeClr w14:val="tx1"/>
                  </w14:solidFill>
                </w14:textFill>
              </w:rPr>
              <w:t>XLW-1-21(改)</w:t>
            </w:r>
            <w:r>
              <w:rPr>
                <w:rFonts w:hint="default"/>
                <w:color w:val="000000" w:themeColor="text1"/>
                <w14:textFill>
                  <w14:solidFill>
                    <w14:schemeClr w14:val="tx1"/>
                  </w14:solidFill>
                </w14:textFill>
              </w:rPr>
              <w:t>户外型</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只</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动力电缆ZA-YJY22-1</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预埋件</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0.4kV电源引入ZA-YJY22-4x16</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设备运杂费</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测控一体化1.0*1m闸门</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设备运杂费</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三</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排水口</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土方回填</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余方弃置（运距5km）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ø500钢筋砼管II级</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ø800钢筋砼管II级</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C25砼涵管基础</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油毛毡</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四</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箱涵拆除</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南五支渠箱涵拆除（运距20km）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五</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排水口拆除</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南五支渠排水口拆除（运距20km）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六</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施工临时工程</w:t>
            </w:r>
          </w:p>
        </w:tc>
        <w:tc>
          <w:tcPr>
            <w:tcW w:w="765"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98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围堰填筑</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围堰拆除（运距5km）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复合土工膜</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48.38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施工排水</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台时</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10kv供电线路</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变配电设施</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新建4.0m施工临时道路（泥结碎石路面）</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改扩建4.0m施工临时道路（泥结碎石路面）</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施工临时仓库</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firstLine="450"/>
              <w:rPr>
                <w:rFonts w:hint="default"/>
                <w:color w:val="000000" w:themeColor="text1"/>
                <w:lang w:val="zh-CN" w:bidi="zh-CN"/>
                <w14:textFill>
                  <w14:solidFill>
                    <w14:schemeClr w14:val="tx1"/>
                  </w14:solidFill>
                </w14:textFill>
              </w:rPr>
            </w:pPr>
            <w:r>
              <w:rPr>
                <w:rFonts w:hint="default"/>
                <w:color w:val="000000" w:themeColor="text1"/>
                <w:spacing w:val="-8"/>
                <w14:textFill>
                  <w14:solidFill>
                    <w14:schemeClr w14:val="tx1"/>
                  </w14:solidFill>
                </w14:textFill>
              </w:rPr>
              <w:t>11</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办公、生活及文化福利建筑</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其它施工临时工程</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项</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5000" w:type="pct"/>
            <w:gridSpan w:val="4"/>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r>
              <w:rPr>
                <w:rFonts w:hint="default"/>
                <w:b/>
                <w:bCs/>
                <w:color w:val="000000" w:themeColor="text1"/>
                <w14:textFill>
                  <w14:solidFill>
                    <w14:schemeClr w14:val="tx1"/>
                  </w14:solidFill>
                </w14:textFill>
              </w:rPr>
              <w:t>南六支渠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一</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渠系工程</w:t>
            </w:r>
          </w:p>
        </w:tc>
        <w:tc>
          <w:tcPr>
            <w:tcW w:w="765"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98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7507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开挖料回填</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余方弃置（运距20km</w:t>
            </w:r>
            <w:r>
              <w:rPr>
                <w:rFonts w:hint="eastAsia"/>
                <w:color w:val="000000" w:themeColor="text1"/>
                <w14:textFill>
                  <w14:solidFill>
                    <w14:schemeClr w14:val="tx1"/>
                  </w14:solidFill>
                </w14:textFill>
              </w:rPr>
              <w:t>）</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PE闭孔塑料板填缝</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砌体拆除</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eastAsia"/>
                <w:color w:val="000000" w:themeColor="text1"/>
                <w14:textFill>
                  <w14:solidFill>
                    <w14:schemeClr w14:val="tx1"/>
                  </w14:solidFill>
                </w14:textFill>
              </w:rPr>
              <w:t>2</w:t>
            </w:r>
            <w:r>
              <w:rPr>
                <w:rFonts w:hint="default"/>
                <w:color w:val="000000" w:themeColor="text1"/>
                <w14:textFill>
                  <w14:solidFill>
                    <w14:schemeClr w14:val="tx1"/>
                  </w14:solidFill>
                </w14:textFill>
              </w:rPr>
              <w:t>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草皮护坡</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7164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6633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碎石垫层</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652橡胶止水带</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嵌缝密封胶</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C30混凝土渠道</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二</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测控一体化1.0*1m闸门</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座</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土方开挖</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土方回填</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466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余方弃置（运距5km</w:t>
            </w:r>
            <w:r>
              <w:rPr>
                <w:rFonts w:hint="eastAsia"/>
                <w:color w:val="000000" w:themeColor="text1"/>
                <w14:textFill>
                  <w14:solidFill>
                    <w14:schemeClr w14:val="tx1"/>
                  </w14:solidFill>
                </w14:textFill>
              </w:rPr>
              <w:t>）</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C15混凝土垫层</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C25钢筋砼底板</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C25钢筋砼边墙</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钢筋制安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模板制安</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C30二期混凝土</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预埋PVC50水位计测管</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橡胶止水</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聚氨酯密封膏</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低压配电柜</w:t>
            </w:r>
            <w:r>
              <w:rPr>
                <w:rFonts w:hint="default"/>
                <w:color w:val="000000" w:themeColor="text1"/>
                <w:spacing w:val="-4"/>
                <w14:textFill>
                  <w14:solidFill>
                    <w14:schemeClr w14:val="tx1"/>
                  </w14:solidFill>
                </w14:textFill>
              </w:rPr>
              <w:t>XLW-1-21</w:t>
            </w:r>
            <w:r>
              <w:rPr>
                <w:rFonts w:hint="eastAsia"/>
                <w:color w:val="000000" w:themeColor="text1"/>
                <w:spacing w:val="-4"/>
                <w14:textFill>
                  <w14:solidFill>
                    <w14:schemeClr w14:val="tx1"/>
                  </w14:solidFill>
                </w14:textFill>
              </w:rPr>
              <w:t>（</w:t>
            </w:r>
            <w:r>
              <w:rPr>
                <w:rFonts w:hint="default"/>
                <w:color w:val="000000" w:themeColor="text1"/>
                <w:spacing w:val="-4"/>
                <w14:textFill>
                  <w14:solidFill>
                    <w14:schemeClr w14:val="tx1"/>
                  </w14:solidFill>
                </w14:textFill>
              </w:rPr>
              <w:t>改</w:t>
            </w:r>
            <w:r>
              <w:rPr>
                <w:rFonts w:hint="eastAsia"/>
                <w:color w:val="000000" w:themeColor="text1"/>
                <w:spacing w:val="-4"/>
                <w14:textFill>
                  <w14:solidFill>
                    <w14:schemeClr w14:val="tx1"/>
                  </w14:solidFill>
                </w14:textFill>
              </w:rPr>
              <w:t>）</w:t>
            </w:r>
            <w:r>
              <w:rPr>
                <w:rFonts w:hint="default"/>
                <w:color w:val="000000" w:themeColor="text1"/>
                <w14:textFill>
                  <w14:solidFill>
                    <w14:schemeClr w14:val="tx1"/>
                  </w14:solidFill>
                </w14:textFill>
              </w:rPr>
              <w:t>户外型</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只</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动力电缆ZA-YJY22-1</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预埋件</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0.4kV电源引入ZA-YJY22-4x16</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设备运杂费</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测控一体化1.0*1m闸门</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设备运杂费</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三</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箱涵拆除</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处</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color w:val="000000" w:themeColor="text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南六支渠箱涵拆除（运距20km）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eastAsia"/>
                <w:color w:val="000000" w:themeColor="text1"/>
                <w14:textFill>
                  <w14:solidFill>
                    <w14:schemeClr w14:val="tx1"/>
                  </w14:solidFill>
                </w14:textFill>
              </w:rPr>
              <w:t>2</w:t>
            </w:r>
            <w:r>
              <w:rPr>
                <w:rFonts w:hint="default"/>
                <w:color w:val="000000" w:themeColor="text1"/>
                <w14:textFill>
                  <w14:solidFill>
                    <w14:schemeClr w14:val="tx1"/>
                  </w14:solidFill>
                </w14:textFill>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r>
              <w:rPr>
                <w:rFonts w:hint="default"/>
                <w:b/>
                <w:bCs/>
                <w:color w:val="000000" w:themeColor="text1"/>
                <w14:textFill>
                  <w14:solidFill>
                    <w14:schemeClr w14:val="tx1"/>
                  </w14:solidFill>
                </w14:textFill>
              </w:rPr>
              <w:t>四</w:t>
            </w: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b/>
                <w:bCs/>
                <w:color w:val="000000" w:themeColor="text1"/>
                <w14:textFill>
                  <w14:solidFill>
                    <w14:schemeClr w14:val="tx1"/>
                  </w14:solidFill>
                </w14:textFill>
              </w:rPr>
              <w:t>施工临时工程</w:t>
            </w:r>
          </w:p>
        </w:tc>
        <w:tc>
          <w:tcPr>
            <w:tcW w:w="765"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c>
          <w:tcPr>
            <w:tcW w:w="981"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围堰填筑</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围堰拆除（运距5km）</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复合土工膜</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33.05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施工排水</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台时</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10kv供电线路</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变配电设施</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套</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新建4.0m施工临时道路（泥结碎石路面）</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km</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施工临时仓库</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办公、生活及文化福利建筑</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sz w:val="14"/>
                <w:szCs w:val="14"/>
                <w:lang w:val="zh-CN" w:bidi="zh-CN"/>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9" w:hRule="exact"/>
          <w:jc w:val="center"/>
        </w:trPr>
        <w:tc>
          <w:tcPr>
            <w:tcW w:w="75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bidi="zh-CN"/>
                <w14:textFill>
                  <w14:solidFill>
                    <w14:schemeClr w14:val="tx1"/>
                  </w14:solidFill>
                </w14:textFill>
              </w:rPr>
            </w:pPr>
          </w:p>
        </w:tc>
        <w:tc>
          <w:tcPr>
            <w:tcW w:w="250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其它施工临时工程</w:t>
            </w:r>
          </w:p>
        </w:tc>
        <w:tc>
          <w:tcPr>
            <w:tcW w:w="76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项</w:t>
            </w:r>
          </w:p>
        </w:tc>
        <w:tc>
          <w:tcPr>
            <w:tcW w:w="981"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r>
    </w:tbl>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320" w:name="_Toc70496269"/>
      <w:bookmarkStart w:id="321" w:name="_Toc18851"/>
      <w:r>
        <w:rPr>
          <w:rFonts w:eastAsia="黑体"/>
          <w:b/>
          <w:bCs/>
          <w:color w:val="000000" w:themeColor="text1"/>
          <w:kern w:val="0"/>
          <w:sz w:val="32"/>
          <w:szCs w:val="32"/>
          <w14:textFill>
            <w14:solidFill>
              <w14:schemeClr w14:val="tx1"/>
            </w14:solidFill>
          </w14:textFill>
        </w:rPr>
        <w:t>2.</w:t>
      </w:r>
      <w:r>
        <w:rPr>
          <w:rFonts w:hint="eastAsia" w:eastAsia="黑体"/>
          <w:b/>
          <w:bCs/>
          <w:color w:val="000000" w:themeColor="text1"/>
          <w:kern w:val="0"/>
          <w:sz w:val="32"/>
          <w:szCs w:val="32"/>
          <w14:textFill>
            <w14:solidFill>
              <w14:schemeClr w14:val="tx1"/>
            </w14:solidFill>
          </w14:textFill>
        </w:rPr>
        <w:t>4</w:t>
      </w:r>
      <w:r>
        <w:rPr>
          <w:rFonts w:eastAsia="黑体"/>
          <w:b/>
          <w:bCs/>
          <w:color w:val="000000" w:themeColor="text1"/>
          <w:kern w:val="0"/>
          <w:sz w:val="32"/>
          <w:szCs w:val="32"/>
          <w14:textFill>
            <w14:solidFill>
              <w14:schemeClr w14:val="tx1"/>
            </w14:solidFill>
          </w14:textFill>
        </w:rPr>
        <w:t>施工组织</w:t>
      </w:r>
      <w:bookmarkEnd w:id="320"/>
      <w:r>
        <w:rPr>
          <w:rFonts w:hint="eastAsia" w:eastAsia="黑体"/>
          <w:b/>
          <w:bCs/>
          <w:color w:val="000000" w:themeColor="text1"/>
          <w:kern w:val="0"/>
          <w:sz w:val="32"/>
          <w:szCs w:val="32"/>
          <w14:textFill>
            <w14:solidFill>
              <w14:schemeClr w14:val="tx1"/>
            </w14:solidFill>
          </w14:textFill>
        </w:rPr>
        <w:t>设计</w:t>
      </w:r>
      <w:bookmarkEnd w:id="321"/>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22" w:name="_Toc70496270"/>
      <w:bookmarkStart w:id="323" w:name="_Toc24538"/>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4</w:t>
      </w:r>
      <w:r>
        <w:rPr>
          <w:rFonts w:eastAsia="黑体"/>
          <w:b/>
          <w:color w:val="000000" w:themeColor="text1"/>
          <w:kern w:val="0"/>
          <w:sz w:val="28"/>
          <w:szCs w:val="24"/>
          <w14:textFill>
            <w14:solidFill>
              <w14:schemeClr w14:val="tx1"/>
            </w14:solidFill>
          </w14:textFill>
        </w:rPr>
        <w:t>.1施工交通</w:t>
      </w:r>
      <w:bookmarkEnd w:id="322"/>
      <w:bookmarkEnd w:id="323"/>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（3）施工交通</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1）对外交通</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工程区地处成都市绕城高速两侧，对外主要交通道路有成绵高速、沪蓉高速、成洛大道、蜀都大道等，施工区通过绕城高速与对外道路相接，主干道畅通且形成网络，交通十分便利，完全满足工程建设的运输要求，不再新修对外交通道路。</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2）场内交通</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场内交通以公路运输为主，根据现场查勘情况，工程附近有公路与对外主干交通道路相接，其余根据临近道路的有利条件修建施工临时道路。场内道路运输条件选择的原则是：尽量利用现有道路，同时结合管护道路建设工程情况，采用永临结合的布置方式，尽量少占耕地，尽量减少扰民，尽量方便附近居民生产生活。</w:t>
      </w:r>
    </w:p>
    <w:p>
      <w:pPr>
        <w:autoSpaceDE/>
        <w:autoSpaceDN/>
        <w:adjustRightInd w:val="0"/>
        <w:snapToGrid w:val="0"/>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工程工区布置分散，结合进度安排、运输强度、设备型号、使用时段等综合分析，场内施工道路宽4.5m，位于已有道路区域的宽4m，对于符合上述标准的现有道路，考虑原路利用；对于不符合上述要求的现有道路，予以拓宽改建；对于无现有可利用道路的，予以新修。经计算，本工程施工临时道路共计5.71km，其中新建施工临时道路5.48km，其中路面宽4.5m为2.54km，路面宽4m为2.95km；扩建道路约0.23km，为宽4m路面。均采用泥结碎石路面。项目施工临时道路布置，详见附图。</w:t>
      </w:r>
    </w:p>
    <w:p>
      <w:pPr>
        <w:autoSpaceDE/>
        <w:autoSpaceDN/>
        <w:adjustRightInd w:val="0"/>
        <w:snapToGrid w:val="0"/>
        <w:ind w:firstLine="480" w:firstLineChars="200"/>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表2.4-1临时便道一览表</w:t>
      </w:r>
    </w:p>
    <w:tbl>
      <w:tblPr>
        <w:tblStyle w:val="38"/>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42"/>
        <w:gridCol w:w="1607"/>
        <w:gridCol w:w="1001"/>
        <w:gridCol w:w="1486"/>
        <w:gridCol w:w="1001"/>
        <w:gridCol w:w="1718"/>
        <w:gridCol w:w="74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6" w:hRule="exact"/>
          <w:jc w:val="center"/>
        </w:trPr>
        <w:tc>
          <w:tcPr>
            <w:tcW w:w="44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968"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道路名称</w:t>
            </w:r>
          </w:p>
        </w:tc>
        <w:tc>
          <w:tcPr>
            <w:tcW w:w="603"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路宽</w:t>
            </w:r>
            <w:r>
              <w:rPr>
                <w:rFonts w:hint="default" w:eastAsia="Times New Roman"/>
                <w:b/>
                <w:bCs/>
                <w:color w:val="000000" w:themeColor="text1"/>
                <w14:textFill>
                  <w14:solidFill>
                    <w14:schemeClr w14:val="tx1"/>
                  </w14:solidFill>
                </w14:textFill>
              </w:rPr>
              <w:t>/m</w:t>
            </w:r>
          </w:p>
        </w:tc>
        <w:tc>
          <w:tcPr>
            <w:tcW w:w="89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型式</w:t>
            </w:r>
          </w:p>
        </w:tc>
        <w:tc>
          <w:tcPr>
            <w:tcW w:w="603"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长度</w:t>
            </w:r>
            <w:r>
              <w:rPr>
                <w:rFonts w:hint="default" w:eastAsia="Times New Roman"/>
                <w:b/>
                <w:bCs/>
                <w:color w:val="000000" w:themeColor="text1"/>
                <w14:textFill>
                  <w14:solidFill>
                    <w14:schemeClr w14:val="tx1"/>
                  </w14:solidFill>
                </w14:textFill>
              </w:rPr>
              <w:t>/m</w:t>
            </w:r>
          </w:p>
        </w:tc>
        <w:tc>
          <w:tcPr>
            <w:tcW w:w="103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所属渠道</w:t>
            </w:r>
          </w:p>
        </w:tc>
        <w:tc>
          <w:tcPr>
            <w:tcW w:w="44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968"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72#</w:t>
            </w:r>
            <w:r>
              <w:rPr>
                <w:rFonts w:hint="default" w:ascii="宋体" w:hAnsi="宋体" w:cs="宋体"/>
                <w:color w:val="000000" w:themeColor="text1"/>
                <w14:textFill>
                  <w14:solidFill>
                    <w14:schemeClr w14:val="tx1"/>
                  </w14:solidFill>
                </w14:textFill>
              </w:rPr>
              <w:t>施工便道</w:t>
            </w:r>
          </w:p>
        </w:tc>
        <w:tc>
          <w:tcPr>
            <w:tcW w:w="603"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w:t>
            </w:r>
          </w:p>
        </w:tc>
        <w:tc>
          <w:tcPr>
            <w:tcW w:w="894"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246.31</w:t>
            </w:r>
          </w:p>
        </w:tc>
        <w:tc>
          <w:tcPr>
            <w:tcW w:w="1035"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p>
        </w:tc>
        <w:tc>
          <w:tcPr>
            <w:tcW w:w="447" w:type="pct"/>
            <w:tcBorders>
              <w:tl2br w:val="nil"/>
              <w:tr2bl w:val="nil"/>
            </w:tcBorders>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73#</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28.55</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56#</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2260.84</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北支一渠（上）</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19#</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415.68</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20#</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401.82</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21#</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1058.56</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22#</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227.38</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扩建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15#</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989.68</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exact"/>
          <w:jc w:val="center"/>
        </w:trPr>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w:t>
            </w:r>
          </w:p>
        </w:tc>
        <w:tc>
          <w:tcPr>
            <w:tcW w:w="96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eastAsia="Times New Roman"/>
                <w:color w:val="000000" w:themeColor="text1"/>
                <w14:textFill>
                  <w14:solidFill>
                    <w14:schemeClr w14:val="tx1"/>
                  </w14:solidFill>
                </w14:textFill>
              </w:rPr>
              <w:t>16#</w:t>
            </w:r>
            <w:r>
              <w:rPr>
                <w:rFonts w:hint="default" w:ascii="宋体" w:hAnsi="宋体" w:cs="宋体"/>
                <w:color w:val="000000" w:themeColor="text1"/>
                <w14:textFill>
                  <w14:solidFill>
                    <w14:schemeClr w14:val="tx1"/>
                  </w14:solidFill>
                </w14:textFill>
              </w:rPr>
              <w:t>施工便道</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89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泥结石路面</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83.6</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14:textFill>
                  <w14:solidFill>
                    <w14:schemeClr w14:val="tx1"/>
                  </w14:solidFill>
                </w14:textFill>
              </w:rPr>
            </w:pPr>
            <w:r>
              <w:rPr>
                <w:rFonts w:hint="default" w:ascii="宋体" w:hAnsi="宋体" w:cs="宋体"/>
                <w:color w:val="000000" w:themeColor="text1"/>
                <w14:textFill>
                  <w14:solidFill>
                    <w14:schemeClr w14:val="tx1"/>
                  </w14:solidFill>
                </w14:textFill>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7" w:hRule="exact"/>
          <w:jc w:val="center"/>
        </w:trPr>
        <w:tc>
          <w:tcPr>
            <w:tcW w:w="2913" w:type="pct"/>
            <w:gridSpan w:val="4"/>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603"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5712.42</w:t>
            </w:r>
          </w:p>
        </w:tc>
        <w:tc>
          <w:tcPr>
            <w:tcW w:w="1035"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w:t>
            </w:r>
          </w:p>
        </w:tc>
        <w:tc>
          <w:tcPr>
            <w:tcW w:w="447"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w:t>
            </w:r>
          </w:p>
        </w:tc>
      </w:tr>
    </w:tbl>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24" w:name="_Toc18678"/>
      <w:bookmarkStart w:id="325" w:name="_Toc70496271"/>
      <w:bookmarkStart w:id="326" w:name="_Toc7759"/>
      <w:bookmarkStart w:id="327" w:name="_Toc15492"/>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4</w:t>
      </w:r>
      <w:r>
        <w:rPr>
          <w:rFonts w:eastAsia="黑体"/>
          <w:b/>
          <w:color w:val="000000" w:themeColor="text1"/>
          <w:kern w:val="0"/>
          <w:sz w:val="28"/>
          <w:szCs w:val="24"/>
          <w14:textFill>
            <w14:solidFill>
              <w14:schemeClr w14:val="tx1"/>
            </w14:solidFill>
          </w14:textFill>
        </w:rPr>
        <w:t>.2施工导流</w:t>
      </w:r>
      <w:bookmarkEnd w:id="324"/>
      <w:bookmarkEnd w:id="325"/>
      <w:bookmarkEnd w:id="326"/>
      <w:bookmarkEnd w:id="327"/>
    </w:p>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1、水文特性</w:t>
      </w:r>
    </w:p>
    <w:p>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成都市年总降水量为798.3~1541.0mm，雨量主要集中在7~8月，约占全年降水量的一半，暴雨期普遍出现在5~8月。</w:t>
      </w:r>
    </w:p>
    <w:p>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流域洪水主要由暴雨形成。洪水量级的大小，受鹿头山暴雨区的影响。根据暴雨洪水发生的规律和天气变化的因素，暴雨集中在6~10月，相应的在这时期形成洪水。由于暴雨集中、强度大，一般暴雨过程1~2天，洪水汇流快，因此洪水过程呈现陡涨陡落，峰型尖瘦，峰顶持续时间短的特点，多呈单峰过程。</w:t>
      </w:r>
    </w:p>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2、导流标准</w:t>
      </w:r>
    </w:p>
    <w:p>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本次工程不涉及排洪河渠，综合考虑渠道、渠系建筑物的施工条件，选择在非灌溉时段施工。</w:t>
      </w:r>
    </w:p>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w:t>
      </w:r>
      <w:r>
        <w:rPr>
          <w:b/>
          <w:color w:val="000000" w:themeColor="text1"/>
          <w:sz w:val="24"/>
          <w14:textFill>
            <w14:solidFill>
              <w14:schemeClr w14:val="tx1"/>
            </w14:solidFill>
          </w14:textFill>
        </w:rPr>
        <w:t>导流</w:t>
      </w:r>
      <w:r>
        <w:rPr>
          <w:rFonts w:hint="eastAsia"/>
          <w:b/>
          <w:color w:val="000000" w:themeColor="text1"/>
          <w:sz w:val="24"/>
          <w14:textFill>
            <w14:solidFill>
              <w14:schemeClr w14:val="tx1"/>
            </w14:solidFill>
          </w14:textFill>
        </w:rPr>
        <w:t>方式</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根据工程建筑物布置位置及渠道特性，导流方式如下：</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本工程主要建设内容包括灌排工程和渠系建筑物工程。</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（1）灌排工程</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渠道施工期间利用非灌溉期，期间不再从上游引水，渠内水量主要为周边汇水和自然降水，流量较小，对临时积水可采用水泵抽排方式。</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（2）渠系建筑物工程</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本工程涉及的建筑物主包括箱涵、水闸和排水口，渠系建筑物利用非汛期非灌溉时段施工，且未涉及排洪河（渠）道，流量较小，对所在渠道水位较高的渠系建筑物上下游填筑围堰，利用水泵定期抽排基坑积水、渗水的方式实现干地施工。</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导流方式统计情况如下表所示</w:t>
      </w:r>
      <w:r>
        <w:rPr>
          <w:rFonts w:hint="eastAsia"/>
          <w:bCs/>
          <w:color w:val="000000" w:themeColor="text1"/>
          <w:sz w:val="24"/>
          <w14:textFill>
            <w14:solidFill>
              <w14:schemeClr w14:val="tx1"/>
            </w14:solidFill>
          </w14:textFill>
        </w:rPr>
        <w:t>：</w:t>
      </w:r>
    </w:p>
    <w:p>
      <w:pPr>
        <w:autoSpaceDE/>
        <w:autoSpaceDN/>
        <w:adjustRightInd w:val="0"/>
        <w:snapToGrid w:val="0"/>
        <w:ind w:firstLine="480" w:firstLineChars="200"/>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表2.4-2导流方式统计表</w:t>
      </w:r>
    </w:p>
    <w:tbl>
      <w:tblPr>
        <w:tblStyle w:val="38"/>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76"/>
        <w:gridCol w:w="2903"/>
        <w:gridCol w:w="1744"/>
        <w:gridCol w:w="277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528" w:type="pct"/>
            <w:vMerge w:val="restart"/>
            <w:tcBorders>
              <w:tl2br w:val="nil"/>
              <w:tr2bl w:val="nil"/>
            </w:tcBorders>
          </w:tcPr>
          <w:p>
            <w:pPr>
              <w:pStyle w:val="60"/>
              <w:keepNext w:val="0"/>
              <w:keepLines w:val="0"/>
              <w:suppressLineNumbers w:val="0"/>
              <w:spacing w:before="148" w:beforeAutospacing="0" w:after="0" w:afterAutospacing="0"/>
              <w:ind w:left="264" w:right="0"/>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1748" w:type="pct"/>
            <w:vMerge w:val="restart"/>
            <w:tcBorders>
              <w:tl2br w:val="nil"/>
              <w:tr2bl w:val="nil"/>
            </w:tcBorders>
          </w:tcPr>
          <w:p>
            <w:pPr>
              <w:pStyle w:val="60"/>
              <w:keepNext w:val="0"/>
              <w:keepLines w:val="0"/>
              <w:suppressLineNumbers w:val="0"/>
              <w:spacing w:before="148" w:beforeAutospacing="0" w:after="0" w:afterAutospacing="0"/>
              <w:ind w:left="2"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河流名称</w:t>
            </w:r>
          </w:p>
        </w:tc>
        <w:tc>
          <w:tcPr>
            <w:tcW w:w="2723" w:type="pct"/>
            <w:gridSpan w:val="2"/>
            <w:tcBorders>
              <w:tl2br w:val="nil"/>
              <w:tr2bl w:val="nil"/>
            </w:tcBorders>
          </w:tcPr>
          <w:p>
            <w:pPr>
              <w:pStyle w:val="60"/>
              <w:keepNext w:val="0"/>
              <w:keepLines w:val="0"/>
              <w:suppressLineNumbers w:val="0"/>
              <w:spacing w:before="0" w:beforeAutospacing="0" w:after="0" w:afterAutospacing="0" w:line="262" w:lineRule="exact"/>
              <w:ind w:left="2"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导流方式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528" w:type="pct"/>
            <w:vMerge w:val="continue"/>
            <w:tcBorders>
              <w:tl2br w:val="nil"/>
              <w:tr2bl w:val="nil"/>
            </w:tcBorders>
          </w:tcPr>
          <w:p>
            <w:pPr>
              <w:keepNext w:val="0"/>
              <w:keepLines w:val="0"/>
              <w:suppressLineNumbers w:val="0"/>
              <w:spacing w:before="0" w:beforeAutospacing="0" w:after="0" w:afterAutospacing="0"/>
              <w:ind w:left="0" w:right="0" w:firstLine="480"/>
              <w:rPr>
                <w:rFonts w:hint="default"/>
                <w:b/>
                <w:bCs/>
                <w:color w:val="000000" w:themeColor="text1"/>
                <w14:textFill>
                  <w14:solidFill>
                    <w14:schemeClr w14:val="tx1"/>
                  </w14:solidFill>
                </w14:textFill>
              </w:rPr>
            </w:pPr>
          </w:p>
        </w:tc>
        <w:tc>
          <w:tcPr>
            <w:tcW w:w="1748" w:type="pct"/>
            <w:vMerge w:val="continue"/>
            <w:tcBorders>
              <w:tl2br w:val="nil"/>
              <w:tr2bl w:val="nil"/>
            </w:tcBorders>
          </w:tcPr>
          <w:p>
            <w:pPr>
              <w:keepNext w:val="0"/>
              <w:keepLines w:val="0"/>
              <w:suppressLineNumbers w:val="0"/>
              <w:spacing w:before="0" w:beforeAutospacing="0" w:after="0" w:afterAutospacing="0"/>
              <w:ind w:left="0" w:right="0" w:firstLine="480"/>
              <w:rPr>
                <w:rFonts w:hint="default"/>
                <w:b/>
                <w:bCs/>
                <w:color w:val="000000" w:themeColor="text1"/>
                <w14:textFill>
                  <w14:solidFill>
                    <w14:schemeClr w14:val="tx1"/>
                  </w14:solidFill>
                </w14:textFill>
              </w:rPr>
            </w:pPr>
          </w:p>
        </w:tc>
        <w:tc>
          <w:tcPr>
            <w:tcW w:w="1050" w:type="pct"/>
            <w:tcBorders>
              <w:tl2br w:val="nil"/>
              <w:tr2bl w:val="nil"/>
            </w:tcBorders>
          </w:tcPr>
          <w:p>
            <w:pPr>
              <w:pStyle w:val="60"/>
              <w:keepNext w:val="0"/>
              <w:keepLines w:val="0"/>
              <w:suppressLineNumbers w:val="0"/>
              <w:spacing w:before="0" w:beforeAutospacing="0" w:after="0" w:afterAutospacing="0" w:line="262" w:lineRule="exact"/>
              <w:ind w:left="420" w:right="0"/>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河渠道施工</w:t>
            </w:r>
          </w:p>
        </w:tc>
        <w:tc>
          <w:tcPr>
            <w:tcW w:w="1672" w:type="pct"/>
            <w:tcBorders>
              <w:tl2br w:val="nil"/>
              <w:tr2bl w:val="nil"/>
            </w:tcBorders>
          </w:tcPr>
          <w:p>
            <w:pPr>
              <w:pStyle w:val="60"/>
              <w:keepNext w:val="0"/>
              <w:keepLines w:val="0"/>
              <w:suppressLineNumbers w:val="0"/>
              <w:spacing w:before="0" w:beforeAutospacing="0" w:after="0" w:afterAutospacing="0" w:line="262" w:lineRule="exact"/>
              <w:ind w:left="984" w:right="0"/>
              <w:jc w:val="left"/>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建筑物施工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528"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748" w:type="pct"/>
            <w:tcBorders>
              <w:tl2br w:val="nil"/>
              <w:tr2bl w:val="nil"/>
            </w:tcBorders>
          </w:tcPr>
          <w:p>
            <w:pPr>
              <w:pStyle w:val="60"/>
              <w:keepNext w:val="0"/>
              <w:keepLines w:val="0"/>
              <w:suppressLineNumbers w:val="0"/>
              <w:spacing w:before="0" w:beforeAutospacing="0" w:after="0" w:afterAutospacing="0" w:line="262" w:lineRule="exact"/>
              <w:ind w:left="633"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p>
        </w:tc>
        <w:tc>
          <w:tcPr>
            <w:tcW w:w="1050" w:type="pct"/>
            <w:tcBorders>
              <w:tl2br w:val="nil"/>
              <w:tr2bl w:val="nil"/>
            </w:tcBorders>
          </w:tcPr>
          <w:p>
            <w:pPr>
              <w:pStyle w:val="60"/>
              <w:keepNext w:val="0"/>
              <w:keepLines w:val="0"/>
              <w:suppressLineNumbers w:val="0"/>
              <w:spacing w:before="0" w:beforeAutospacing="0" w:after="0" w:afterAutospacing="0" w:line="262" w:lineRule="exact"/>
              <w:ind w:left="52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水泵抽排</w:t>
            </w:r>
          </w:p>
        </w:tc>
        <w:tc>
          <w:tcPr>
            <w:tcW w:w="1672" w:type="pct"/>
            <w:tcBorders>
              <w:tl2br w:val="nil"/>
              <w:tr2bl w:val="nil"/>
            </w:tcBorders>
          </w:tcPr>
          <w:p>
            <w:pPr>
              <w:pStyle w:val="60"/>
              <w:keepNext w:val="0"/>
              <w:keepLines w:val="0"/>
              <w:suppressLineNumbers w:val="0"/>
              <w:spacing w:before="0" w:beforeAutospacing="0" w:after="0" w:afterAutospacing="0" w:line="278" w:lineRule="exact"/>
              <w:ind w:left="61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围堰拦断</w:t>
            </w:r>
            <w:r>
              <w:rPr>
                <w:rFonts w:hint="default" w:eastAsia="Times New Roman"/>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水泵抽排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4" w:hRule="exact"/>
        </w:trPr>
        <w:tc>
          <w:tcPr>
            <w:tcW w:w="528"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748" w:type="pct"/>
            <w:tcBorders>
              <w:tl2br w:val="nil"/>
              <w:tr2bl w:val="nil"/>
            </w:tcBorders>
          </w:tcPr>
          <w:p>
            <w:pPr>
              <w:pStyle w:val="60"/>
              <w:keepNext w:val="0"/>
              <w:keepLines w:val="0"/>
              <w:suppressLineNumbers w:val="0"/>
              <w:spacing w:before="0" w:beforeAutospacing="0" w:after="0" w:afterAutospacing="0" w:line="262" w:lineRule="exact"/>
              <w:ind w:left="633"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1050" w:type="pct"/>
            <w:tcBorders>
              <w:tl2br w:val="nil"/>
              <w:tr2bl w:val="nil"/>
            </w:tcBorders>
          </w:tcPr>
          <w:p>
            <w:pPr>
              <w:pStyle w:val="60"/>
              <w:keepNext w:val="0"/>
              <w:keepLines w:val="0"/>
              <w:suppressLineNumbers w:val="0"/>
              <w:spacing w:before="0" w:beforeAutospacing="0" w:after="0" w:afterAutospacing="0" w:line="262" w:lineRule="exact"/>
              <w:ind w:left="52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水泵抽排</w:t>
            </w:r>
          </w:p>
        </w:tc>
        <w:tc>
          <w:tcPr>
            <w:tcW w:w="1672" w:type="pct"/>
            <w:tcBorders>
              <w:tl2br w:val="nil"/>
              <w:tr2bl w:val="nil"/>
            </w:tcBorders>
          </w:tcPr>
          <w:p>
            <w:pPr>
              <w:pStyle w:val="60"/>
              <w:keepNext w:val="0"/>
              <w:keepLines w:val="0"/>
              <w:suppressLineNumbers w:val="0"/>
              <w:spacing w:before="0" w:beforeAutospacing="0" w:after="0" w:afterAutospacing="0" w:line="278" w:lineRule="exact"/>
              <w:ind w:left="61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围堰拦断</w:t>
            </w:r>
            <w:r>
              <w:rPr>
                <w:rFonts w:hint="default" w:eastAsia="Times New Roman"/>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水泵抽排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4" w:hRule="exact"/>
        </w:trPr>
        <w:tc>
          <w:tcPr>
            <w:tcW w:w="528"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748" w:type="pct"/>
            <w:tcBorders>
              <w:tl2br w:val="nil"/>
              <w:tr2bl w:val="nil"/>
            </w:tcBorders>
          </w:tcPr>
          <w:p>
            <w:pPr>
              <w:pStyle w:val="60"/>
              <w:keepNext w:val="0"/>
              <w:keepLines w:val="0"/>
              <w:suppressLineNumbers w:val="0"/>
              <w:spacing w:before="0" w:beforeAutospacing="0" w:after="0" w:afterAutospacing="0" w:line="262" w:lineRule="exact"/>
              <w:ind w:left="84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北支一渠（上）</w:t>
            </w:r>
          </w:p>
        </w:tc>
        <w:tc>
          <w:tcPr>
            <w:tcW w:w="1050" w:type="pct"/>
            <w:tcBorders>
              <w:tl2br w:val="nil"/>
              <w:tr2bl w:val="nil"/>
            </w:tcBorders>
          </w:tcPr>
          <w:p>
            <w:pPr>
              <w:pStyle w:val="60"/>
              <w:keepNext w:val="0"/>
              <w:keepLines w:val="0"/>
              <w:suppressLineNumbers w:val="0"/>
              <w:spacing w:before="0" w:beforeAutospacing="0" w:after="0" w:afterAutospacing="0" w:line="262" w:lineRule="exact"/>
              <w:ind w:left="52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水泵抽排</w:t>
            </w:r>
          </w:p>
        </w:tc>
        <w:tc>
          <w:tcPr>
            <w:tcW w:w="1672" w:type="pct"/>
            <w:tcBorders>
              <w:tl2br w:val="nil"/>
              <w:tr2bl w:val="nil"/>
            </w:tcBorders>
          </w:tcPr>
          <w:p>
            <w:pPr>
              <w:pStyle w:val="60"/>
              <w:keepNext w:val="0"/>
              <w:keepLines w:val="0"/>
              <w:suppressLineNumbers w:val="0"/>
              <w:spacing w:before="0" w:beforeAutospacing="0" w:after="0" w:afterAutospacing="0" w:line="278" w:lineRule="exact"/>
              <w:ind w:left="61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围堰拦断</w:t>
            </w:r>
            <w:r>
              <w:rPr>
                <w:rFonts w:hint="default" w:eastAsia="Times New Roman"/>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水泵抽排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4" w:hRule="exact"/>
        </w:trPr>
        <w:tc>
          <w:tcPr>
            <w:tcW w:w="528"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1748" w:type="pct"/>
            <w:tcBorders>
              <w:tl2br w:val="nil"/>
              <w:tr2bl w:val="nil"/>
            </w:tcBorders>
          </w:tcPr>
          <w:p>
            <w:pPr>
              <w:pStyle w:val="60"/>
              <w:keepNext w:val="0"/>
              <w:keepLines w:val="0"/>
              <w:suppressLineNumbers w:val="0"/>
              <w:spacing w:before="0" w:beforeAutospacing="0" w:after="0" w:afterAutospacing="0" w:line="262" w:lineRule="exact"/>
              <w:ind w:left="2"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1050" w:type="pct"/>
            <w:tcBorders>
              <w:tl2br w:val="nil"/>
              <w:tr2bl w:val="nil"/>
            </w:tcBorders>
          </w:tcPr>
          <w:p>
            <w:pPr>
              <w:pStyle w:val="60"/>
              <w:keepNext w:val="0"/>
              <w:keepLines w:val="0"/>
              <w:suppressLineNumbers w:val="0"/>
              <w:spacing w:before="0" w:beforeAutospacing="0" w:after="0" w:afterAutospacing="0" w:line="262" w:lineRule="exact"/>
              <w:ind w:left="52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水泵抽排</w:t>
            </w:r>
          </w:p>
        </w:tc>
        <w:tc>
          <w:tcPr>
            <w:tcW w:w="1672" w:type="pct"/>
            <w:tcBorders>
              <w:tl2br w:val="nil"/>
              <w:tr2bl w:val="nil"/>
            </w:tcBorders>
          </w:tcPr>
          <w:p>
            <w:pPr>
              <w:pStyle w:val="60"/>
              <w:keepNext w:val="0"/>
              <w:keepLines w:val="0"/>
              <w:suppressLineNumbers w:val="0"/>
              <w:spacing w:before="0" w:beforeAutospacing="0" w:after="0" w:afterAutospacing="0" w:line="278" w:lineRule="exact"/>
              <w:ind w:left="61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围堰拦断</w:t>
            </w:r>
            <w:r>
              <w:rPr>
                <w:rFonts w:hint="default" w:eastAsia="Times New Roman"/>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水泵抽排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4" w:hRule="exact"/>
        </w:trPr>
        <w:tc>
          <w:tcPr>
            <w:tcW w:w="528" w:type="pct"/>
            <w:tcBorders>
              <w:tl2br w:val="nil"/>
              <w:tr2bl w:val="nil"/>
            </w:tcBorders>
          </w:tcPr>
          <w:p>
            <w:pPr>
              <w:pStyle w:val="60"/>
              <w:keepNext w:val="0"/>
              <w:keepLines w:val="0"/>
              <w:suppressLineNumbers w:val="0"/>
              <w:spacing w:before="36"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1748" w:type="pct"/>
            <w:tcBorders>
              <w:tl2br w:val="nil"/>
              <w:tr2bl w:val="nil"/>
            </w:tcBorders>
          </w:tcPr>
          <w:p>
            <w:pPr>
              <w:pStyle w:val="60"/>
              <w:keepNext w:val="0"/>
              <w:keepLines w:val="0"/>
              <w:suppressLineNumbers w:val="0"/>
              <w:spacing w:before="0" w:beforeAutospacing="0" w:after="0" w:afterAutospacing="0" w:line="265" w:lineRule="exact"/>
              <w:ind w:left="2"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1050" w:type="pct"/>
            <w:tcBorders>
              <w:tl2br w:val="nil"/>
              <w:tr2bl w:val="nil"/>
            </w:tcBorders>
          </w:tcPr>
          <w:p>
            <w:pPr>
              <w:pStyle w:val="60"/>
              <w:keepNext w:val="0"/>
              <w:keepLines w:val="0"/>
              <w:suppressLineNumbers w:val="0"/>
              <w:spacing w:before="0" w:beforeAutospacing="0" w:after="0" w:afterAutospacing="0" w:line="265" w:lineRule="exact"/>
              <w:ind w:left="525"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水泵抽排</w:t>
            </w:r>
          </w:p>
        </w:tc>
        <w:tc>
          <w:tcPr>
            <w:tcW w:w="1672" w:type="pct"/>
            <w:tcBorders>
              <w:tl2br w:val="nil"/>
              <w:tr2bl w:val="nil"/>
            </w:tcBorders>
          </w:tcPr>
          <w:p>
            <w:pPr>
              <w:pStyle w:val="60"/>
              <w:keepNext w:val="0"/>
              <w:keepLines w:val="0"/>
              <w:suppressLineNumbers w:val="0"/>
              <w:spacing w:before="0" w:beforeAutospacing="0" w:after="0" w:afterAutospacing="0" w:line="281" w:lineRule="exact"/>
              <w:ind w:left="612" w:right="0"/>
              <w:jc w:val="left"/>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围堰拦断</w:t>
            </w:r>
            <w:r>
              <w:rPr>
                <w:rFonts w:hint="default" w:eastAsia="Times New Roman"/>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水泵抽排</w:t>
            </w:r>
          </w:p>
        </w:tc>
      </w:tr>
    </w:tbl>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4、导流建筑物设计</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工程中建筑物施工时用到围堰，建筑物工程主要包括水闸、箱涵、排水口等，采用土石围堰一次拦断，由水泵抽排水至下游的方式导流。横向围堰采用土石围堰，围堰顶宽1m，围堰迎水面、背水面坡度均为1:1.5，上游挡水围堰内设复合土工膜防渗。</w:t>
      </w:r>
    </w:p>
    <w:p>
      <w:pPr>
        <w:adjustRightInd w:val="0"/>
        <w:snapToGrid w:val="0"/>
        <w:spacing w:line="360" w:lineRule="auto"/>
        <w:jc w:val="center"/>
        <w:rPr>
          <w:bCs/>
          <w:color w:val="000000" w:themeColor="text1"/>
          <w:sz w:val="24"/>
          <w14:textFill>
            <w14:solidFill>
              <w14:schemeClr w14:val="tx1"/>
            </w14:solidFill>
          </w14:textFill>
        </w:rPr>
      </w:pPr>
      <w:r>
        <w:rPr>
          <w:rFonts w:ascii="宋体" w:hAnsi="宋体" w:cs="宋体"/>
          <w:color w:val="000000" w:themeColor="text1"/>
          <w:position w:val="-62"/>
          <w:sz w:val="20"/>
          <w:szCs w:val="20"/>
          <w14:textFill>
            <w14:solidFill>
              <w14:schemeClr w14:val="tx1"/>
            </w14:solidFill>
          </w14:textFill>
        </w:rPr>
        <w:drawing>
          <wp:inline distT="0" distB="0" distL="0" distR="0">
            <wp:extent cx="5232400" cy="1820545"/>
            <wp:effectExtent l="0" t="0" r="6350" b="8255"/>
            <wp:docPr id="1085"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545.png"/>
                    <pic:cNvPicPr>
                      <a:picLocks noChangeAspect="1"/>
                    </pic:cNvPicPr>
                  </pic:nvPicPr>
                  <pic:blipFill>
                    <a:blip r:embed="rId53" cstate="print"/>
                    <a:stretch>
                      <a:fillRect/>
                    </a:stretch>
                  </pic:blipFill>
                  <pic:spPr>
                    <a:xfrm>
                      <a:off x="0" y="0"/>
                      <a:ext cx="5232400" cy="1820545"/>
                    </a:xfrm>
                    <a:prstGeom prst="rect">
                      <a:avLst/>
                    </a:prstGeom>
                  </pic:spPr>
                </pic:pic>
              </a:graphicData>
            </a:graphic>
          </wp:inline>
        </w:drawing>
      </w:r>
    </w:p>
    <w:p>
      <w:pPr>
        <w:autoSpaceDE/>
        <w:autoSpaceDN/>
        <w:adjustRightInd w:val="0"/>
        <w:snapToGrid w:val="0"/>
        <w:ind w:firstLine="480" w:firstLineChars="200"/>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图2.4-1临时围堰大样图</w:t>
      </w:r>
    </w:p>
    <w:p>
      <w:pPr>
        <w:autoSpaceDE/>
        <w:autoSpaceDN/>
        <w:adjustRightInd w:val="0"/>
        <w:snapToGrid w:val="0"/>
        <w:ind w:firstLine="480" w:firstLineChars="200"/>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表2.4-3导流工程量统计表</w:t>
      </w:r>
    </w:p>
    <w:tbl>
      <w:tblPr>
        <w:tblStyle w:val="38"/>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50"/>
        <w:gridCol w:w="2994"/>
        <w:gridCol w:w="1950"/>
        <w:gridCol w:w="18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6" w:hRule="exact"/>
        </w:trPr>
        <w:tc>
          <w:tcPr>
            <w:tcW w:w="933" w:type="pct"/>
            <w:tcBorders>
              <w:tl2br w:val="nil"/>
              <w:tr2bl w:val="nil"/>
            </w:tcBorders>
          </w:tcPr>
          <w:p>
            <w:pPr>
              <w:pStyle w:val="60"/>
              <w:keepNext w:val="0"/>
              <w:keepLines w:val="0"/>
              <w:suppressLineNumbers w:val="0"/>
              <w:spacing w:before="0" w:beforeAutospacing="0" w:after="0" w:afterAutospacing="0" w:line="262" w:lineRule="exact"/>
              <w:ind w:left="2"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序号</w:t>
            </w:r>
          </w:p>
        </w:tc>
        <w:tc>
          <w:tcPr>
            <w:tcW w:w="1802" w:type="pct"/>
            <w:tcBorders>
              <w:tl2br w:val="nil"/>
              <w:tr2bl w:val="nil"/>
            </w:tcBorders>
          </w:tcPr>
          <w:p>
            <w:pPr>
              <w:pStyle w:val="60"/>
              <w:keepNext w:val="0"/>
              <w:keepLines w:val="0"/>
              <w:suppressLineNumbers w:val="0"/>
              <w:spacing w:before="0" w:beforeAutospacing="0" w:after="0" w:afterAutospacing="0" w:line="262" w:lineRule="exact"/>
              <w:ind w:left="4"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项目名称</w:t>
            </w:r>
          </w:p>
        </w:tc>
        <w:tc>
          <w:tcPr>
            <w:tcW w:w="1174" w:type="pct"/>
            <w:tcBorders>
              <w:tl2br w:val="nil"/>
              <w:tr2bl w:val="nil"/>
            </w:tcBorders>
          </w:tcPr>
          <w:p>
            <w:pPr>
              <w:pStyle w:val="60"/>
              <w:keepNext w:val="0"/>
              <w:keepLines w:val="0"/>
              <w:suppressLineNumbers w:val="0"/>
              <w:spacing w:before="0" w:beforeAutospacing="0" w:after="0" w:afterAutospacing="0" w:line="262" w:lineRule="exact"/>
              <w:ind w:left="0" w:right="1"/>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单位</w:t>
            </w:r>
          </w:p>
        </w:tc>
        <w:tc>
          <w:tcPr>
            <w:tcW w:w="1088" w:type="pct"/>
            <w:tcBorders>
              <w:tl2br w:val="nil"/>
              <w:tr2bl w:val="nil"/>
            </w:tcBorders>
          </w:tcPr>
          <w:p>
            <w:pPr>
              <w:pStyle w:val="60"/>
              <w:keepNext w:val="0"/>
              <w:keepLines w:val="0"/>
              <w:suppressLineNumbers w:val="0"/>
              <w:spacing w:before="0" w:beforeAutospacing="0" w:after="0" w:afterAutospacing="0" w:line="262" w:lineRule="exact"/>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工程量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6" w:hRule="exact"/>
        </w:trPr>
        <w:tc>
          <w:tcPr>
            <w:tcW w:w="933" w:type="pct"/>
            <w:tcBorders>
              <w:tl2br w:val="nil"/>
              <w:tr2bl w:val="nil"/>
            </w:tcBorders>
          </w:tcPr>
          <w:p>
            <w:pPr>
              <w:pStyle w:val="60"/>
              <w:keepNext w:val="0"/>
              <w:keepLines w:val="0"/>
              <w:suppressLineNumbers w:val="0"/>
              <w:spacing w:before="34" w:beforeAutospacing="0" w:after="0" w:afterAutospacing="0"/>
              <w:ind w:left="2"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1802" w:type="pct"/>
            <w:tcBorders>
              <w:tl2br w:val="nil"/>
              <w:tr2bl w:val="nil"/>
            </w:tcBorders>
          </w:tcPr>
          <w:p>
            <w:pPr>
              <w:pStyle w:val="60"/>
              <w:keepNext w:val="0"/>
              <w:keepLines w:val="0"/>
              <w:suppressLineNumbers w:val="0"/>
              <w:spacing w:before="0" w:beforeAutospacing="0" w:after="0" w:afterAutospacing="0" w:line="262" w:lineRule="exact"/>
              <w:ind w:left="4"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围堰填筑</w:t>
            </w:r>
          </w:p>
        </w:tc>
        <w:tc>
          <w:tcPr>
            <w:tcW w:w="1174" w:type="pct"/>
            <w:tcBorders>
              <w:tl2br w:val="nil"/>
              <w:tr2bl w:val="nil"/>
            </w:tcBorders>
          </w:tcPr>
          <w:p>
            <w:pPr>
              <w:pStyle w:val="60"/>
              <w:keepNext w:val="0"/>
              <w:keepLines w:val="0"/>
              <w:suppressLineNumbers w:val="0"/>
              <w:spacing w:before="30" w:beforeAutospacing="0" w:after="0" w:afterAutospacing="0"/>
              <w:ind w:left="0" w:right="4"/>
              <w:rPr>
                <w:rFonts w:hint="default" w:eastAsia="Times New Roman"/>
                <w:color w:val="000000" w:themeColor="text1"/>
                <w:sz w:val="14"/>
                <w:szCs w:val="14"/>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1088"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6" w:hRule="exact"/>
        </w:trPr>
        <w:tc>
          <w:tcPr>
            <w:tcW w:w="933" w:type="pct"/>
            <w:tcBorders>
              <w:tl2br w:val="nil"/>
              <w:tr2bl w:val="nil"/>
            </w:tcBorders>
          </w:tcPr>
          <w:p>
            <w:pPr>
              <w:pStyle w:val="60"/>
              <w:keepNext w:val="0"/>
              <w:keepLines w:val="0"/>
              <w:suppressLineNumbers w:val="0"/>
              <w:spacing w:before="34" w:beforeAutospacing="0" w:after="0" w:afterAutospacing="0"/>
              <w:ind w:left="2"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802" w:type="pct"/>
            <w:tcBorders>
              <w:tl2br w:val="nil"/>
              <w:tr2bl w:val="nil"/>
            </w:tcBorders>
          </w:tcPr>
          <w:p>
            <w:pPr>
              <w:pStyle w:val="60"/>
              <w:keepNext w:val="0"/>
              <w:keepLines w:val="0"/>
              <w:suppressLineNumbers w:val="0"/>
              <w:spacing w:before="0" w:beforeAutospacing="0" w:after="0" w:afterAutospacing="0" w:line="262" w:lineRule="exact"/>
              <w:ind w:left="4"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围堰拆除</w:t>
            </w:r>
          </w:p>
        </w:tc>
        <w:tc>
          <w:tcPr>
            <w:tcW w:w="1174" w:type="pct"/>
            <w:tcBorders>
              <w:tl2br w:val="nil"/>
              <w:tr2bl w:val="nil"/>
            </w:tcBorders>
          </w:tcPr>
          <w:p>
            <w:pPr>
              <w:pStyle w:val="60"/>
              <w:keepNext w:val="0"/>
              <w:keepLines w:val="0"/>
              <w:suppressLineNumbers w:val="0"/>
              <w:spacing w:before="30" w:beforeAutospacing="0" w:after="0" w:afterAutospacing="0"/>
              <w:ind w:left="0" w:right="4"/>
              <w:rPr>
                <w:rFonts w:hint="default" w:eastAsia="Times New Roman"/>
                <w:color w:val="000000" w:themeColor="text1"/>
                <w:sz w:val="14"/>
                <w:szCs w:val="14"/>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3</w:t>
            </w:r>
          </w:p>
        </w:tc>
        <w:tc>
          <w:tcPr>
            <w:tcW w:w="1088"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7" w:hRule="exact"/>
        </w:trPr>
        <w:tc>
          <w:tcPr>
            <w:tcW w:w="933" w:type="pct"/>
            <w:tcBorders>
              <w:tl2br w:val="nil"/>
              <w:tr2bl w:val="nil"/>
            </w:tcBorders>
          </w:tcPr>
          <w:p>
            <w:pPr>
              <w:pStyle w:val="60"/>
              <w:keepNext w:val="0"/>
              <w:keepLines w:val="0"/>
              <w:suppressLineNumbers w:val="0"/>
              <w:spacing w:before="34" w:beforeAutospacing="0" w:after="0" w:afterAutospacing="0"/>
              <w:ind w:left="2"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802" w:type="pct"/>
            <w:tcBorders>
              <w:tl2br w:val="nil"/>
              <w:tr2bl w:val="nil"/>
            </w:tcBorders>
          </w:tcPr>
          <w:p>
            <w:pPr>
              <w:pStyle w:val="60"/>
              <w:keepNext w:val="0"/>
              <w:keepLines w:val="0"/>
              <w:suppressLineNumbers w:val="0"/>
              <w:spacing w:before="0" w:beforeAutospacing="0" w:after="0" w:afterAutospacing="0" w:line="262" w:lineRule="exact"/>
              <w:ind w:left="4"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复合土工膜</w:t>
            </w:r>
          </w:p>
        </w:tc>
        <w:tc>
          <w:tcPr>
            <w:tcW w:w="1174" w:type="pct"/>
            <w:tcBorders>
              <w:tl2br w:val="nil"/>
              <w:tr2bl w:val="nil"/>
            </w:tcBorders>
          </w:tcPr>
          <w:p>
            <w:pPr>
              <w:pStyle w:val="60"/>
              <w:keepNext w:val="0"/>
              <w:keepLines w:val="0"/>
              <w:suppressLineNumbers w:val="0"/>
              <w:spacing w:before="30" w:beforeAutospacing="0" w:after="0" w:afterAutospacing="0"/>
              <w:ind w:left="0" w:right="4"/>
              <w:rPr>
                <w:rFonts w:hint="default" w:eastAsia="Times New Roman"/>
                <w:color w:val="000000" w:themeColor="text1"/>
                <w:sz w:val="14"/>
                <w:szCs w:val="14"/>
                <w14:textFill>
                  <w14:solidFill>
                    <w14:schemeClr w14:val="tx1"/>
                  </w14:solidFill>
                </w14:textFill>
              </w:rPr>
            </w:pPr>
            <w:r>
              <w:rPr>
                <w:rFonts w:hint="default"/>
                <w:color w:val="000000" w:themeColor="text1"/>
                <w:position w:val="-6"/>
                <w14:textFill>
                  <w14:solidFill>
                    <w14:schemeClr w14:val="tx1"/>
                  </w14:solidFill>
                </w14:textFill>
              </w:rPr>
              <w:t>m</w:t>
            </w:r>
            <w:r>
              <w:rPr>
                <w:rFonts w:hint="default"/>
                <w:color w:val="000000" w:themeColor="text1"/>
                <w:sz w:val="14"/>
                <w14:textFill>
                  <w14:solidFill>
                    <w14:schemeClr w14:val="tx1"/>
                  </w14:solidFill>
                </w14:textFill>
              </w:rPr>
              <w:t>2</w:t>
            </w:r>
          </w:p>
        </w:tc>
        <w:tc>
          <w:tcPr>
            <w:tcW w:w="1088" w:type="pct"/>
            <w:tcBorders>
              <w:tl2br w:val="nil"/>
              <w:tr2bl w:val="nil"/>
            </w:tcBorders>
          </w:tcPr>
          <w:p>
            <w:pPr>
              <w:pStyle w:val="60"/>
              <w:keepNext w:val="0"/>
              <w:keepLines w:val="0"/>
              <w:suppressLineNumbers w:val="0"/>
              <w:spacing w:before="34"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238</w:t>
            </w:r>
          </w:p>
        </w:tc>
      </w:tr>
    </w:tbl>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5、导流建筑物施工</w:t>
      </w:r>
    </w:p>
    <w:p>
      <w:pPr>
        <w:adjustRightInd w:val="0"/>
        <w:snapToGrid w:val="0"/>
        <w:spacing w:line="360" w:lineRule="auto"/>
        <w:ind w:firstLine="480" w:firstLineChars="200"/>
        <w:jc w:val="both"/>
        <w:rPr>
          <w:bCs/>
          <w:color w:val="000000" w:themeColor="text1"/>
          <w:sz w:val="24"/>
          <w14:textFill>
            <w14:solidFill>
              <w14:schemeClr w14:val="tx1"/>
            </w14:solidFill>
          </w14:textFill>
        </w:rPr>
      </w:pPr>
      <w:r>
        <w:rPr>
          <w:rFonts w:hint="eastAsia"/>
          <w:bCs/>
          <w:color w:val="000000" w:themeColor="text1"/>
          <w:sz w:val="24"/>
          <w:szCs w:val="24"/>
          <w14:textFill>
            <w14:solidFill>
              <w14:schemeClr w14:val="tx1"/>
            </w14:solidFill>
          </w14:textFill>
        </w:rPr>
        <w:t>土石围堰填筑：</w:t>
      </w:r>
      <w:r>
        <w:rPr>
          <w:bCs/>
          <w:color w:val="000000" w:themeColor="text1"/>
          <w:sz w:val="24"/>
          <w14:textFill>
            <w14:solidFill>
              <w14:schemeClr w14:val="tx1"/>
            </w14:solidFill>
          </w14:textFill>
        </w:rPr>
        <w:t>围堰填筑利用开挖料，现场采用1m</w:t>
      </w:r>
      <w:r>
        <w:rPr>
          <w:bCs/>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挖掘机开挖土料，辅以74KW推土机集料推运至回填面，14t振动碾振动压实。</w:t>
      </w:r>
    </w:p>
    <w:p>
      <w:pPr>
        <w:pStyle w:val="14"/>
        <w:autoSpaceDE/>
        <w:autoSpaceDN/>
        <w:adjustRightInd w:val="0"/>
        <w:snapToGrid w:val="0"/>
        <w:spacing w:line="360" w:lineRule="auto"/>
        <w:ind w:firstLine="480" w:firstLineChars="20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编织袋装土石填筑：拟采用人工挖装覆盖层开挖的弃土方，人工推胶轮车运输，人工堆筑。</w:t>
      </w:r>
    </w:p>
    <w:p>
      <w:pPr>
        <w:pStyle w:val="14"/>
        <w:autoSpaceDE/>
        <w:autoSpaceDN/>
        <w:adjustRightInd w:val="0"/>
        <w:snapToGrid w:val="0"/>
        <w:spacing w:line="360" w:lineRule="auto"/>
        <w:ind w:firstLine="480" w:firstLineChars="20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土工膜铺设：采用人工铺设。</w:t>
      </w:r>
    </w:p>
    <w:p>
      <w:pPr>
        <w:adjustRightInd w:val="0"/>
        <w:snapToGrid w:val="0"/>
        <w:spacing w:line="360" w:lineRule="auto"/>
        <w:ind w:firstLine="480" w:firstLineChars="200"/>
        <w:jc w:val="both"/>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围堰拆除</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当施工完毕后，采用1m</w:t>
      </w:r>
      <w:r>
        <w:rPr>
          <w:bCs/>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挖掘机拆除，10t自卸汽车运输运送至指定区域，综合运距20km。</w:t>
      </w:r>
    </w:p>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基坑排水</w:t>
      </w:r>
    </w:p>
    <w:p>
      <w:pPr>
        <w:adjustRightInd w:val="0"/>
        <w:snapToGrid w:val="0"/>
        <w:spacing w:line="360" w:lineRule="auto"/>
        <w:ind w:firstLine="480" w:firstLineChars="200"/>
        <w:jc w:val="both"/>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基坑排水，分为基坑开挖前的初期排水和基坑开挖及建筑物施工过程中的经常性排</w:t>
      </w:r>
    </w:p>
    <w:p>
      <w:pPr>
        <w:adjustRightInd w:val="0"/>
        <w:snapToGrid w:val="0"/>
        <w:spacing w:line="360" w:lineRule="auto"/>
        <w:jc w:val="both"/>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水。</w:t>
      </w:r>
    </w:p>
    <w:p>
      <w:pPr>
        <w:adjustRightInd w:val="0"/>
        <w:snapToGrid w:val="0"/>
        <w:spacing w:line="360" w:lineRule="auto"/>
        <w:ind w:firstLine="480" w:firstLineChars="200"/>
        <w:jc w:val="both"/>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初期排水主要为围堰闭气后进行基坑初期排水，包括基坑积水、基础和堰体渗水、</w:t>
      </w:r>
    </w:p>
    <w:p>
      <w:pPr>
        <w:adjustRightInd w:val="0"/>
        <w:snapToGrid w:val="0"/>
        <w:spacing w:line="360" w:lineRule="auto"/>
        <w:jc w:val="both"/>
        <w:rPr>
          <w:bCs/>
          <w:color w:val="000000" w:themeColor="text1"/>
          <w:sz w:val="24"/>
          <w14:textFill>
            <w14:solidFill>
              <w14:schemeClr w14:val="tx1"/>
            </w14:solidFill>
          </w14:textFill>
        </w:rPr>
      </w:pPr>
      <w:bookmarkStart w:id="328" w:name="br1_7_0"/>
      <w:bookmarkEnd w:id="328"/>
      <w:bookmarkStart w:id="329" w:name="br1_6_0"/>
      <w:bookmarkEnd w:id="329"/>
      <w:r>
        <w:rPr>
          <w:bCs/>
          <w:color w:val="000000" w:themeColor="text1"/>
          <w:sz w:val="24"/>
          <w14:textFill>
            <w14:solidFill>
              <w14:schemeClr w14:val="tx1"/>
            </w14:solidFill>
          </w14:textFill>
        </w:rPr>
        <w:t>围堰接头漏水等。由于非汛期施工，河道流量较小，初期排水的排水量不大。</w:t>
      </w:r>
    </w:p>
    <w:p>
      <w:pPr>
        <w:adjustRightInd w:val="0"/>
        <w:snapToGrid w:val="0"/>
        <w:spacing w:line="360" w:lineRule="auto"/>
        <w:ind w:firstLine="480" w:firstLineChars="200"/>
        <w:jc w:val="both"/>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经常性排水包括基础和围堰渗水、降雨汇水、施工弃水等，为保证基础能在干地施工，应采取相应的排水措施。可在基坑内挖排水沟和集水井，排水明沟沿底部周边布置，集水井设在四角，配备水泵抽排。</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30" w:name="_Toc70496272"/>
      <w:bookmarkStart w:id="331" w:name="_Toc3040"/>
      <w:bookmarkStart w:id="332" w:name="_Toc30095"/>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4</w:t>
      </w:r>
      <w:r>
        <w:rPr>
          <w:rFonts w:eastAsia="黑体"/>
          <w:b/>
          <w:color w:val="000000" w:themeColor="text1"/>
          <w:kern w:val="0"/>
          <w:sz w:val="28"/>
          <w:szCs w:val="24"/>
          <w14:textFill>
            <w14:solidFill>
              <w14:schemeClr w14:val="tx1"/>
            </w14:solidFill>
          </w14:textFill>
        </w:rPr>
        <w:t>.3施工</w:t>
      </w:r>
      <w:bookmarkEnd w:id="330"/>
      <w:bookmarkEnd w:id="331"/>
      <w:r>
        <w:rPr>
          <w:rFonts w:hint="eastAsia" w:eastAsia="黑体"/>
          <w:b/>
          <w:color w:val="000000" w:themeColor="text1"/>
          <w:kern w:val="0"/>
          <w:sz w:val="28"/>
          <w:szCs w:val="24"/>
          <w14:textFill>
            <w14:solidFill>
              <w14:schemeClr w14:val="tx1"/>
            </w14:solidFill>
          </w14:textFill>
        </w:rPr>
        <w:t>总布置</w:t>
      </w:r>
      <w:bookmarkEnd w:id="332"/>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2.4.3.1施工工区</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项目设置1个施工工区，</w:t>
      </w:r>
      <w:r>
        <w:rPr>
          <w:color w:val="000000" w:themeColor="text1"/>
          <w:kern w:val="0"/>
          <w:sz w:val="24"/>
          <w:szCs w:val="24"/>
          <w14:textFill>
            <w14:solidFill>
              <w14:schemeClr w14:val="tx1"/>
            </w14:solidFill>
          </w14:textFill>
        </w:rPr>
        <w:t>位于瓦子堰与遂成线-成昆线铁路交叉处东侧，占地面积约</w:t>
      </w:r>
      <w:r>
        <w:rPr>
          <w:rFonts w:hint="eastAsia"/>
          <w:color w:val="000000" w:themeColor="text1"/>
          <w:kern w:val="0"/>
          <w:sz w:val="24"/>
          <w:szCs w:val="24"/>
          <w14:textFill>
            <w14:solidFill>
              <w14:schemeClr w14:val="tx1"/>
            </w14:solidFill>
          </w14:textFill>
        </w:rPr>
        <w:t>4000</w:t>
      </w:r>
      <w:r>
        <w:rPr>
          <w:color w:val="000000" w:themeColor="text1"/>
          <w:kern w:val="0"/>
          <w:sz w:val="24"/>
          <w:szCs w:val="24"/>
          <w14:textFill>
            <w14:solidFill>
              <w14:schemeClr w14:val="tx1"/>
            </w14:solidFill>
          </w14:textFill>
        </w:rPr>
        <w:t>m</w:t>
      </w:r>
      <w:r>
        <w:rPr>
          <w:color w:val="000000" w:themeColor="text1"/>
          <w:kern w:val="0"/>
          <w:sz w:val="24"/>
          <w:szCs w:val="24"/>
          <w:vertAlign w:val="superscript"/>
          <w14:textFill>
            <w14:solidFill>
              <w14:schemeClr w14:val="tx1"/>
            </w14:solidFill>
          </w14:textFill>
        </w:rPr>
        <w:t>2</w:t>
      </w:r>
      <w:r>
        <w:rPr>
          <w:color w:val="000000" w:themeColor="text1"/>
          <w:kern w:val="0"/>
          <w:sz w:val="24"/>
          <w:szCs w:val="24"/>
          <w14:textFill>
            <w14:solidFill>
              <w14:schemeClr w14:val="tx1"/>
            </w14:solidFill>
          </w14:textFill>
        </w:rPr>
        <w:t>，工区</w:t>
      </w:r>
      <w:r>
        <w:rPr>
          <w:rFonts w:hint="eastAsia"/>
          <w:color w:val="000000" w:themeColor="text1"/>
          <w:kern w:val="0"/>
          <w:sz w:val="24"/>
          <w:szCs w:val="24"/>
          <w14:textFill>
            <w14:solidFill>
              <w14:schemeClr w14:val="tx1"/>
            </w14:solidFill>
          </w14:textFill>
        </w:rPr>
        <w:t>内设置</w:t>
      </w:r>
      <w:r>
        <w:rPr>
          <w:color w:val="000000" w:themeColor="text1"/>
          <w:kern w:val="0"/>
          <w:sz w:val="24"/>
          <w:szCs w:val="24"/>
          <w14:textFill>
            <w14:solidFill>
              <w14:schemeClr w14:val="tx1"/>
            </w14:solidFill>
          </w14:textFill>
        </w:rPr>
        <w:t>综合加工厂（包括木材和钢筋加工厂）、综合仓库、机械停放场</w:t>
      </w:r>
      <w:r>
        <w:rPr>
          <w:rFonts w:hint="eastAsia"/>
          <w:color w:val="000000" w:themeColor="text1"/>
          <w:kern w:val="0"/>
          <w:sz w:val="24"/>
          <w:szCs w:val="24"/>
          <w14:textFill>
            <w14:solidFill>
              <w14:schemeClr w14:val="tx1"/>
            </w14:solidFill>
          </w14:textFill>
        </w:rPr>
        <w:t>区域</w:t>
      </w:r>
      <w:r>
        <w:rPr>
          <w:color w:val="000000" w:themeColor="text1"/>
          <w:kern w:val="0"/>
          <w:sz w:val="24"/>
          <w:szCs w:val="24"/>
          <w14:textFill>
            <w14:solidFill>
              <w14:schemeClr w14:val="tx1"/>
            </w14:solidFill>
          </w14:textFill>
        </w:rPr>
        <w:t>等</w:t>
      </w:r>
      <w:r>
        <w:rPr>
          <w:rFonts w:hint="eastAsia"/>
          <w:color w:val="000000" w:themeColor="text1"/>
          <w:kern w:val="0"/>
          <w:sz w:val="24"/>
          <w:szCs w:val="24"/>
          <w14:textFill>
            <w14:solidFill>
              <w14:schemeClr w14:val="tx1"/>
            </w14:solidFill>
          </w14:textFill>
        </w:rPr>
        <w:t>。项目离成都市城区较近，施工人员大多来自成都市周边，</w:t>
      </w:r>
      <w:r>
        <w:rPr>
          <w:rFonts w:hint="eastAsia"/>
          <w:color w:val="000000" w:themeColor="text1"/>
          <w:kern w:val="0"/>
          <w:sz w:val="24"/>
          <w:szCs w:val="24"/>
          <w:lang w:val="en-US" w:eastAsia="zh-CN"/>
          <w14:textFill>
            <w14:solidFill>
              <w14:schemeClr w14:val="tx1"/>
            </w14:solidFill>
          </w14:textFill>
        </w:rPr>
        <w:t>现场不设施工营地，</w:t>
      </w:r>
      <w:r>
        <w:rPr>
          <w:rFonts w:hint="eastAsia"/>
          <w:color w:val="000000" w:themeColor="text1"/>
          <w:kern w:val="0"/>
          <w:sz w:val="24"/>
          <w:szCs w:val="24"/>
          <w14:textFill>
            <w14:solidFill>
              <w14:schemeClr w14:val="tx1"/>
            </w14:solidFill>
          </w14:textFill>
        </w:rPr>
        <w:t>生活办公用房选择租赁周边民房。</w:t>
      </w:r>
    </w:p>
    <w:p>
      <w:pPr>
        <w:pStyle w:val="14"/>
        <w:spacing w:line="348" w:lineRule="auto"/>
        <w:ind w:right="135" w:firstLine="482"/>
        <w:jc w:val="both"/>
        <w:rPr>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合理性分析：</w:t>
      </w:r>
      <w:r>
        <w:rPr>
          <w:rFonts w:hint="eastAsia"/>
          <w:color w:val="000000" w:themeColor="text1"/>
          <w14:textFill>
            <w14:solidFill>
              <w14:schemeClr w14:val="tx1"/>
            </w14:solidFill>
          </w14:textFill>
        </w:rPr>
        <w:t>工程施工期间沿渠道沿线设置施工</w:t>
      </w:r>
      <w:r>
        <w:rPr>
          <w:rFonts w:hint="eastAsia" w:eastAsia="宋"/>
          <w:color w:val="000000" w:themeColor="text1"/>
          <w14:textFill>
            <w14:solidFill>
              <w14:schemeClr w14:val="tx1"/>
            </w14:solidFill>
          </w14:textFill>
        </w:rPr>
        <w:t>作业带，在瓦子堰与遂成线-成昆线铁路附近布置1个施工工区，不涉及基本农田</w:t>
      </w:r>
      <w:r>
        <w:rPr>
          <w:rFonts w:hint="eastAsia"/>
          <w:color w:val="000000" w:themeColor="text1"/>
          <w:kern w:val="0"/>
          <w14:textFill>
            <w14:solidFill>
              <w14:schemeClr w14:val="tx1"/>
            </w14:solidFill>
          </w14:textFill>
        </w:rPr>
        <w:t>。工区周边200m范围内不存在居民等敏感点</w:t>
      </w:r>
      <w:r>
        <w:rPr>
          <w:rFonts w:hint="eastAsia"/>
          <w:color w:val="000000" w:themeColor="text1"/>
          <w14:textFill>
            <w14:solidFill>
              <w14:schemeClr w14:val="tx1"/>
            </w14:solidFill>
          </w14:textFill>
        </w:rPr>
        <w:t>，施工工区周边</w:t>
      </w:r>
      <w:r>
        <w:rPr>
          <w:rFonts w:hint="eastAsia"/>
          <w:color w:val="000000" w:themeColor="text1"/>
          <w:lang w:val="en-US" w:eastAsia="zh-CN"/>
          <w14:textFill>
            <w14:solidFill>
              <w14:schemeClr w14:val="tx1"/>
            </w14:solidFill>
          </w14:textFill>
        </w:rPr>
        <w:t>交通</w:t>
      </w:r>
      <w:r>
        <w:rPr>
          <w:rFonts w:hint="eastAsia"/>
          <w:color w:val="000000" w:themeColor="text1"/>
          <w14:textFill>
            <w14:solidFill>
              <w14:schemeClr w14:val="tx1"/>
            </w14:solidFill>
          </w14:textFill>
        </w:rPr>
        <w:t>成熟，可利用既有道路出入场，减少了工程占地。</w:t>
      </w:r>
      <w:r>
        <w:rPr>
          <w:rFonts w:hint="eastAsia" w:eastAsia="宋"/>
          <w:color w:val="000000" w:themeColor="text1"/>
          <w14:textFill>
            <w14:solidFill>
              <w14:schemeClr w14:val="tx1"/>
            </w14:solidFill>
          </w14:textFill>
        </w:rPr>
        <w:t>本项目产生的污染物主要为施工期产生的施工扬尘、施工噪声，</w:t>
      </w:r>
      <w:r>
        <w:rPr>
          <w:color w:val="000000" w:themeColor="text1"/>
          <w14:textFill>
            <w14:solidFill>
              <w14:schemeClr w14:val="tx1"/>
            </w14:solidFill>
          </w14:textFill>
        </w:rPr>
        <w:t>通过加强施工管理等措施后，对</w:t>
      </w:r>
      <w:r>
        <w:rPr>
          <w:rFonts w:hint="eastAsia"/>
          <w:color w:val="000000" w:themeColor="text1"/>
          <w14:textFill>
            <w14:solidFill>
              <w14:schemeClr w14:val="tx1"/>
            </w14:solidFill>
          </w14:textFill>
        </w:rPr>
        <w:t>周边外环境</w:t>
      </w:r>
      <w:r>
        <w:rPr>
          <w:color w:val="000000" w:themeColor="text1"/>
          <w14:textFill>
            <w14:solidFill>
              <w14:schemeClr w14:val="tx1"/>
            </w14:solidFill>
          </w14:textFill>
        </w:rPr>
        <w:t>影响较小，且施工期影响短暂，随着施工期的结束而结束，施工期结束后进行迹地恢复。</w:t>
      </w:r>
      <w:r>
        <w:rPr>
          <w:rFonts w:eastAsia="宋"/>
          <w:color w:val="000000" w:themeColor="text1"/>
          <w14:textFill>
            <w14:solidFill>
              <w14:schemeClr w14:val="tx1"/>
            </w14:solidFill>
          </w14:textFill>
        </w:rPr>
        <w:t>因此，项目</w:t>
      </w:r>
      <w:r>
        <w:rPr>
          <w:rFonts w:hint="eastAsia" w:eastAsia="宋"/>
          <w:color w:val="000000" w:themeColor="text1"/>
          <w14:textFill>
            <w14:solidFill>
              <w14:schemeClr w14:val="tx1"/>
            </w14:solidFill>
          </w14:textFill>
        </w:rPr>
        <w:t>施工工区</w:t>
      </w:r>
      <w:r>
        <w:rPr>
          <w:rFonts w:eastAsia="宋"/>
          <w:color w:val="000000" w:themeColor="text1"/>
          <w14:textFill>
            <w14:solidFill>
              <w14:schemeClr w14:val="tx1"/>
            </w14:solidFill>
          </w14:textFill>
        </w:rPr>
        <w:t>选址从环保角度基本可行</w:t>
      </w:r>
      <w:r>
        <w:rPr>
          <w:rFonts w:hint="eastAsia" w:eastAsia="宋"/>
          <w:color w:val="000000" w:themeColor="text1"/>
          <w14:textFill>
            <w14:solidFill>
              <w14:schemeClr w14:val="tx1"/>
            </w14:solidFill>
          </w14:textFill>
        </w:rPr>
        <w:t>。</w:t>
      </w:r>
    </w:p>
    <w:p>
      <w:pPr>
        <w:autoSpaceDE/>
        <w:autoSpaceDN/>
        <w:spacing w:line="360" w:lineRule="auto"/>
        <w:jc w:val="both"/>
        <w:outlineLvl w:val="3"/>
        <w:rPr>
          <w:b/>
          <w:bCs/>
          <w:color w:val="000000" w:themeColor="text1"/>
          <w:kern w:val="0"/>
          <w:sz w:val="24"/>
          <w:szCs w:val="24"/>
          <w14:textFill>
            <w14:solidFill>
              <w14:schemeClr w14:val="tx1"/>
            </w14:solidFill>
          </w14:textFill>
        </w:rPr>
      </w:pPr>
      <w:bookmarkStart w:id="333" w:name="_Toc28959"/>
      <w:bookmarkStart w:id="334" w:name="_Toc70496243"/>
      <w:bookmarkStart w:id="335" w:name="_Toc4368"/>
      <w:bookmarkStart w:id="336" w:name="_Toc15381"/>
      <w:bookmarkStart w:id="337" w:name="_Toc3657"/>
      <w:r>
        <w:rPr>
          <w:rFonts w:hint="eastAsia"/>
          <w:b/>
          <w:bCs/>
          <w:color w:val="000000" w:themeColor="text1"/>
          <w:kern w:val="0"/>
          <w:sz w:val="24"/>
          <w:szCs w:val="24"/>
          <w14:textFill>
            <w14:solidFill>
              <w14:schemeClr w14:val="tx1"/>
            </w14:solidFill>
          </w14:textFill>
        </w:rPr>
        <w:t>2.4.3.2临时堆土场</w:t>
      </w:r>
      <w:bookmarkEnd w:id="333"/>
      <w:bookmarkEnd w:id="334"/>
      <w:bookmarkEnd w:id="335"/>
      <w:bookmarkEnd w:id="336"/>
      <w:bookmarkEnd w:id="337"/>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本项目拟设置</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处</w:t>
      </w:r>
      <w:r>
        <w:rPr>
          <w:rFonts w:hint="eastAsia"/>
          <w:color w:val="000000" w:themeColor="text1"/>
          <w14:textFill>
            <w14:solidFill>
              <w14:schemeClr w14:val="tx1"/>
            </w14:solidFill>
          </w14:textFill>
        </w:rPr>
        <w:t>临时堆土场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依托</w:t>
      </w:r>
      <w:r>
        <w:rPr>
          <w:rFonts w:hint="eastAsia"/>
          <w:color w:val="000000" w:themeColor="text1"/>
          <w:kern w:val="0"/>
          <w:sz w:val="24"/>
          <w:szCs w:val="24"/>
          <w:lang w:bidi="ar"/>
          <w14:textFill>
            <w14:solidFill>
              <w14:schemeClr w14:val="tx1"/>
            </w14:solidFill>
          </w14:textFill>
        </w:rPr>
        <w:t>环城生态区农田综合整治</w:t>
      </w:r>
      <w:r>
        <w:rPr>
          <w:rFonts w:hint="eastAsia"/>
          <w:color w:val="000000" w:themeColor="text1"/>
          <w:kern w:val="0"/>
          <w:sz w:val="24"/>
          <w:szCs w:val="24"/>
          <w:lang w:val="en-US" w:eastAsia="zh-CN" w:bidi="ar"/>
          <w14:textFill>
            <w14:solidFill>
              <w14:schemeClr w14:val="tx1"/>
            </w14:solidFill>
          </w14:textFill>
        </w:rPr>
        <w:t>工程</w:t>
      </w:r>
      <w:r>
        <w:rPr>
          <w:rFonts w:hint="eastAsia"/>
          <w:color w:val="000000" w:themeColor="text1"/>
          <w14:textFill>
            <w14:solidFill>
              <w14:schemeClr w14:val="tx1"/>
            </w14:solidFill>
          </w14:textFill>
        </w:rPr>
        <w:t>1个余土摊平处理区；</w:t>
      </w:r>
      <w:r>
        <w:rPr>
          <w:color w:val="000000" w:themeColor="text1"/>
          <w14:textFill>
            <w14:solidFill>
              <w14:schemeClr w14:val="tx1"/>
            </w14:solidFill>
          </w14:textFill>
        </w:rPr>
        <w:t>分</w:t>
      </w:r>
      <w:r>
        <w:rPr>
          <w:rFonts w:hint="eastAsia"/>
          <w:color w:val="000000" w:themeColor="text1"/>
          <w14:textFill>
            <w14:solidFill>
              <w14:schemeClr w14:val="tx1"/>
            </w14:solidFill>
          </w14:textFill>
        </w:rPr>
        <w:t>别为：董家堰临时堆土场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104.168976245</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30.731823784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、南五、南六余土摊平处理区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104.200197158</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30.680432659</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。董家堰临时堆土场位于位于新都</w:t>
      </w:r>
      <w:r>
        <w:rPr>
          <w:color w:val="000000" w:themeColor="text1"/>
          <w:spacing w:val="-2"/>
          <w14:textFill>
            <w14:solidFill>
              <w14:schemeClr w14:val="tx1"/>
            </w14:solidFill>
          </w14:textFill>
        </w:rPr>
        <w:t>区北支一渠狮子湖水库南侧河段以南区域</w:t>
      </w:r>
      <w:r>
        <w:rPr>
          <w:rFonts w:hint="eastAsia"/>
          <w:color w:val="000000" w:themeColor="text1"/>
          <w:spacing w:val="-2"/>
          <w14:textFill>
            <w14:solidFill>
              <w14:schemeClr w14:val="tx1"/>
            </w14:solidFill>
          </w14:textFill>
        </w:rPr>
        <w:t>，紧邻北支一渠；</w:t>
      </w:r>
      <w:r>
        <w:rPr>
          <w:rFonts w:hint="eastAsia"/>
          <w:color w:val="000000" w:themeColor="text1"/>
          <w14:textFill>
            <w14:solidFill>
              <w14:schemeClr w14:val="tx1"/>
            </w14:solidFill>
          </w14:textFill>
        </w:rPr>
        <w:t>南五、南六余土摊平处理区位于</w:t>
      </w:r>
      <w:r>
        <w:rPr>
          <w:color w:val="000000" w:themeColor="text1"/>
          <w14:textFill>
            <w14:solidFill>
              <w14:schemeClr w14:val="tx1"/>
            </w14:solidFill>
          </w14:textFill>
        </w:rPr>
        <w:t>龙泉驿区东风路与绕城高</w:t>
      </w:r>
      <w:r>
        <w:rPr>
          <w:color w:val="000000" w:themeColor="text1"/>
          <w:spacing w:val="-5"/>
          <w14:textFill>
            <w14:solidFill>
              <w14:schemeClr w14:val="tx1"/>
            </w14:solidFill>
          </w14:textFill>
        </w:rPr>
        <w:t>速交汇处西北</w:t>
      </w:r>
      <w:r>
        <w:rPr>
          <w:rFonts w:hint="eastAsia"/>
          <w:color w:val="000000" w:themeColor="text1"/>
          <w:spacing w:val="-5"/>
          <w14:textFill>
            <w14:solidFill>
              <w14:schemeClr w14:val="tx1"/>
            </w14:solidFill>
          </w14:textFill>
        </w:rPr>
        <w:t>方，现状为一洼地，南侧约109m为一待拆迁区域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无人居住</w:t>
      </w:r>
      <w:r>
        <w:rPr>
          <w:rFonts w:hint="eastAsia"/>
          <w:color w:val="000000" w:themeColor="text1"/>
          <w:spacing w:val="-5"/>
          <w14:textFill>
            <w14:solidFill>
              <w14:schemeClr w14:val="tx1"/>
            </w14:solidFill>
          </w14:textFill>
        </w:rPr>
        <w:t>。</w:t>
      </w:r>
    </w:p>
    <w:p>
      <w:pPr>
        <w:pStyle w:val="14"/>
        <w:adjustRightInd w:val="0"/>
        <w:snapToGrid w:val="0"/>
        <w:spacing w:line="360" w:lineRule="auto"/>
        <w:ind w:firstLine="482" w:firstLineChars="200"/>
        <w:jc w:val="both"/>
        <w:rPr>
          <w:color w:val="000000" w:themeColor="text1"/>
          <w14:textFill>
            <w14:solidFill>
              <w14:schemeClr w14:val="tx1"/>
            </w14:solidFill>
          </w14:textFill>
        </w:rPr>
      </w:pPr>
      <w:r>
        <w:rPr>
          <w:rFonts w:hint="eastAsia"/>
          <w:b/>
          <w:bCs/>
          <w:color w:val="000000" w:themeColor="text1"/>
          <w14:textFill>
            <w14:solidFill>
              <w14:schemeClr w14:val="tx1"/>
            </w14:solidFill>
          </w14:textFill>
        </w:rPr>
        <w:t>选址合理性分析：</w:t>
      </w:r>
      <w:r>
        <w:rPr>
          <w:rFonts w:hint="eastAsia"/>
          <w:color w:val="000000" w:themeColor="text1"/>
          <w14:textFill>
            <w14:solidFill>
              <w14:schemeClr w14:val="tx1"/>
            </w14:solidFill>
          </w14:textFill>
        </w:rPr>
        <w:t>项目</w:t>
      </w:r>
      <w:r>
        <w:rPr>
          <w:rFonts w:hint="eastAsia"/>
          <w:color w:val="000000" w:themeColor="text1"/>
          <w:spacing w:val="-5"/>
          <w14:textFill>
            <w14:solidFill>
              <w14:schemeClr w14:val="tx1"/>
            </w14:solidFill>
          </w14:textFill>
        </w:rPr>
        <w:t>堆土场周边200m范围内均不存在</w:t>
      </w:r>
      <w:r>
        <w:rPr>
          <w:rFonts w:hint="eastAsia"/>
          <w:color w:val="000000" w:themeColor="text1"/>
          <w14:textFill>
            <w14:solidFill>
              <w14:schemeClr w14:val="tx1"/>
            </w14:solidFill>
          </w14:textFill>
        </w:rPr>
        <w:t>学校、医院、居民区等敏感点；拟设临时堆土场周围不涉及自然保护区、风景名胜区、文物保护建筑物等特殊敏感区域，外环境较为简单。本项目外环境关系详见附图2。</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w:t>
      </w:r>
      <w:r>
        <w:rPr>
          <w:rFonts w:hint="eastAsia" w:eastAsia="黑体"/>
          <w:color w:val="000000" w:themeColor="text1"/>
          <w14:textFill>
            <w14:solidFill>
              <w14:schemeClr w14:val="tx1"/>
            </w14:solidFill>
          </w14:textFill>
        </w:rPr>
        <w:t>2.4</w:t>
      </w:r>
      <w:r>
        <w:rPr>
          <w:rFonts w:eastAsia="黑体"/>
          <w:color w:val="000000" w:themeColor="text1"/>
          <w14:textFill>
            <w14:solidFill>
              <w14:schemeClr w14:val="tx1"/>
            </w14:solidFill>
          </w14:textFill>
        </w:rPr>
        <w:t>-</w:t>
      </w:r>
      <w:r>
        <w:rPr>
          <w:rFonts w:hint="eastAsia" w:eastAsia="黑体"/>
          <w:color w:val="000000" w:themeColor="text1"/>
          <w14:textFill>
            <w14:solidFill>
              <w14:schemeClr w14:val="tx1"/>
            </w14:solidFill>
          </w14:textFill>
        </w:rPr>
        <w:t>4董家堰临时堆土场</w:t>
      </w:r>
      <w:r>
        <w:rPr>
          <w:rFonts w:eastAsia="黑体"/>
          <w:color w:val="000000" w:themeColor="text1"/>
          <w14:textFill>
            <w14:solidFill>
              <w14:schemeClr w14:val="tx1"/>
            </w14:solidFill>
          </w14:textFill>
        </w:rPr>
        <w:t>选址符合性分析一览表</w:t>
      </w:r>
    </w:p>
    <w:tbl>
      <w:tblPr>
        <w:tblStyle w:val="3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3614"/>
        <w:gridCol w:w="3383"/>
        <w:gridCol w:w="8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序号</w:t>
            </w:r>
          </w:p>
        </w:tc>
        <w:tc>
          <w:tcPr>
            <w:tcW w:w="3614"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（GB18599-2020）I类场要求</w:t>
            </w:r>
          </w:p>
        </w:tc>
        <w:tc>
          <w:tcPr>
            <w:tcW w:w="3383"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本项目实际情况</w:t>
            </w:r>
          </w:p>
        </w:tc>
        <w:tc>
          <w:tcPr>
            <w:tcW w:w="877" w:type="dxa"/>
            <w:tcBorders>
              <w:top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符合</w:t>
            </w:r>
            <w:r>
              <w:rPr>
                <w:rFonts w:hint="default"/>
                <w:b/>
                <w:color w:val="000000" w:themeColor="text1"/>
                <w:sz w:val="21"/>
                <w:szCs w:val="21"/>
                <w14:textFill>
                  <w14:solidFill>
                    <w14:schemeClr w14:val="tx1"/>
                  </w14:solidFill>
                </w14:textFill>
              </w:rPr>
              <w:t>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w:t>
            </w:r>
          </w:p>
        </w:tc>
        <w:tc>
          <w:tcPr>
            <w:tcW w:w="3614"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所选</w:t>
            </w:r>
            <w:r>
              <w:rPr>
                <w:rFonts w:hint="eastAsia"/>
                <w:color w:val="000000" w:themeColor="text1"/>
                <w:sz w:val="21"/>
                <w:szCs w:val="21"/>
                <w:lang w:val="en-US" w:eastAsia="zh-CN"/>
                <w14:textFill>
                  <w14:solidFill>
                    <w14:schemeClr w14:val="tx1"/>
                  </w14:solidFill>
                </w14:textFill>
              </w:rPr>
              <w:t>场</w:t>
            </w:r>
            <w:r>
              <w:rPr>
                <w:rFonts w:hint="default"/>
                <w:color w:val="000000" w:themeColor="text1"/>
                <w:sz w:val="21"/>
                <w:szCs w:val="21"/>
                <w14:textFill>
                  <w14:solidFill>
                    <w14:schemeClr w14:val="tx1"/>
                  </w14:solidFill>
                </w14:textFill>
              </w:rPr>
              <w:t>址应符合当地城乡建设总体规划要求</w:t>
            </w:r>
          </w:p>
        </w:tc>
        <w:tc>
          <w:tcPr>
            <w:tcW w:w="3383"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项目所选临时</w:t>
            </w:r>
            <w:r>
              <w:rPr>
                <w:rFonts w:hint="eastAsia"/>
                <w:color w:val="000000" w:themeColor="text1"/>
                <w:sz w:val="21"/>
                <w:szCs w:val="21"/>
                <w14:textFill>
                  <w14:solidFill>
                    <w14:schemeClr w14:val="tx1"/>
                  </w14:solidFill>
                </w14:textFill>
              </w:rPr>
              <w:t>临时堆土场</w:t>
            </w:r>
            <w:r>
              <w:rPr>
                <w:rFonts w:hint="default"/>
                <w:color w:val="000000" w:themeColor="text1"/>
                <w:sz w:val="21"/>
                <w:szCs w:val="21"/>
                <w14:textFill>
                  <w14:solidFill>
                    <w14:schemeClr w14:val="tx1"/>
                  </w14:solidFill>
                </w14:textFill>
              </w:rPr>
              <w:t>用地性质为</w:t>
            </w:r>
            <w:r>
              <w:rPr>
                <w:rFonts w:hint="eastAsia"/>
                <w:color w:val="000000" w:themeColor="text1"/>
                <w:sz w:val="21"/>
                <w:szCs w:val="21"/>
                <w14:textFill>
                  <w14:solidFill>
                    <w14:schemeClr w14:val="tx1"/>
                  </w14:solidFill>
                </w14:textFill>
              </w:rPr>
              <w:t>耕地和林地</w:t>
            </w:r>
            <w:r>
              <w:rPr>
                <w:rFonts w:hint="default"/>
                <w:color w:val="000000" w:themeColor="text1"/>
                <w:sz w:val="21"/>
                <w:szCs w:val="21"/>
                <w14:textFill>
                  <w14:solidFill>
                    <w14:schemeClr w14:val="tx1"/>
                  </w14:solidFill>
                </w14:textFill>
              </w:rPr>
              <w:t>，目前为闲置状态，</w:t>
            </w:r>
            <w:r>
              <w:rPr>
                <w:rFonts w:hint="eastAsia"/>
                <w:color w:val="000000" w:themeColor="text1"/>
                <w:sz w:val="21"/>
                <w:szCs w:val="21"/>
                <w14:textFill>
                  <w14:solidFill>
                    <w14:schemeClr w14:val="tx1"/>
                  </w14:solidFill>
                </w14:textFill>
              </w:rPr>
              <w:t>待耕地“进出平衡”完成后，</w:t>
            </w:r>
            <w:r>
              <w:rPr>
                <w:rFonts w:hint="default"/>
                <w:color w:val="000000" w:themeColor="text1"/>
                <w:sz w:val="21"/>
                <w:szCs w:val="21"/>
                <w14:textFill>
                  <w14:solidFill>
                    <w14:schemeClr w14:val="tx1"/>
                  </w14:solidFill>
                </w14:textFill>
              </w:rPr>
              <w:t>本项目</w:t>
            </w:r>
            <w:r>
              <w:rPr>
                <w:rFonts w:hint="eastAsia"/>
                <w:color w:val="000000" w:themeColor="text1"/>
                <w:sz w:val="21"/>
                <w:szCs w:val="21"/>
                <w14:textFill>
                  <w14:solidFill>
                    <w14:schemeClr w14:val="tx1"/>
                  </w14:solidFill>
                </w14:textFill>
              </w:rPr>
              <w:t>可</w:t>
            </w:r>
            <w:r>
              <w:rPr>
                <w:rFonts w:hint="default"/>
                <w:color w:val="000000" w:themeColor="text1"/>
                <w:sz w:val="21"/>
                <w:szCs w:val="21"/>
                <w14:textFill>
                  <w14:solidFill>
                    <w14:schemeClr w14:val="tx1"/>
                  </w14:solidFill>
                </w14:textFill>
              </w:rPr>
              <w:t>作为临时堆放场所</w:t>
            </w:r>
          </w:p>
        </w:tc>
        <w:tc>
          <w:tcPr>
            <w:tcW w:w="87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w:t>
            </w:r>
          </w:p>
        </w:tc>
        <w:tc>
          <w:tcPr>
            <w:tcW w:w="3614"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应依据环境影响评价结论确定场址的位置及其与周围人群的距离，并经具有审批权的环境保护行政主管部门批准，并可作为规划控制的依据。</w:t>
            </w:r>
          </w:p>
        </w:tc>
        <w:tc>
          <w:tcPr>
            <w:tcW w:w="3383"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临时堆土场</w:t>
            </w:r>
            <w:r>
              <w:rPr>
                <w:rFonts w:hint="default" w:ascii="Times New Roman" w:cs="Times New Roman"/>
                <w:color w:val="000000" w:themeColor="text1"/>
                <w:sz w:val="21"/>
                <w:szCs w:val="21"/>
                <w14:textFill>
                  <w14:solidFill>
                    <w14:schemeClr w14:val="tx1"/>
                  </w14:solidFill>
                </w14:textFill>
              </w:rPr>
              <w:t>无需设置规划控制距离。</w:t>
            </w:r>
          </w:p>
        </w:tc>
        <w:tc>
          <w:tcPr>
            <w:tcW w:w="87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w:t>
            </w:r>
          </w:p>
        </w:tc>
        <w:tc>
          <w:tcPr>
            <w:tcW w:w="3614"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应选在满足承载力要求的地基上，以避免地基下沉的影响，特别是不均匀或局部下沉的影响。</w:t>
            </w:r>
          </w:p>
        </w:tc>
        <w:tc>
          <w:tcPr>
            <w:tcW w:w="3383"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项目选用</w:t>
            </w:r>
            <w:r>
              <w:rPr>
                <w:rFonts w:hint="eastAsia" w:ascii="Times New Roman" w:cs="Times New Roman"/>
                <w:color w:val="000000" w:themeColor="text1"/>
                <w:sz w:val="21"/>
                <w:szCs w:val="21"/>
                <w14:textFill>
                  <w14:solidFill>
                    <w14:schemeClr w14:val="tx1"/>
                  </w14:solidFill>
                </w14:textFill>
              </w:rPr>
              <w:t>临时堆土场</w:t>
            </w:r>
            <w:r>
              <w:rPr>
                <w:rFonts w:hint="default" w:ascii="Times New Roman" w:cs="Times New Roman"/>
                <w:color w:val="000000" w:themeColor="text1"/>
                <w:sz w:val="21"/>
                <w:szCs w:val="21"/>
                <w14:textFill>
                  <w14:solidFill>
                    <w14:schemeClr w14:val="tx1"/>
                  </w14:solidFill>
                </w14:textFill>
              </w:rPr>
              <w:t>地质较好，未发现下沉事件</w:t>
            </w:r>
          </w:p>
        </w:tc>
        <w:tc>
          <w:tcPr>
            <w:tcW w:w="87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w:t>
            </w:r>
          </w:p>
        </w:tc>
        <w:tc>
          <w:tcPr>
            <w:tcW w:w="3614"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应避免断层、断层破碎带、溶洞区，以及天然滑坡或泥石流影响区。</w:t>
            </w:r>
          </w:p>
        </w:tc>
        <w:tc>
          <w:tcPr>
            <w:tcW w:w="3383"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项目建设不在断层、断层破碎带、溶洞区，未发生天然滑坡、泥石流等现象</w:t>
            </w:r>
          </w:p>
        </w:tc>
        <w:tc>
          <w:tcPr>
            <w:tcW w:w="87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w:t>
            </w:r>
          </w:p>
        </w:tc>
        <w:tc>
          <w:tcPr>
            <w:tcW w:w="3614"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禁止选在江河、湖泊、水库最高水位线以下的滩地和泛洪区。</w:t>
            </w:r>
          </w:p>
        </w:tc>
        <w:tc>
          <w:tcPr>
            <w:tcW w:w="3383"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项目临时</w:t>
            </w:r>
            <w:r>
              <w:rPr>
                <w:rFonts w:hint="eastAsia" w:ascii="Times New Roman" w:cs="Times New Roman"/>
                <w:color w:val="000000" w:themeColor="text1"/>
                <w:sz w:val="21"/>
                <w:szCs w:val="21"/>
                <w14:textFill>
                  <w14:solidFill>
                    <w14:schemeClr w14:val="tx1"/>
                  </w14:solidFill>
                </w14:textFill>
              </w:rPr>
              <w:t>临时堆土场</w:t>
            </w:r>
            <w:r>
              <w:rPr>
                <w:rFonts w:hint="default" w:ascii="Times New Roman" w:cs="Times New Roman"/>
                <w:color w:val="000000" w:themeColor="text1"/>
                <w:sz w:val="21"/>
                <w:szCs w:val="21"/>
                <w14:textFill>
                  <w14:solidFill>
                    <w14:schemeClr w14:val="tx1"/>
                  </w14:solidFill>
                </w14:textFill>
              </w:rPr>
              <w:t>选址不在区域江河、湖泊、水库地表水最高水位线以下的滩地和泛洪区。</w:t>
            </w:r>
          </w:p>
        </w:tc>
        <w:tc>
          <w:tcPr>
            <w:tcW w:w="87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6</w:t>
            </w:r>
          </w:p>
        </w:tc>
        <w:tc>
          <w:tcPr>
            <w:tcW w:w="3614"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禁止选在自然保护区、风景名胜区和其他需要特别保护的区域。</w:t>
            </w:r>
          </w:p>
        </w:tc>
        <w:tc>
          <w:tcPr>
            <w:tcW w:w="3383" w:type="dxa"/>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项目不在自然保护区、风景名胜区内和其他需要特别保护的区域。</w:t>
            </w:r>
          </w:p>
        </w:tc>
        <w:tc>
          <w:tcPr>
            <w:tcW w:w="877" w:type="dxa"/>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7</w:t>
            </w:r>
          </w:p>
        </w:tc>
        <w:tc>
          <w:tcPr>
            <w:tcW w:w="3614" w:type="dxa"/>
            <w:tcBorders>
              <w:bottom w:val="single" w:color="auto" w:sz="12" w:space="0"/>
            </w:tcBorders>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贮存、处置场的建设类型，必须与将要堆放的一般工业固体废物的类别相一致。</w:t>
            </w:r>
          </w:p>
        </w:tc>
        <w:tc>
          <w:tcPr>
            <w:tcW w:w="3383" w:type="dxa"/>
            <w:tcBorders>
              <w:bottom w:val="single" w:color="auto" w:sz="12" w:space="0"/>
            </w:tcBorders>
            <w:shd w:val="clear" w:color="auto" w:fill="auto"/>
            <w:vAlign w:val="center"/>
          </w:tcPr>
          <w:p>
            <w:pPr>
              <w:pStyle w:val="76"/>
              <w:keepNext w:val="0"/>
              <w:keepLines w:val="0"/>
              <w:suppressLineNumbers w:val="0"/>
              <w:adjustRightInd/>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项目堆存的底泥、砂石属于I类一般工业固废，因此堆存类别一致。</w:t>
            </w:r>
          </w:p>
        </w:tc>
        <w:tc>
          <w:tcPr>
            <w:tcW w:w="877" w:type="dxa"/>
            <w:tcBorders>
              <w:bottom w:val="single" w:color="auto" w:sz="12" w:space="0"/>
            </w:tcBorders>
            <w:shd w:val="clear" w:color="auto" w:fill="auto"/>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符合</w:t>
            </w:r>
          </w:p>
        </w:tc>
      </w:tr>
    </w:tbl>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由上表分析可知，本项目</w:t>
      </w:r>
      <w:r>
        <w:rPr>
          <w:rFonts w:hint="eastAsia"/>
          <w:color w:val="000000" w:themeColor="text1"/>
          <w14:textFill>
            <w14:solidFill>
              <w14:schemeClr w14:val="tx1"/>
            </w14:solidFill>
          </w14:textFill>
        </w:rPr>
        <w:t>临时堆土场</w:t>
      </w:r>
      <w:r>
        <w:rPr>
          <w:color w:val="000000" w:themeColor="text1"/>
          <w14:textFill>
            <w14:solidFill>
              <w14:schemeClr w14:val="tx1"/>
            </w14:solidFill>
          </w14:textFill>
        </w:rPr>
        <w:t>选址符合</w:t>
      </w:r>
      <w:r>
        <w:rPr>
          <w:rFonts w:hint="eastAsia"/>
          <w:color w:val="000000" w:themeColor="text1"/>
          <w:lang w:val="en-US" w:eastAsia="zh-CN"/>
          <w14:textFill>
            <w14:solidFill>
              <w14:schemeClr w14:val="tx1"/>
            </w14:solidFill>
          </w14:textFill>
        </w:rPr>
        <w:t>一般</w:t>
      </w:r>
      <w:r>
        <w:rPr>
          <w:color w:val="000000" w:themeColor="text1"/>
          <w14:textFill>
            <w14:solidFill>
              <w14:schemeClr w14:val="tx1"/>
            </w14:solidFill>
          </w14:textFill>
        </w:rPr>
        <w:t>固废场址要求。</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本项目拟设临时堆土场及依托余土摊平处理区如下表：</w:t>
      </w:r>
    </w:p>
    <w:p>
      <w:pPr>
        <w:pStyle w:val="14"/>
        <w:spacing w:line="360" w:lineRule="auto"/>
        <w:ind w:firstLine="480" w:firstLineChars="200"/>
        <w:jc w:val="both"/>
        <w:rPr>
          <w:color w:val="000000" w:themeColor="text1"/>
          <w14:textFill>
            <w14:solidFill>
              <w14:schemeClr w14:val="tx1"/>
            </w14:solidFill>
          </w14:textFill>
        </w:rPr>
        <w:sectPr>
          <w:pgSz w:w="11910" w:h="16840"/>
          <w:pgMar w:top="1440" w:right="1803" w:bottom="1440" w:left="1803" w:header="907" w:footer="1097" w:gutter="0"/>
          <w:pgBorders>
            <w:top w:val="none" w:sz="0" w:space="0"/>
            <w:left w:val="none" w:sz="0" w:space="0"/>
            <w:bottom w:val="none" w:sz="0" w:space="0"/>
            <w:right w:val="none" w:sz="0" w:space="0"/>
          </w:pgBorders>
          <w:pgNumType w:fmt="decimal"/>
          <w:cols w:space="720" w:num="1"/>
        </w:sectPr>
      </w:pPr>
    </w:p>
    <w:p>
      <w:pPr>
        <w:pStyle w:val="14"/>
        <w:spacing w:line="360" w:lineRule="auto"/>
        <w:ind w:firstLine="480" w:firstLineChars="200"/>
        <w:jc w:val="center"/>
        <w:rPr>
          <w:color w:val="000000" w:themeColor="text1"/>
          <w14:textFill>
            <w14:solidFill>
              <w14:schemeClr w14:val="tx1"/>
            </w14:solidFill>
          </w14:textFill>
        </w:rPr>
      </w:pPr>
      <w:r>
        <w:rPr>
          <w:rFonts w:eastAsia="黑体"/>
          <w:color w:val="000000" w:themeColor="text1"/>
          <w14:textFill>
            <w14:solidFill>
              <w14:schemeClr w14:val="tx1"/>
            </w14:solidFill>
          </w14:textFill>
        </w:rPr>
        <w:t>表</w:t>
      </w:r>
      <w:r>
        <w:rPr>
          <w:rFonts w:hint="eastAsia" w:eastAsia="黑体"/>
          <w:color w:val="000000" w:themeColor="text1"/>
          <w14:textFill>
            <w14:solidFill>
              <w14:schemeClr w14:val="tx1"/>
            </w14:solidFill>
          </w14:textFill>
        </w:rPr>
        <w:t>2.4</w:t>
      </w:r>
      <w:r>
        <w:rPr>
          <w:rFonts w:eastAsia="黑体"/>
          <w:color w:val="000000" w:themeColor="text1"/>
          <w14:textFill>
            <w14:solidFill>
              <w14:schemeClr w14:val="tx1"/>
            </w14:solidFill>
          </w14:textFill>
        </w:rPr>
        <w:t>-</w:t>
      </w:r>
      <w:r>
        <w:rPr>
          <w:rFonts w:hint="eastAsia" w:eastAsia="黑体"/>
          <w:color w:val="000000" w:themeColor="text1"/>
          <w14:textFill>
            <w14:solidFill>
              <w14:schemeClr w14:val="tx1"/>
            </w14:solidFill>
          </w14:textFill>
        </w:rPr>
        <w:t>5临时堆土场及余土摊平处理区</w:t>
      </w:r>
      <w:r>
        <w:rPr>
          <w:rFonts w:eastAsia="黑体"/>
          <w:color w:val="000000" w:themeColor="text1"/>
          <w14:textFill>
            <w14:solidFill>
              <w14:schemeClr w14:val="tx1"/>
            </w14:solidFill>
          </w14:textFill>
        </w:rPr>
        <w:t>一览表</w:t>
      </w:r>
    </w:p>
    <w:tbl>
      <w:tblPr>
        <w:tblStyle w:val="38"/>
        <w:tblW w:w="50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02"/>
        <w:gridCol w:w="1569"/>
        <w:gridCol w:w="1363"/>
        <w:gridCol w:w="1120"/>
        <w:gridCol w:w="840"/>
        <w:gridCol w:w="746"/>
        <w:gridCol w:w="803"/>
        <w:gridCol w:w="1001"/>
        <w:gridCol w:w="983"/>
        <w:gridCol w:w="1034"/>
        <w:gridCol w:w="834"/>
        <w:gridCol w:w="937"/>
        <w:gridCol w:w="669"/>
        <w:gridCol w:w="1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5" w:type="pct"/>
            <w:vMerge w:val="restart"/>
            <w:tcBorders>
              <w:top w:val="single" w:color="auto" w:sz="12" w:space="0"/>
              <w:left w:val="nil"/>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堆土场名称</w:t>
            </w:r>
          </w:p>
        </w:tc>
        <w:tc>
          <w:tcPr>
            <w:tcW w:w="542" w:type="pct"/>
            <w:vMerge w:val="restart"/>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渣场中心坐标</w:t>
            </w:r>
          </w:p>
        </w:tc>
        <w:tc>
          <w:tcPr>
            <w:tcW w:w="471" w:type="pct"/>
            <w:vMerge w:val="restart"/>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高程（m）</w:t>
            </w:r>
          </w:p>
        </w:tc>
        <w:tc>
          <w:tcPr>
            <w:tcW w:w="387" w:type="pct"/>
            <w:vMerge w:val="restart"/>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渣场容量（万m</w:t>
            </w:r>
            <w:r>
              <w:rPr>
                <w:rFonts w:hint="default"/>
                <w:b/>
                <w:bCs/>
                <w:color w:val="000000" w:themeColor="text1"/>
                <w:kern w:val="0"/>
                <w:vertAlign w:val="superscript"/>
                <w14:textFill>
                  <w14:solidFill>
                    <w14:schemeClr w14:val="tx1"/>
                  </w14:solidFill>
                </w14:textFill>
              </w:rPr>
              <w:t>3</w:t>
            </w:r>
            <w:r>
              <w:rPr>
                <w:rFonts w:hint="default"/>
                <w:b/>
                <w:bCs/>
                <w:color w:val="000000" w:themeColor="text1"/>
                <w:kern w:val="0"/>
                <w14:textFill>
                  <w14:solidFill>
                    <w14:schemeClr w14:val="tx1"/>
                  </w14:solidFill>
                </w14:textFill>
              </w:rPr>
              <w:t>）</w:t>
            </w:r>
          </w:p>
        </w:tc>
        <w:tc>
          <w:tcPr>
            <w:tcW w:w="826" w:type="pct"/>
            <w:gridSpan w:val="3"/>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堆渣量（万m</w:t>
            </w:r>
            <w:r>
              <w:rPr>
                <w:rFonts w:hint="default"/>
                <w:b/>
                <w:bCs/>
                <w:color w:val="000000" w:themeColor="text1"/>
                <w:kern w:val="0"/>
                <w:vertAlign w:val="superscript"/>
                <w14:textFill>
                  <w14:solidFill>
                    <w14:schemeClr w14:val="tx1"/>
                  </w14:solidFill>
                </w14:textFill>
              </w:rPr>
              <w:t>3</w:t>
            </w:r>
            <w:r>
              <w:rPr>
                <w:rFonts w:hint="default"/>
                <w:b/>
                <w:bCs/>
                <w:color w:val="000000" w:themeColor="text1"/>
                <w:kern w:val="0"/>
                <w14:textFill>
                  <w14:solidFill>
                    <w14:schemeClr w14:val="tx1"/>
                  </w14:solidFill>
                </w14:textFill>
              </w:rPr>
              <w:t>）</w:t>
            </w:r>
          </w:p>
        </w:tc>
        <w:tc>
          <w:tcPr>
            <w:tcW w:w="686" w:type="pct"/>
            <w:gridSpan w:val="2"/>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堆渣高度（m）</w:t>
            </w:r>
          </w:p>
        </w:tc>
        <w:tc>
          <w:tcPr>
            <w:tcW w:w="357" w:type="pct"/>
            <w:vMerge w:val="restart"/>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上游汇水面积（km²）</w:t>
            </w:r>
          </w:p>
        </w:tc>
        <w:tc>
          <w:tcPr>
            <w:tcW w:w="612" w:type="pct"/>
            <w:gridSpan w:val="2"/>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占地面积（hm²）</w:t>
            </w:r>
          </w:p>
        </w:tc>
        <w:tc>
          <w:tcPr>
            <w:tcW w:w="231" w:type="pct"/>
            <w:vMerge w:val="restart"/>
            <w:tcBorders>
              <w:top w:val="single" w:color="auto" w:sz="12" w:space="0"/>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渣场级别</w:t>
            </w:r>
          </w:p>
        </w:tc>
        <w:tc>
          <w:tcPr>
            <w:tcW w:w="398" w:type="pct"/>
            <w:vMerge w:val="restart"/>
            <w:tcBorders>
              <w:top w:val="single" w:color="auto" w:sz="12" w:space="0"/>
              <w:right w:val="nil"/>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是否涉及饮用水源、生态保护红线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5" w:type="pct"/>
            <w:vMerge w:val="continue"/>
            <w:tcBorders>
              <w:left w:val="nil"/>
            </w:tcBorders>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p>
        </w:tc>
        <w:tc>
          <w:tcPr>
            <w:tcW w:w="542" w:type="pct"/>
            <w:vMerge w:val="continue"/>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p>
        </w:tc>
        <w:tc>
          <w:tcPr>
            <w:tcW w:w="471" w:type="pct"/>
            <w:vMerge w:val="continue"/>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p>
        </w:tc>
        <w:tc>
          <w:tcPr>
            <w:tcW w:w="387" w:type="pct"/>
            <w:vMerge w:val="continue"/>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p>
        </w:tc>
        <w:tc>
          <w:tcPr>
            <w:tcW w:w="290" w:type="pct"/>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土石方</w:t>
            </w:r>
          </w:p>
        </w:tc>
        <w:tc>
          <w:tcPr>
            <w:tcW w:w="258" w:type="pct"/>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淤泥</w:t>
            </w:r>
          </w:p>
        </w:tc>
        <w:tc>
          <w:tcPr>
            <w:tcW w:w="277" w:type="pct"/>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小计</w:t>
            </w:r>
          </w:p>
        </w:tc>
        <w:tc>
          <w:tcPr>
            <w:tcW w:w="346" w:type="pct"/>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最大高度</w:t>
            </w:r>
          </w:p>
        </w:tc>
        <w:tc>
          <w:tcPr>
            <w:tcW w:w="340" w:type="pct"/>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平均高度</w:t>
            </w:r>
          </w:p>
        </w:tc>
        <w:tc>
          <w:tcPr>
            <w:tcW w:w="357" w:type="pct"/>
            <w:vMerge w:val="continue"/>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p>
        </w:tc>
        <w:tc>
          <w:tcPr>
            <w:tcW w:w="288" w:type="pct"/>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类型</w:t>
            </w:r>
          </w:p>
        </w:tc>
        <w:tc>
          <w:tcPr>
            <w:tcW w:w="324" w:type="pct"/>
            <w:vAlign w:val="center"/>
          </w:tcPr>
          <w:p>
            <w:pPr>
              <w:keepNext w:val="0"/>
              <w:keepLines w:val="0"/>
              <w:widowControl/>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面积</w:t>
            </w:r>
          </w:p>
        </w:tc>
        <w:tc>
          <w:tcPr>
            <w:tcW w:w="231"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p>
        </w:tc>
        <w:tc>
          <w:tcPr>
            <w:tcW w:w="398" w:type="pct"/>
            <w:vMerge w:val="continue"/>
            <w:tcBorders>
              <w:right w:val="nil"/>
            </w:tcBorders>
            <w:vAlign w:val="center"/>
          </w:tcPr>
          <w:p>
            <w:pPr>
              <w:keepNext w:val="0"/>
              <w:keepLines w:val="0"/>
              <w:widowControl/>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5" w:type="pct"/>
            <w:tcBorders>
              <w:left w:val="nil"/>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董家堰临时堆土场</w:t>
            </w:r>
          </w:p>
        </w:tc>
        <w:tc>
          <w:tcPr>
            <w:tcW w:w="542"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E：104.168976245，N：30.731823784</w:t>
            </w:r>
          </w:p>
        </w:tc>
        <w:tc>
          <w:tcPr>
            <w:tcW w:w="471"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507.211</w:t>
            </w:r>
          </w:p>
        </w:tc>
        <w:tc>
          <w:tcPr>
            <w:tcW w:w="387"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2.1</w:t>
            </w:r>
          </w:p>
        </w:tc>
        <w:tc>
          <w:tcPr>
            <w:tcW w:w="290"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1.53</w:t>
            </w:r>
          </w:p>
        </w:tc>
        <w:tc>
          <w:tcPr>
            <w:tcW w:w="258"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0.06</w:t>
            </w:r>
          </w:p>
        </w:tc>
        <w:tc>
          <w:tcPr>
            <w:tcW w:w="277"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1.59</w:t>
            </w:r>
          </w:p>
        </w:tc>
        <w:tc>
          <w:tcPr>
            <w:tcW w:w="346"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2.1</w:t>
            </w:r>
          </w:p>
        </w:tc>
        <w:tc>
          <w:tcPr>
            <w:tcW w:w="340"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2.0</w:t>
            </w:r>
          </w:p>
        </w:tc>
        <w:tc>
          <w:tcPr>
            <w:tcW w:w="357"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0.05</w:t>
            </w:r>
          </w:p>
        </w:tc>
        <w:tc>
          <w:tcPr>
            <w:tcW w:w="288"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耕地、林地</w:t>
            </w:r>
          </w:p>
        </w:tc>
        <w:tc>
          <w:tcPr>
            <w:tcW w:w="324"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1.03</w:t>
            </w:r>
          </w:p>
        </w:tc>
        <w:tc>
          <w:tcPr>
            <w:tcW w:w="231" w:type="pct"/>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398" w:type="pct"/>
            <w:tcBorders>
              <w:right w:val="nil"/>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5" w:type="pct"/>
            <w:tcBorders>
              <w:left w:val="nil"/>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南五、南六余土摊平处理区</w:t>
            </w:r>
          </w:p>
        </w:tc>
        <w:tc>
          <w:tcPr>
            <w:tcW w:w="542"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E：104.200197158，N：30.680432659</w:t>
            </w:r>
          </w:p>
        </w:tc>
        <w:tc>
          <w:tcPr>
            <w:tcW w:w="471"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491.622~491.798</w:t>
            </w:r>
          </w:p>
        </w:tc>
        <w:tc>
          <w:tcPr>
            <w:tcW w:w="387"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290"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0.86</w:t>
            </w:r>
          </w:p>
        </w:tc>
        <w:tc>
          <w:tcPr>
            <w:tcW w:w="258"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277"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0.86</w:t>
            </w:r>
          </w:p>
        </w:tc>
        <w:tc>
          <w:tcPr>
            <w:tcW w:w="346"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0.7</w:t>
            </w:r>
          </w:p>
        </w:tc>
        <w:tc>
          <w:tcPr>
            <w:tcW w:w="340"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0.5</w:t>
            </w:r>
          </w:p>
        </w:tc>
        <w:tc>
          <w:tcPr>
            <w:tcW w:w="357"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0.11</w:t>
            </w:r>
          </w:p>
        </w:tc>
        <w:tc>
          <w:tcPr>
            <w:tcW w:w="288"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耕地、林地</w:t>
            </w:r>
          </w:p>
        </w:tc>
        <w:tc>
          <w:tcPr>
            <w:tcW w:w="324"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1.09</w:t>
            </w:r>
          </w:p>
        </w:tc>
        <w:tc>
          <w:tcPr>
            <w:tcW w:w="231" w:type="pct"/>
            <w:tcBorders>
              <w:bottom w:val="single" w:color="auto" w:sz="12" w:space="0"/>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c>
          <w:tcPr>
            <w:tcW w:w="398" w:type="pct"/>
            <w:tcBorders>
              <w:bottom w:val="single" w:color="auto" w:sz="12" w:space="0"/>
              <w:right w:val="nil"/>
            </w:tcBorders>
            <w:vAlign w:val="center"/>
          </w:tcPr>
          <w:p>
            <w:pPr>
              <w:pStyle w:val="132"/>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bl>
    <w:p>
      <w:pPr>
        <w:pStyle w:val="14"/>
        <w:spacing w:line="360" w:lineRule="auto"/>
        <w:ind w:firstLine="480" w:firstLineChars="200"/>
        <w:jc w:val="both"/>
        <w:rPr>
          <w:color w:val="000000" w:themeColor="text1"/>
          <w14:textFill>
            <w14:solidFill>
              <w14:schemeClr w14:val="tx1"/>
            </w14:solidFill>
          </w14:textFill>
        </w:rPr>
        <w:sectPr>
          <w:pgSz w:w="16840" w:h="11910" w:orient="landscape"/>
          <w:pgMar w:top="1440" w:right="1340" w:bottom="1180" w:left="1280" w:header="882" w:footer="1097" w:gutter="0"/>
          <w:pgBorders>
            <w:top w:val="none" w:sz="0" w:space="0"/>
            <w:left w:val="none" w:sz="0" w:space="0"/>
            <w:bottom w:val="none" w:sz="0" w:space="0"/>
            <w:right w:val="none" w:sz="0" w:space="0"/>
          </w:pgBorders>
          <w:pgNumType w:fmt="decimal"/>
          <w:cols w:space="720" w:num="1"/>
        </w:sectPr>
      </w:pPr>
    </w:p>
    <w:p>
      <w:pPr>
        <w:pStyle w:val="14"/>
        <w:adjustRightInd w:val="0"/>
        <w:snapToGrid w:val="0"/>
        <w:spacing w:line="360" w:lineRule="auto"/>
        <w:ind w:firstLine="482" w:firstLineChars="200"/>
        <w:jc w:val="both"/>
        <w:rPr>
          <w:color w:val="000000" w:themeColor="text1"/>
          <w14:textFill>
            <w14:solidFill>
              <w14:schemeClr w14:val="tx1"/>
            </w14:solidFill>
          </w14:textFill>
        </w:rPr>
      </w:pPr>
      <w:r>
        <w:rPr>
          <w:rFonts w:hint="eastAsia"/>
          <w:b/>
          <w:bCs/>
          <w:color w:val="000000" w:themeColor="text1"/>
          <w14:textFill>
            <w14:solidFill>
              <w14:schemeClr w14:val="tx1"/>
            </w14:solidFill>
          </w14:textFill>
        </w:rPr>
        <w:t>容量合理性分析：</w:t>
      </w:r>
    </w:p>
    <w:p>
      <w:pPr>
        <w:widowControl/>
        <w:autoSpaceDE/>
        <w:autoSpaceDN/>
        <w:adjustRightInd w:val="0"/>
        <w:snapToGrid w:val="0"/>
        <w:spacing w:line="360" w:lineRule="auto"/>
        <w:ind w:firstLine="480" w:firstLineChars="200"/>
        <w:jc w:val="both"/>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根据业主提供资料，成都市环城生态区农田综合整治及农业灌区设施建设项目建设范围包含约10.88万亩农田整治区、约560000m</w:t>
      </w:r>
      <w:r>
        <w:rPr>
          <w:rFonts w:hint="eastAsia"/>
          <w:color w:val="000000" w:themeColor="text1"/>
          <w:kern w:val="0"/>
          <w:sz w:val="24"/>
          <w:szCs w:val="24"/>
          <w:vertAlign w:val="superscript"/>
          <w:lang w:bidi="ar"/>
          <w14:textFill>
            <w14:solidFill>
              <w14:schemeClr w14:val="tx1"/>
            </w14:solidFill>
          </w14:textFill>
        </w:rPr>
        <w:t>2</w:t>
      </w:r>
      <w:r>
        <w:rPr>
          <w:rFonts w:hint="eastAsia"/>
          <w:color w:val="000000" w:themeColor="text1"/>
          <w:kern w:val="0"/>
          <w:sz w:val="24"/>
          <w:szCs w:val="24"/>
          <w:lang w:bidi="ar"/>
          <w14:textFill>
            <w14:solidFill>
              <w14:schemeClr w14:val="tx1"/>
            </w14:solidFill>
          </w14:textFill>
        </w:rPr>
        <w:t>农业辅助设施（其中建筑面积约243575m</w:t>
      </w:r>
      <w:r>
        <w:rPr>
          <w:rFonts w:hint="eastAsia"/>
          <w:color w:val="000000" w:themeColor="text1"/>
          <w:kern w:val="0"/>
          <w:sz w:val="24"/>
          <w:szCs w:val="24"/>
          <w:vertAlign w:val="superscript"/>
          <w:lang w:bidi="ar"/>
          <w14:textFill>
            <w14:solidFill>
              <w14:schemeClr w14:val="tx1"/>
            </w14:solidFill>
          </w14:textFill>
        </w:rPr>
        <w:t>2</w:t>
      </w:r>
      <w:r>
        <w:rPr>
          <w:rFonts w:hint="eastAsia"/>
          <w:color w:val="000000" w:themeColor="text1"/>
          <w:kern w:val="0"/>
          <w:sz w:val="24"/>
          <w:szCs w:val="24"/>
          <w:lang w:bidi="ar"/>
          <w14:textFill>
            <w14:solidFill>
              <w14:schemeClr w14:val="tx1"/>
            </w14:solidFill>
          </w14:textFill>
        </w:rPr>
        <w:t>）及全环的农业灌区设施；建设内容主要包含农田整治区的土地平整工程、田间道路工程、灌溉与排水工程、农田防护工程等，以及农机具临时停放场所、农资临时堆放中心等农业辅助设施和农业灌区设施所对应的取水工程、排涝工程、防洪工程等。项目计划于2026年12月完成建设。</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按照环城生态区土地综合整治与生态修复总体规划及分区规划调整方案，约10万亩土地移交建设单位进行土地综合整治，目前累计接收各区移交农田整治区土地约9.27万亩，完成土地综合整治约7.46万亩，正在实施约0.91万亩施工障碍区约0.9万亩。</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根据“成都天府绿道建设投资集团有限公司关于“环城生态区农田综合整治及农业灌区设施建设项目区水利设施建设（一期）涉及临时堆土场、余土摊平处理区”相关情况的说明”，成都天府绿道建设投资集团“水利设施建设（一期）”工程共产生弃方6.98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按照“余土尽量就近堆放、处理，后续综合利用”的原则，施工期间拟布置临时堆土场2处、余土摊平处理区4处，用于堆放、消纳“水利设施建设（一期）”工程产生的弃土。由于拟布置临时堆土场及余土摊平处理区均位于公司成都市环城生态区农田综合整治及农业灌区设施建设项目占地范围内，且项目弃方以开挖土石和泥沙为主，弃方可直接用于农田综合整治工程内余土摊平处理区回填利用。</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根据说明，拟布置的2个临时堆土场及4个余土摊平处理区分别为：</w:t>
      </w:r>
      <w:r>
        <w:rPr>
          <w:color w:val="000000" w:themeColor="text1"/>
          <w:kern w:val="0"/>
          <w:sz w:val="24"/>
          <w:szCs w:val="24"/>
          <w:lang w:bidi="ar"/>
          <w14:textFill>
            <w14:solidFill>
              <w14:schemeClr w14:val="tx1"/>
            </w14:solidFill>
          </w14:textFill>
        </w:rPr>
        <w:t>干堰子余土摊平处理区</w:t>
      </w:r>
      <w:r>
        <w:rPr>
          <w:rFonts w:hint="eastAsia"/>
          <w:color w:val="000000" w:themeColor="text1"/>
          <w:kern w:val="0"/>
          <w:sz w:val="24"/>
          <w:szCs w:val="24"/>
          <w:lang w:bidi="ar"/>
          <w14:textFill>
            <w14:solidFill>
              <w14:schemeClr w14:val="tx1"/>
            </w14:solidFill>
          </w14:textFill>
        </w:rPr>
        <w:t>（容量1.3万m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w:t>
      </w:r>
      <w:r>
        <w:rPr>
          <w:color w:val="000000" w:themeColor="text1"/>
          <w:kern w:val="0"/>
          <w:sz w:val="24"/>
          <w:szCs w:val="24"/>
          <w:lang w:bidi="ar"/>
          <w14:textFill>
            <w14:solidFill>
              <w14:schemeClr w14:val="tx1"/>
            </w14:solidFill>
          </w14:textFill>
        </w:rPr>
        <w:t>牟珠堰余土摊平处理区</w:t>
      </w:r>
      <w:r>
        <w:rPr>
          <w:rFonts w:hint="eastAsia"/>
          <w:color w:val="000000" w:themeColor="text1"/>
          <w:kern w:val="0"/>
          <w:sz w:val="24"/>
          <w:szCs w:val="24"/>
          <w:lang w:bidi="ar"/>
          <w14:textFill>
            <w14:solidFill>
              <w14:schemeClr w14:val="tx1"/>
            </w14:solidFill>
          </w14:textFill>
        </w:rPr>
        <w:t>（容量1.3万m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w:t>
      </w:r>
      <w:r>
        <w:rPr>
          <w:color w:val="000000" w:themeColor="text1"/>
          <w:kern w:val="0"/>
          <w:sz w:val="24"/>
          <w:szCs w:val="24"/>
          <w:lang w:bidi="ar"/>
          <w14:textFill>
            <w14:solidFill>
              <w14:schemeClr w14:val="tx1"/>
            </w14:solidFill>
          </w14:textFill>
        </w:rPr>
        <w:t>排涝渠余土摊平处理区</w:t>
      </w:r>
      <w:r>
        <w:rPr>
          <w:rFonts w:hint="eastAsia"/>
          <w:color w:val="000000" w:themeColor="text1"/>
          <w:kern w:val="0"/>
          <w:sz w:val="24"/>
          <w:szCs w:val="24"/>
          <w:lang w:bidi="ar"/>
          <w14:textFill>
            <w14:solidFill>
              <w14:schemeClr w14:val="tx1"/>
            </w14:solidFill>
          </w14:textFill>
        </w:rPr>
        <w:t>（容量0.04万m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w:t>
      </w:r>
      <w:r>
        <w:rPr>
          <w:color w:val="000000" w:themeColor="text1"/>
          <w:kern w:val="0"/>
          <w:sz w:val="24"/>
          <w:szCs w:val="24"/>
          <w:lang w:bidi="ar"/>
          <w14:textFill>
            <w14:solidFill>
              <w14:schemeClr w14:val="tx1"/>
            </w14:solidFill>
          </w14:textFill>
        </w:rPr>
        <w:t>漏沙堰临时堆土场</w:t>
      </w:r>
      <w:r>
        <w:rPr>
          <w:rFonts w:hint="eastAsia"/>
          <w:color w:val="000000" w:themeColor="text1"/>
          <w:kern w:val="0"/>
          <w:sz w:val="24"/>
          <w:szCs w:val="24"/>
          <w:lang w:bidi="ar"/>
          <w14:textFill>
            <w14:solidFill>
              <w14:schemeClr w14:val="tx1"/>
            </w14:solidFill>
          </w14:textFill>
        </w:rPr>
        <w:t>（容量1.3万m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）、南五、南六支渠</w:t>
      </w:r>
      <w:r>
        <w:rPr>
          <w:color w:val="000000" w:themeColor="text1"/>
          <w:kern w:val="0"/>
          <w:sz w:val="24"/>
          <w:szCs w:val="24"/>
          <w:lang w:bidi="ar"/>
          <w14:textFill>
            <w14:solidFill>
              <w14:schemeClr w14:val="tx1"/>
            </w14:solidFill>
          </w14:textFill>
        </w:rPr>
        <w:t>余土摊平处理区</w:t>
      </w:r>
      <w:r>
        <w:rPr>
          <w:rFonts w:hint="eastAsia"/>
          <w:color w:val="000000" w:themeColor="text1"/>
          <w:kern w:val="0"/>
          <w:sz w:val="24"/>
          <w:szCs w:val="24"/>
          <w:lang w:bidi="ar"/>
          <w14:textFill>
            <w14:solidFill>
              <w14:schemeClr w14:val="tx1"/>
            </w14:solidFill>
          </w14:textFill>
        </w:rPr>
        <w:t>（容量1万m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），可消纳弃土共7.04万m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、董家堰临时堆土场（约2.1万m</w:t>
      </w:r>
      <w:r>
        <w:rPr>
          <w:rFonts w:hint="eastAsia"/>
          <w:color w:val="000000" w:themeColor="text1"/>
          <w:kern w:val="0"/>
          <w:sz w:val="24"/>
          <w:szCs w:val="24"/>
          <w:vertAlign w:val="superscript"/>
          <w:lang w:bidi="ar"/>
          <w14:textFill>
            <w14:solidFill>
              <w14:schemeClr w14:val="tx1"/>
            </w14:solidFill>
          </w14:textFill>
        </w:rPr>
        <w:t>3</w:t>
      </w:r>
      <w:r>
        <w:rPr>
          <w:rFonts w:hint="eastAsia"/>
          <w:color w:val="000000" w:themeColor="text1"/>
          <w:kern w:val="0"/>
          <w:sz w:val="24"/>
          <w:szCs w:val="24"/>
          <w:lang w:bidi="ar"/>
          <w14:textFill>
            <w14:solidFill>
              <w14:schemeClr w14:val="tx1"/>
            </w14:solidFill>
          </w14:textFill>
        </w:rPr>
        <w:t>）。</w:t>
      </w:r>
    </w:p>
    <w:p>
      <w:pPr>
        <w:pStyle w:val="14"/>
        <w:adjustRightInd w:val="0"/>
        <w:snapToGrid w:val="0"/>
        <w:spacing w:line="360" w:lineRule="auto"/>
        <w:ind w:firstLine="480" w:firstLineChars="200"/>
        <w:jc w:val="both"/>
        <w:rPr>
          <w:color w:val="000000" w:themeColor="text1"/>
          <w:kern w:val="0"/>
          <w:vertAlign w:val="superscript"/>
          <w:lang w:bidi="ar"/>
          <w14:textFill>
            <w14:solidFill>
              <w14:schemeClr w14:val="tx1"/>
            </w14:solidFill>
          </w14:textFill>
        </w:rPr>
      </w:pPr>
      <w:r>
        <w:rPr>
          <w:rFonts w:hint="eastAsia"/>
          <w:color w:val="000000" w:themeColor="text1"/>
          <w14:textFill>
            <w14:solidFill>
              <w14:schemeClr w14:val="tx1"/>
            </w14:solidFill>
          </w14:textFill>
        </w:rPr>
        <w:t>根据《成都市环城生态区农田综合整治及农业灌区设施建设项目灌溉水利设施建设（一标段）一期环境影响报告表》，一期一标段工程弃方约4.53</w:t>
      </w:r>
      <w:r>
        <w:rPr>
          <w:rFonts w:hint="eastAsia"/>
          <w:color w:val="000000" w:themeColor="text1"/>
          <w:kern w:val="0"/>
          <w:lang w:bidi="ar"/>
          <w14:textFill>
            <w14:solidFill>
              <w14:schemeClr w14:val="tx1"/>
            </w14:solidFill>
          </w14:textFill>
        </w:rPr>
        <w:t>万m</w:t>
      </w:r>
      <w:r>
        <w:rPr>
          <w:rFonts w:hint="eastAsia"/>
          <w:color w:val="000000" w:themeColor="text1"/>
          <w:kern w:val="0"/>
          <w:vertAlign w:val="superscript"/>
          <w:lang w:bidi="ar"/>
          <w14:textFill>
            <w14:solidFill>
              <w14:schemeClr w14:val="tx1"/>
            </w14:solidFill>
          </w14:textFill>
        </w:rPr>
        <w:t>3</w:t>
      </w:r>
      <w:r>
        <w:rPr>
          <w:rFonts w:hint="eastAsia"/>
          <w:color w:val="000000" w:themeColor="text1"/>
          <w:kern w:val="0"/>
          <w:lang w:bidi="ar"/>
          <w14:textFill>
            <w14:solidFill>
              <w14:schemeClr w14:val="tx1"/>
            </w14:solidFill>
          </w14:textFill>
        </w:rPr>
        <w:t>，分别堆放至</w:t>
      </w:r>
      <w:r>
        <w:rPr>
          <w:color w:val="000000" w:themeColor="text1"/>
          <w:kern w:val="0"/>
          <w:lang w:bidi="ar"/>
          <w14:textFill>
            <w14:solidFill>
              <w14:schemeClr w14:val="tx1"/>
            </w14:solidFill>
          </w14:textFill>
        </w:rPr>
        <w:t>漏沙堰临时堆土场</w:t>
      </w:r>
      <w:r>
        <w:rPr>
          <w:rFonts w:hint="eastAsia"/>
          <w:color w:val="000000" w:themeColor="text1"/>
          <w:kern w:val="0"/>
          <w:lang w:bidi="ar"/>
          <w14:textFill>
            <w14:solidFill>
              <w14:schemeClr w14:val="tx1"/>
            </w14:solidFill>
          </w14:textFill>
        </w:rPr>
        <w:t>临时堆放和</w:t>
      </w:r>
      <w:r>
        <w:rPr>
          <w:color w:val="000000" w:themeColor="text1"/>
          <w:kern w:val="0"/>
          <w:lang w:bidi="ar"/>
          <w14:textFill>
            <w14:solidFill>
              <w14:schemeClr w14:val="tx1"/>
            </w14:solidFill>
          </w14:textFill>
        </w:rPr>
        <w:t>干堰子余土摊平处理区</w:t>
      </w:r>
      <w:r>
        <w:rPr>
          <w:rFonts w:hint="eastAsia"/>
          <w:color w:val="000000" w:themeColor="text1"/>
          <w:kern w:val="0"/>
          <w:lang w:bidi="ar"/>
          <w14:textFill>
            <w14:solidFill>
              <w14:schemeClr w14:val="tx1"/>
            </w14:solidFill>
          </w14:textFill>
        </w:rPr>
        <w:t>、</w:t>
      </w:r>
      <w:r>
        <w:rPr>
          <w:color w:val="000000" w:themeColor="text1"/>
          <w:kern w:val="0"/>
          <w:lang w:bidi="ar"/>
          <w14:textFill>
            <w14:solidFill>
              <w14:schemeClr w14:val="tx1"/>
            </w14:solidFill>
          </w14:textFill>
        </w:rPr>
        <w:t>牟珠堰余土摊平处理区</w:t>
      </w:r>
      <w:r>
        <w:rPr>
          <w:rFonts w:hint="eastAsia"/>
          <w:color w:val="000000" w:themeColor="text1"/>
          <w:kern w:val="0"/>
          <w:lang w:bidi="ar"/>
          <w14:textFill>
            <w14:solidFill>
              <w14:schemeClr w14:val="tx1"/>
            </w14:solidFill>
          </w14:textFill>
        </w:rPr>
        <w:t>、</w:t>
      </w:r>
      <w:r>
        <w:rPr>
          <w:color w:val="000000" w:themeColor="text1"/>
          <w:kern w:val="0"/>
          <w:lang w:bidi="ar"/>
          <w14:textFill>
            <w14:solidFill>
              <w14:schemeClr w14:val="tx1"/>
            </w14:solidFill>
          </w14:textFill>
        </w:rPr>
        <w:t>排涝渠余土摊平处理区</w:t>
      </w:r>
      <w:r>
        <w:rPr>
          <w:rFonts w:hint="eastAsia"/>
          <w:color w:val="000000" w:themeColor="text1"/>
          <w:kern w:val="0"/>
          <w:lang w:bidi="ar"/>
          <w14:textFill>
            <w14:solidFill>
              <w14:schemeClr w14:val="tx1"/>
            </w14:solidFill>
          </w14:textFill>
        </w:rPr>
        <w:t>以及南五、南六</w:t>
      </w:r>
      <w:r>
        <w:rPr>
          <w:color w:val="000000" w:themeColor="text1"/>
          <w:kern w:val="0"/>
          <w:lang w:bidi="ar"/>
          <w14:textFill>
            <w14:solidFill>
              <w14:schemeClr w14:val="tx1"/>
            </w14:solidFill>
          </w14:textFill>
        </w:rPr>
        <w:t>余土摊平处理区</w:t>
      </w:r>
      <w:r>
        <w:rPr>
          <w:rFonts w:hint="eastAsia"/>
          <w:color w:val="000000" w:themeColor="text1"/>
          <w:kern w:val="0"/>
          <w:lang w:bidi="ar"/>
          <w14:textFill>
            <w14:solidFill>
              <w14:schemeClr w14:val="tx1"/>
            </w14:solidFill>
          </w14:textFill>
        </w:rPr>
        <w:t>回填利用；经处置后南五、南六</w:t>
      </w:r>
      <w:r>
        <w:rPr>
          <w:color w:val="000000" w:themeColor="text1"/>
          <w:kern w:val="0"/>
          <w:lang w:bidi="ar"/>
          <w14:textFill>
            <w14:solidFill>
              <w14:schemeClr w14:val="tx1"/>
            </w14:solidFill>
          </w14:textFill>
        </w:rPr>
        <w:t>余土摊平处理区</w:t>
      </w:r>
      <w:r>
        <w:rPr>
          <w:rFonts w:hint="eastAsia"/>
          <w:color w:val="000000" w:themeColor="text1"/>
          <w:kern w:val="0"/>
          <w:lang w:bidi="ar"/>
          <w14:textFill>
            <w14:solidFill>
              <w14:schemeClr w14:val="tx1"/>
            </w14:solidFill>
          </w14:textFill>
        </w:rPr>
        <w:t>剩余可消纳约0.36万m</w:t>
      </w:r>
      <w:r>
        <w:rPr>
          <w:rFonts w:hint="eastAsia"/>
          <w:color w:val="000000" w:themeColor="text1"/>
          <w:kern w:val="0"/>
          <w:vertAlign w:val="superscript"/>
          <w:lang w:bidi="ar"/>
          <w14:textFill>
            <w14:solidFill>
              <w14:schemeClr w14:val="tx1"/>
            </w14:solidFill>
          </w14:textFill>
        </w:rPr>
        <w:t>3</w:t>
      </w:r>
      <w:r>
        <w:rPr>
          <w:rFonts w:hint="eastAsia"/>
          <w:color w:val="000000" w:themeColor="text1"/>
          <w:kern w:val="0"/>
          <w:lang w:bidi="ar"/>
          <w14:textFill>
            <w14:solidFill>
              <w14:schemeClr w14:val="tx1"/>
            </w14:solidFill>
          </w14:textFill>
        </w:rPr>
        <w:t>弃土，</w:t>
      </w:r>
      <w:r>
        <w:rPr>
          <w:rFonts w:hint="eastAsia"/>
          <w:color w:val="000000" w:themeColor="text1"/>
          <w14:textFill>
            <w14:solidFill>
              <w14:schemeClr w14:val="tx1"/>
            </w14:solidFill>
          </w14:textFill>
        </w:rPr>
        <w:t>董家堰临时堆土场可临时堆放约2.1万m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弃土。</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本项目总弃方量为2.45万m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其中董家堰临时堆土场暂存2.1万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vertAlign w:val="baseline"/>
          <w:lang w:eastAsia="zh-CN"/>
          <w14:textFill>
            <w14:solidFill>
              <w14:schemeClr w14:val="tx1"/>
            </w14:solidFill>
          </w14:textFill>
        </w:rPr>
        <w:t>（</w:t>
      </w:r>
      <w:r>
        <w:rPr>
          <w:rFonts w:hint="eastAsia"/>
          <w:color w:val="000000" w:themeColor="text1"/>
          <w:vertAlign w:val="baseline"/>
          <w:lang w:val="en-US" w:eastAsia="zh-CN"/>
          <w14:textFill>
            <w14:solidFill>
              <w14:schemeClr w14:val="tx1"/>
            </w14:solidFill>
          </w14:textFill>
        </w:rPr>
        <w:t>含0.06</w:t>
      </w:r>
      <w:r>
        <w:rPr>
          <w:rFonts w:hint="eastAsia"/>
          <w:color w:val="000000" w:themeColor="text1"/>
          <w:lang w:val="en-US" w:eastAsia="zh-CN"/>
          <w14:textFill>
            <w14:solidFill>
              <w14:schemeClr w14:val="tx1"/>
            </w14:solidFill>
          </w14:textFill>
        </w:rPr>
        <w:t>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淤泥</w:t>
      </w:r>
      <w:r>
        <w:rPr>
          <w:rFonts w:hint="eastAsia"/>
          <w:color w:val="000000" w:themeColor="text1"/>
          <w:vertAlign w:val="baseline"/>
          <w:lang w:eastAsia="zh-CN"/>
          <w14:textFill>
            <w14:solidFill>
              <w14:schemeClr w14:val="tx1"/>
            </w14:solidFill>
          </w14:textFill>
        </w:rPr>
        <w:t>），</w:t>
      </w:r>
      <w:r>
        <w:rPr>
          <w:rFonts w:hint="eastAsia"/>
          <w:color w:val="000000" w:themeColor="text1"/>
          <w:kern w:val="0"/>
          <w:lang w:bidi="ar"/>
          <w14:textFill>
            <w14:solidFill>
              <w14:schemeClr w14:val="tx1"/>
            </w14:solidFill>
          </w14:textFill>
        </w:rPr>
        <w:t>南五、南六</w:t>
      </w:r>
      <w:r>
        <w:rPr>
          <w:color w:val="000000" w:themeColor="text1"/>
          <w:kern w:val="0"/>
          <w:lang w:bidi="ar"/>
          <w14:textFill>
            <w14:solidFill>
              <w14:schemeClr w14:val="tx1"/>
            </w14:solidFill>
          </w14:textFill>
        </w:rPr>
        <w:t>余土摊平处理区</w:t>
      </w:r>
      <w:r>
        <w:rPr>
          <w:rFonts w:hint="eastAsia"/>
          <w:color w:val="000000" w:themeColor="text1"/>
          <w:kern w:val="0"/>
          <w:lang w:val="en-US" w:eastAsia="zh-CN" w:bidi="ar"/>
          <w14:textFill>
            <w14:solidFill>
              <w14:schemeClr w14:val="tx1"/>
            </w14:solidFill>
          </w14:textFill>
        </w:rPr>
        <w:t>消纳0.35</w:t>
      </w:r>
      <w:r>
        <w:rPr>
          <w:rFonts w:hint="eastAsia"/>
          <w:color w:val="000000" w:themeColor="text1"/>
          <w:lang w:val="en-US" w:eastAsia="zh-CN"/>
          <w14:textFill>
            <w14:solidFill>
              <w14:schemeClr w14:val="tx1"/>
            </w14:solidFill>
          </w14:textFill>
        </w:rPr>
        <w:t>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kern w:val="0"/>
          <w:lang w:val="en-US" w:eastAsia="zh-CN" w:bidi="ar"/>
          <w14:textFill>
            <w14:solidFill>
              <w14:schemeClr w14:val="tx1"/>
            </w14:solidFill>
          </w14:textFill>
        </w:rPr>
        <w:t>。根据上述分析，</w:t>
      </w:r>
      <w:r>
        <w:rPr>
          <w:rFonts w:hint="eastAsia"/>
          <w:color w:val="000000" w:themeColor="text1"/>
          <w14:textFill>
            <w14:solidFill>
              <w14:schemeClr w14:val="tx1"/>
            </w14:solidFill>
          </w14:textFill>
        </w:rPr>
        <w:t>董家堰临时堆场及</w:t>
      </w:r>
      <w:r>
        <w:rPr>
          <w:rFonts w:hint="eastAsia"/>
          <w:color w:val="000000" w:themeColor="text1"/>
          <w:kern w:val="0"/>
          <w:lang w:bidi="ar"/>
          <w14:textFill>
            <w14:solidFill>
              <w14:schemeClr w14:val="tx1"/>
            </w14:solidFill>
          </w14:textFill>
        </w:rPr>
        <w:t>南五、南六</w:t>
      </w:r>
      <w:r>
        <w:rPr>
          <w:color w:val="000000" w:themeColor="text1"/>
          <w:kern w:val="0"/>
          <w:lang w:bidi="ar"/>
          <w14:textFill>
            <w14:solidFill>
              <w14:schemeClr w14:val="tx1"/>
            </w14:solidFill>
          </w14:textFill>
        </w:rPr>
        <w:t>余土摊平处理区</w:t>
      </w:r>
      <w:r>
        <w:rPr>
          <w:rFonts w:hint="eastAsia"/>
          <w:color w:val="000000" w:themeColor="text1"/>
          <w14:textFill>
            <w14:solidFill>
              <w14:schemeClr w14:val="tx1"/>
            </w14:solidFill>
          </w14:textFill>
        </w:rPr>
        <w:t>共可消纳2.46万m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弃土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故临时堆土场和余土摊平处理区</w:t>
      </w:r>
      <w:r>
        <w:rPr>
          <w:rFonts w:hint="eastAsia"/>
          <w:color w:val="000000" w:themeColor="text1"/>
          <w:kern w:val="0"/>
          <w:lang w:bidi="ar"/>
          <w14:textFill>
            <w14:solidFill>
              <w14:schemeClr w14:val="tx1"/>
            </w14:solidFill>
          </w14:textFill>
        </w:rPr>
        <w:t>剩余</w:t>
      </w:r>
      <w:r>
        <w:rPr>
          <w:rFonts w:hint="eastAsia"/>
          <w:color w:val="000000" w:themeColor="text1"/>
          <w14:textFill>
            <w14:solidFill>
              <w14:schemeClr w14:val="tx1"/>
            </w14:solidFill>
          </w14:textFill>
        </w:rPr>
        <w:t>容量可以满足项目土方临时堆放及消纳要求。</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2.4.3.3施工材料</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1、砼用粗细骨料</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根据成都市环保要求，工程所需砼用粗细骨料拟采用外购商混，工程区跨度较大，自北向南依次跨越了新都区、成华区、锦江区及龙泉驿区等地，根据调查，项目周边分布的大型商混站较多，这些商混站产量均可达1000～4000m</w:t>
      </w:r>
      <w:r>
        <w:rPr>
          <w:rFonts w:hint="eastAsia" w:eastAsia="宋"/>
          <w:color w:val="000000" w:themeColor="text1"/>
          <w:sz w:val="24"/>
          <w:vertAlign w:val="superscript"/>
          <w14:textFill>
            <w14:solidFill>
              <w14:schemeClr w14:val="tx1"/>
            </w14:solidFill>
          </w14:textFill>
        </w:rPr>
        <w:t>3</w:t>
      </w:r>
      <w:r>
        <w:rPr>
          <w:rFonts w:hint="eastAsia" w:eastAsia="宋"/>
          <w:color w:val="000000" w:themeColor="text1"/>
          <w:sz w:val="24"/>
          <w14:textFill>
            <w14:solidFill>
              <w14:schemeClr w14:val="tx1"/>
            </w14:solidFill>
          </w14:textFill>
        </w:rPr>
        <w:t>/天以上，质量满足行业要求，可满足工程需要。</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工程所需碎石、块石、卵石和砂料。根据调查，工程区附近大型砂石料场主要位于新都、龙泉驿等地，工程区跨度较大，东风渠北片区可考虑在新都区、等地的砂石料场购买，平均运距约12km，东风渠南片区可考虑在成华、龙泉驿等地的砂石料场进行购买，平均运距约10km。</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2、填筑料</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工程所需填筑料和回填料可充分利用工程开挖料，工程区覆盖层主要为冲洪积粉质黏土、粉土及下部的卵砾石夹砂层。</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本次工程开挖范围内土方开挖量大于所需填筑量，储量满足设计要求。经试验及周边工程经验，场地内开挖的粉土、粉质黏土及卵砾石夹砂层的均满足《水利水电工程天然建筑材料勘察规程》（SL251-2015）对填筑土的技术要求，工程区冲洪积砂卵石层质量基本满足填筑料质量要求，可作为填筑料。</w:t>
      </w:r>
    </w:p>
    <w:p>
      <w:pPr>
        <w:autoSpaceDE/>
        <w:autoSpaceDN/>
        <w:spacing w:line="360" w:lineRule="auto"/>
        <w:jc w:val="both"/>
        <w:outlineLvl w:val="3"/>
        <w:rPr>
          <w:b/>
          <w:color w:val="000000" w:themeColor="text1"/>
          <w:kern w:val="0"/>
          <w:sz w:val="24"/>
          <w:szCs w:val="24"/>
          <w14:textFill>
            <w14:solidFill>
              <w14:schemeClr w14:val="tx1"/>
            </w14:solidFill>
          </w14:textFill>
        </w:rPr>
      </w:pPr>
      <w:bookmarkStart w:id="338" w:name="_Toc70496268"/>
      <w:r>
        <w:rPr>
          <w:rFonts w:hint="eastAsia"/>
          <w:b/>
          <w:color w:val="000000" w:themeColor="text1"/>
          <w:kern w:val="0"/>
          <w:sz w:val="24"/>
          <w:szCs w:val="24"/>
          <w14:textFill>
            <w14:solidFill>
              <w14:schemeClr w14:val="tx1"/>
            </w14:solidFill>
          </w14:textFill>
        </w:rPr>
        <w:t>2.4.3.4施工设备</w:t>
      </w:r>
      <w:bookmarkEnd w:id="338"/>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项目疏浚场地、</w:t>
      </w:r>
      <w:r>
        <w:rPr>
          <w:rFonts w:hint="eastAsia"/>
          <w:color w:val="000000" w:themeColor="text1"/>
          <w:kern w:val="0"/>
          <w:sz w:val="24"/>
          <w:szCs w:val="24"/>
          <w14:textFill>
            <w14:solidFill>
              <w14:schemeClr w14:val="tx1"/>
            </w14:solidFill>
          </w14:textFill>
        </w:rPr>
        <w:t>临时堆土场</w:t>
      </w:r>
      <w:r>
        <w:rPr>
          <w:color w:val="000000" w:themeColor="text1"/>
          <w:kern w:val="0"/>
          <w:sz w:val="24"/>
          <w:szCs w:val="24"/>
          <w14:textFill>
            <w14:solidFill>
              <w14:schemeClr w14:val="tx1"/>
            </w14:solidFill>
          </w14:textFill>
        </w:rPr>
        <w:t>主要施工设备如下表所示。</w:t>
      </w:r>
    </w:p>
    <w:p>
      <w:pPr>
        <w:pStyle w:val="129"/>
        <w:wordWrap w:val="0"/>
        <w:spacing w:line="240" w:lineRule="auto"/>
        <w:ind w:firstLine="0" w:firstLineChars="0"/>
        <w:jc w:val="center"/>
        <w:rPr>
          <w:rFonts w:eastAsia="黑体"/>
          <w:color w:val="000000" w:themeColor="text1"/>
          <w:kern w:val="0"/>
          <w:szCs w:val="24"/>
          <w14:textFill>
            <w14:solidFill>
              <w14:schemeClr w14:val="tx1"/>
            </w14:solidFill>
          </w14:textFill>
        </w:rPr>
      </w:pPr>
      <w:r>
        <w:rPr>
          <w:rFonts w:hint="eastAsia" w:eastAsia="黑体"/>
          <w:color w:val="000000" w:themeColor="text1"/>
          <w:kern w:val="0"/>
          <w:szCs w:val="24"/>
          <w14:textFill>
            <w14:solidFill>
              <w14:schemeClr w14:val="tx1"/>
            </w14:solidFill>
          </w14:textFill>
        </w:rPr>
        <w:t>表2.4-6施工主要设备一览表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26"/>
        <w:gridCol w:w="2387"/>
        <w:gridCol w:w="1974"/>
        <w:gridCol w:w="1708"/>
        <w:gridCol w:w="14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128"/>
              <w:keepNext w:val="0"/>
              <w:keepLines w:val="0"/>
              <w:widowControl/>
              <w:suppressLineNumbers w:val="0"/>
              <w:spacing w:before="0" w:beforeAutospacing="0" w:after="0" w:afterAutospacing="0"/>
              <w:ind w:left="0" w:right="0"/>
              <w:rPr>
                <w:rFonts w:hint="default"/>
                <w:b/>
                <w:bCs/>
                <w:color w:val="000000" w:themeColor="text1"/>
                <w:lang w:val="zh-CN"/>
                <w14:textFill>
                  <w14:solidFill>
                    <w14:schemeClr w14:val="tx1"/>
                  </w14:solidFill>
                </w14:textFill>
              </w:rPr>
            </w:pPr>
            <w:r>
              <w:rPr>
                <w:rFonts w:hint="eastAsia"/>
                <w:b/>
                <w:bCs/>
                <w:color w:val="000000" w:themeColor="text1"/>
                <w14:textFill>
                  <w14:solidFill>
                    <w14:schemeClr w14:val="tx1"/>
                  </w14:solidFill>
                </w14:textFill>
              </w:rPr>
              <w:t>序号</w:t>
            </w:r>
          </w:p>
        </w:tc>
        <w:tc>
          <w:tcPr>
            <w:tcW w:w="1400" w:type="pct"/>
            <w:vAlign w:val="center"/>
          </w:tcPr>
          <w:p>
            <w:pPr>
              <w:pStyle w:val="128"/>
              <w:keepNext w:val="0"/>
              <w:keepLines w:val="0"/>
              <w:widowControl/>
              <w:suppressLineNumbers w:val="0"/>
              <w:spacing w:before="0" w:beforeAutospacing="0" w:after="0" w:afterAutospacing="0"/>
              <w:ind w:left="0" w:right="0"/>
              <w:rPr>
                <w:rFonts w:hint="default"/>
                <w:b/>
                <w:bCs/>
                <w:color w:val="000000" w:themeColor="text1"/>
                <w:lang w:val="zh-CN"/>
                <w14:textFill>
                  <w14:solidFill>
                    <w14:schemeClr w14:val="tx1"/>
                  </w14:solidFill>
                </w14:textFill>
              </w:rPr>
            </w:pPr>
            <w:r>
              <w:rPr>
                <w:rFonts w:hint="eastAsia"/>
                <w:b/>
                <w:bCs/>
                <w:color w:val="000000" w:themeColor="text1"/>
                <w14:textFill>
                  <w14:solidFill>
                    <w14:schemeClr w14:val="tx1"/>
                  </w14:solidFill>
                </w14:textFill>
              </w:rPr>
              <w:t>名称</w:t>
            </w:r>
          </w:p>
        </w:tc>
        <w:tc>
          <w:tcPr>
            <w:tcW w:w="1158" w:type="pct"/>
            <w:vAlign w:val="center"/>
          </w:tcPr>
          <w:p>
            <w:pPr>
              <w:pStyle w:val="128"/>
              <w:keepNext w:val="0"/>
              <w:keepLines w:val="0"/>
              <w:widowControl/>
              <w:suppressLineNumbers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规格型号</w:t>
            </w:r>
          </w:p>
        </w:tc>
        <w:tc>
          <w:tcPr>
            <w:tcW w:w="1002" w:type="pct"/>
            <w:vAlign w:val="center"/>
          </w:tcPr>
          <w:p>
            <w:pPr>
              <w:pStyle w:val="128"/>
              <w:keepNext w:val="0"/>
              <w:keepLines w:val="0"/>
              <w:widowControl/>
              <w:suppressLineNumbers w:val="0"/>
              <w:spacing w:before="0" w:beforeAutospacing="0" w:after="0" w:afterAutospacing="0"/>
              <w:ind w:left="0" w:right="0"/>
              <w:rPr>
                <w:rFonts w:hint="default"/>
                <w:b/>
                <w:bCs/>
                <w:color w:val="000000" w:themeColor="text1"/>
                <w:lang w:val="zh-CN"/>
                <w14:textFill>
                  <w14:solidFill>
                    <w14:schemeClr w14:val="tx1"/>
                  </w14:solidFill>
                </w14:textFill>
              </w:rPr>
            </w:pPr>
            <w:r>
              <w:rPr>
                <w:rFonts w:hint="eastAsia"/>
                <w:b/>
                <w:bCs/>
                <w:color w:val="000000" w:themeColor="text1"/>
                <w14:textFill>
                  <w14:solidFill>
                    <w14:schemeClr w14:val="tx1"/>
                  </w14:solidFill>
                </w14:textFill>
              </w:rPr>
              <w:t>单位</w:t>
            </w:r>
          </w:p>
        </w:tc>
        <w:tc>
          <w:tcPr>
            <w:tcW w:w="834" w:type="pct"/>
            <w:vAlign w:val="center"/>
          </w:tcPr>
          <w:p>
            <w:pPr>
              <w:pStyle w:val="128"/>
              <w:keepNext w:val="0"/>
              <w:keepLines w:val="0"/>
              <w:widowControl/>
              <w:suppressLineNumbers w:val="0"/>
              <w:spacing w:before="0" w:beforeAutospacing="0" w:after="0" w:afterAutospacing="0"/>
              <w:ind w:left="0" w:right="0"/>
              <w:rPr>
                <w:rFonts w:hint="default"/>
                <w:b/>
                <w:bCs/>
                <w:color w:val="000000" w:themeColor="text1"/>
                <w:lang w:val="zh-CN"/>
                <w14:textFill>
                  <w14:solidFill>
                    <w14:schemeClr w14:val="tx1"/>
                  </w14:solidFill>
                </w14:textFill>
              </w:rPr>
            </w:pPr>
            <w:r>
              <w:rPr>
                <w:rFonts w:hint="eastAsia"/>
                <w:b/>
                <w:bCs/>
                <w:color w:val="000000" w:themeColor="text1"/>
                <w14:textFill>
                  <w14:solidFill>
                    <w14:schemeClr w14:val="tx1"/>
                  </w14:solidFill>
                </w14:textFill>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sz w:val="14"/>
                <w:szCs w:val="14"/>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单斗挖掘机液压</w:t>
            </w:r>
            <w:r>
              <w:rPr>
                <w:rFonts w:hint="default" w:eastAsia="Times New Roman"/>
                <w:color w:val="000000" w:themeColor="text1"/>
                <w14:textFill>
                  <w14:solidFill>
                    <w14:schemeClr w14:val="tx1"/>
                  </w14:solidFill>
                </w14:textFill>
              </w:rPr>
              <w:t>1m</w:t>
            </w:r>
            <w:r>
              <w:rPr>
                <w:rFonts w:hint="default" w:eastAsia="Times New Roman"/>
                <w:color w:val="000000" w:themeColor="text1"/>
                <w:position w:val="7"/>
                <w:sz w:val="14"/>
                <w:szCs w:val="14"/>
                <w14:textFill>
                  <w14:solidFill>
                    <w14:schemeClr w14:val="tx1"/>
                  </w14:solidFill>
                </w14:textFill>
              </w:rPr>
              <w:t>3</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1258.8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sz w:val="14"/>
                <w:szCs w:val="14"/>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单斗挖掘机液压</w:t>
            </w:r>
            <w:r>
              <w:rPr>
                <w:rFonts w:hint="default" w:eastAsia="Times New Roman"/>
                <w:color w:val="000000" w:themeColor="text1"/>
                <w14:textFill>
                  <w14:solidFill>
                    <w14:schemeClr w14:val="tx1"/>
                  </w14:solidFill>
                </w14:textFill>
              </w:rPr>
              <w:t>1.6m</w:t>
            </w:r>
            <w:r>
              <w:rPr>
                <w:rFonts w:hint="default" w:eastAsia="Times New Roman"/>
                <w:color w:val="000000" w:themeColor="text1"/>
                <w:position w:val="7"/>
                <w:sz w:val="14"/>
                <w:szCs w:val="14"/>
                <w14:textFill>
                  <w14:solidFill>
                    <w14:schemeClr w14:val="tx1"/>
                  </w14:solidFill>
                </w14:textFill>
              </w:rPr>
              <w:t>3</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8"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sz w:val="14"/>
                <w:szCs w:val="14"/>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单斗挖掘机液压</w:t>
            </w:r>
            <w:r>
              <w:rPr>
                <w:rFonts w:hint="default" w:eastAsia="Times New Roman"/>
                <w:color w:val="000000" w:themeColor="text1"/>
                <w14:textFill>
                  <w14:solidFill>
                    <w14:schemeClr w14:val="tx1"/>
                  </w14:solidFill>
                </w14:textFill>
              </w:rPr>
              <w:t>2m</w:t>
            </w:r>
            <w:r>
              <w:rPr>
                <w:rFonts w:hint="default" w:eastAsia="Times New Roman"/>
                <w:color w:val="000000" w:themeColor="text1"/>
                <w:position w:val="7"/>
                <w:sz w:val="14"/>
                <w:szCs w:val="14"/>
                <w14:textFill>
                  <w14:solidFill>
                    <w14:schemeClr w14:val="tx1"/>
                  </w14:solidFill>
                </w14:textFill>
              </w:rPr>
              <w:t>3</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推土机</w:t>
            </w:r>
            <w:r>
              <w:rPr>
                <w:rFonts w:hint="default" w:eastAsia="Times New Roman"/>
                <w:color w:val="000000" w:themeColor="text1"/>
                <w14:textFill>
                  <w14:solidFill>
                    <w14:schemeClr w14:val="tx1"/>
                  </w14:solidFill>
                </w14:textFill>
              </w:rPr>
              <w:t>59kw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推土机</w:t>
            </w:r>
            <w:r>
              <w:rPr>
                <w:rFonts w:hint="default" w:eastAsia="Times New Roman"/>
                <w:color w:val="000000" w:themeColor="text1"/>
                <w14:textFill>
                  <w14:solidFill>
                    <w14:schemeClr w14:val="tx1"/>
                  </w14:solidFill>
                </w14:textFill>
              </w:rPr>
              <w:t>74kw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831.7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推土机</w:t>
            </w:r>
            <w:r>
              <w:rPr>
                <w:rFonts w:hint="default" w:eastAsia="Times New Roman"/>
                <w:color w:val="000000" w:themeColor="text1"/>
                <w14:textFill>
                  <w14:solidFill>
                    <w14:schemeClr w14:val="tx1"/>
                  </w14:solidFill>
                </w14:textFill>
              </w:rPr>
              <w:t>88kw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192.0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7</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推土机</w:t>
            </w:r>
            <w:r>
              <w:rPr>
                <w:rFonts w:hint="default" w:eastAsia="Times New Roman"/>
                <w:color w:val="000000" w:themeColor="text1"/>
                <w14:textFill>
                  <w14:solidFill>
                    <w14:schemeClr w14:val="tx1"/>
                  </w14:solidFill>
                </w14:textFill>
              </w:rPr>
              <w:t>103kw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414.8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拖拉机履带式</w:t>
            </w:r>
            <w:r>
              <w:rPr>
                <w:rFonts w:hint="default" w:eastAsia="Times New Roman"/>
                <w:color w:val="000000" w:themeColor="text1"/>
                <w14:textFill>
                  <w14:solidFill>
                    <w14:schemeClr w14:val="tx1"/>
                  </w14:solidFill>
                </w14:textFill>
              </w:rPr>
              <w:t>74kw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470.0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9</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振动碾拖式</w:t>
            </w:r>
            <w:r>
              <w:rPr>
                <w:rFonts w:hint="default" w:eastAsia="Times New Roman"/>
                <w:color w:val="000000" w:themeColor="text1"/>
                <w14:textFill>
                  <w14:solidFill>
                    <w14:schemeClr w14:val="tx1"/>
                  </w14:solidFill>
                </w14:textFill>
              </w:rPr>
              <w:t>13-14t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10</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刨毛机</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spacing w:val="-4"/>
                <w14:textFill>
                  <w14:solidFill>
                    <w14:schemeClr w14:val="tx1"/>
                  </w14:solidFill>
                </w14:textFill>
              </w:rPr>
              <w:t>11</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蛙式夯实机</w:t>
            </w:r>
            <w:r>
              <w:rPr>
                <w:rFonts w:hint="default" w:eastAsia="Times New Roman"/>
                <w:color w:val="000000" w:themeColor="text1"/>
                <w14:textFill>
                  <w14:solidFill>
                    <w14:schemeClr w14:val="tx1"/>
                  </w14:solidFill>
                </w14:textFill>
              </w:rPr>
              <w:t>2.8kw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272.2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12</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电钻</w:t>
            </w:r>
            <w:r>
              <w:rPr>
                <w:rFonts w:hint="default" w:eastAsia="Times New Roman"/>
                <w:color w:val="000000" w:themeColor="text1"/>
                <w14:textFill>
                  <w14:solidFill>
                    <w14:schemeClr w14:val="tx1"/>
                  </w14:solidFill>
                </w14:textFill>
              </w:rPr>
              <w:t>1.5kw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169.2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13</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振捣器插入式</w:t>
            </w:r>
            <w:r>
              <w:rPr>
                <w:rFonts w:hint="default" w:eastAsia="Times New Roman"/>
                <w:color w:val="000000" w:themeColor="text1"/>
                <w14:textFill>
                  <w14:solidFill>
                    <w14:schemeClr w14:val="tx1"/>
                  </w14:solidFill>
                </w14:textFill>
              </w:rPr>
              <w:t>1.1kw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4226.2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14</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振捣器插入式</w:t>
            </w:r>
            <w:r>
              <w:rPr>
                <w:rFonts w:hint="default" w:eastAsia="Times New Roman"/>
                <w:color w:val="000000" w:themeColor="text1"/>
                <w14:textFill>
                  <w14:solidFill>
                    <w14:schemeClr w14:val="tx1"/>
                  </w14:solidFill>
                </w14:textFill>
              </w:rPr>
              <w:t>2.2kw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15</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风</w:t>
            </w:r>
            <w:r>
              <w:rPr>
                <w:rFonts w:hint="eastAsia" w:ascii="宋体" w:hAnsi="宋体" w:cs="宋体"/>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砂</w:t>
            </w:r>
            <w:r>
              <w:rPr>
                <w:rFonts w:hint="eastAsia" w:ascii="宋体" w:hAnsi="宋体" w:cs="宋体"/>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水枪</w:t>
            </w:r>
            <w:r>
              <w:rPr>
                <w:rFonts w:hint="default" w:eastAsia="Times New Roman"/>
                <w:color w:val="000000" w:themeColor="text1"/>
                <w14:textFill>
                  <w14:solidFill>
                    <w14:schemeClr w14:val="tx1"/>
                  </w14:solidFill>
                </w14:textFill>
              </w:rPr>
              <w:t>6m</w:t>
            </w:r>
            <w:r>
              <w:rPr>
                <w:rFonts w:hint="default" w:eastAsia="Times New Roman"/>
                <w:color w:val="000000" w:themeColor="text1"/>
                <w:vertAlign w:val="superscript"/>
                <w14:textFill>
                  <w14:solidFill>
                    <w14:schemeClr w14:val="tx1"/>
                  </w14:solidFill>
                </w14:textFill>
              </w:rPr>
              <w:t>3</w:t>
            </w:r>
            <w:r>
              <w:rPr>
                <w:rFonts w:hint="default" w:eastAsia="Times New Roman"/>
                <w:color w:val="000000" w:themeColor="text1"/>
                <w14:textFill>
                  <w14:solidFill>
                    <w14:schemeClr w14:val="tx1"/>
                  </w14:solidFill>
                </w14:textFill>
              </w:rPr>
              <w:t>/min</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2726.0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载重汽车</w:t>
            </w:r>
            <w:r>
              <w:rPr>
                <w:rFonts w:hint="default" w:eastAsia="Times New Roman"/>
                <w:color w:val="000000" w:themeColor="text1"/>
                <w14:textFill>
                  <w14:solidFill>
                    <w14:schemeClr w14:val="tx1"/>
                  </w14:solidFill>
                </w14:textFill>
              </w:rPr>
              <w:t>5t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384.5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17</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自卸汽车</w:t>
            </w:r>
            <w:r>
              <w:rPr>
                <w:rFonts w:hint="default" w:eastAsia="Times New Roman"/>
                <w:color w:val="000000" w:themeColor="text1"/>
                <w14:textFill>
                  <w14:solidFill>
                    <w14:schemeClr w14:val="tx1"/>
                  </w14:solidFill>
                </w14:textFill>
              </w:rPr>
              <w:t>5t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68.7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18</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自卸汽车</w:t>
            </w:r>
            <w:r>
              <w:rPr>
                <w:rFonts w:hint="default" w:eastAsia="Times New Roman"/>
                <w:color w:val="000000" w:themeColor="text1"/>
                <w14:textFill>
                  <w14:solidFill>
                    <w14:schemeClr w14:val="tx1"/>
                  </w14:solidFill>
                </w14:textFill>
              </w:rPr>
              <w:t>8t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4509.4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19</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自卸汽车</w:t>
            </w:r>
            <w:r>
              <w:rPr>
                <w:rFonts w:hint="default" w:eastAsia="Times New Roman"/>
                <w:color w:val="000000" w:themeColor="text1"/>
                <w14:textFill>
                  <w14:solidFill>
                    <w14:schemeClr w14:val="tx1"/>
                  </w14:solidFill>
                </w14:textFill>
              </w:rPr>
              <w:t>10t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1636.7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20</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胶轮车</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8865.0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21</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塔式起重机</w:t>
            </w:r>
            <w:r>
              <w:rPr>
                <w:rFonts w:hint="default" w:eastAsia="Times New Roman"/>
                <w:color w:val="000000" w:themeColor="text1"/>
                <w14:textFill>
                  <w14:solidFill>
                    <w14:schemeClr w14:val="tx1"/>
                  </w14:solidFill>
                </w14:textFill>
              </w:rPr>
              <w:t>10t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22</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汽车起重机</w:t>
            </w:r>
            <w:r>
              <w:rPr>
                <w:rFonts w:hint="default" w:eastAsia="Times New Roman"/>
                <w:color w:val="000000" w:themeColor="text1"/>
                <w14:textFill>
                  <w14:solidFill>
                    <w14:schemeClr w14:val="tx1"/>
                  </w14:solidFill>
                </w14:textFill>
              </w:rPr>
              <w:t>5t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4607.5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23</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电动葫芦</w:t>
            </w:r>
            <w:r>
              <w:rPr>
                <w:rFonts w:hint="default" w:eastAsia="Times New Roman"/>
                <w:color w:val="000000" w:themeColor="text1"/>
                <w14:textFill>
                  <w14:solidFill>
                    <w14:schemeClr w14:val="tx1"/>
                  </w14:solidFill>
                </w14:textFill>
              </w:rPr>
              <w:t>3t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24</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卷扬机单筒慢速</w:t>
            </w:r>
            <w:r>
              <w:rPr>
                <w:rFonts w:hint="default" w:eastAsia="Times New Roman"/>
                <w:color w:val="000000" w:themeColor="text1"/>
                <w14:textFill>
                  <w14:solidFill>
                    <w14:schemeClr w14:val="tx1"/>
                  </w14:solidFill>
                </w14:textFill>
              </w:rPr>
              <w:t>3t</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25</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电焊机交流</w:t>
            </w:r>
            <w:r>
              <w:rPr>
                <w:rFonts w:hint="default" w:eastAsia="Times New Roman"/>
                <w:color w:val="000000" w:themeColor="text1"/>
                <w:spacing w:val="-7"/>
                <w14:textFill>
                  <w14:solidFill>
                    <w14:schemeClr w14:val="tx1"/>
                  </w14:solidFill>
                </w14:textFill>
              </w:rPr>
              <w:t>25kVA</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5704.6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26</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对焊机电弧型</w:t>
            </w:r>
            <w:r>
              <w:rPr>
                <w:rFonts w:hint="default" w:eastAsia="Times New Roman"/>
                <w:color w:val="000000" w:themeColor="text1"/>
                <w14:textFill>
                  <w14:solidFill>
                    <w14:schemeClr w14:val="tx1"/>
                  </w14:solidFill>
                </w14:textFill>
              </w:rPr>
              <w:t>150</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169.8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27</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钢筋弯曲机Φ</w:t>
            </w:r>
            <w:r>
              <w:rPr>
                <w:rFonts w:hint="default" w:eastAsia="Times New Roman"/>
                <w:color w:val="000000" w:themeColor="text1"/>
                <w14:textFill>
                  <w14:solidFill>
                    <w14:schemeClr w14:val="tx1"/>
                  </w14:solidFill>
                </w14:textFill>
              </w:rPr>
              <w:t>6</w:t>
            </w:r>
            <w:r>
              <w:rPr>
                <w:rFonts w:hint="default" w:ascii="宋体" w:hAnsi="宋体" w:cs="宋体"/>
                <w:color w:val="000000" w:themeColor="text1"/>
                <w14:textFill>
                  <w14:solidFill>
                    <w14:schemeClr w14:val="tx1"/>
                  </w14:solidFill>
                </w14:textFill>
              </w:rPr>
              <w:t>－</w:t>
            </w:r>
            <w:r>
              <w:rPr>
                <w:rFonts w:hint="default" w:eastAsia="Times New Roman"/>
                <w:color w:val="000000" w:themeColor="text1"/>
                <w14:textFill>
                  <w14:solidFill>
                    <w14:schemeClr w14:val="tx1"/>
                  </w14:solidFill>
                </w14:textFill>
              </w:rPr>
              <w:t>40</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446.4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28</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钢筋切断机</w:t>
            </w:r>
            <w:r>
              <w:rPr>
                <w:rFonts w:hint="default" w:eastAsia="Times New Roman"/>
                <w:color w:val="000000" w:themeColor="text1"/>
                <w14:textFill>
                  <w14:solidFill>
                    <w14:schemeClr w14:val="tx1"/>
                  </w14:solidFill>
                </w14:textFill>
              </w:rPr>
              <w:t>20kW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202.1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29</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钢筋调直机</w:t>
            </w:r>
            <w:r>
              <w:rPr>
                <w:rFonts w:hint="default" w:eastAsia="Times New Roman"/>
                <w:color w:val="000000" w:themeColor="text1"/>
                <w14:textFill>
                  <w14:solidFill>
                    <w14:schemeClr w14:val="tx1"/>
                  </w14:solidFill>
                </w14:textFill>
              </w:rPr>
              <w:t>4-14kW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254.8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30</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型钢剪断机</w:t>
            </w:r>
            <w:r>
              <w:rPr>
                <w:rFonts w:hint="default" w:eastAsia="Times New Roman"/>
                <w:color w:val="000000" w:themeColor="text1"/>
                <w14:textFill>
                  <w14:solidFill>
                    <w14:schemeClr w14:val="tx1"/>
                  </w14:solidFill>
                </w14:textFill>
              </w:rPr>
              <w:t>13kW</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bidi="zh-CN"/>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台时</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5"/>
              <w:rPr>
                <w:rFonts w:hint="default" w:eastAsia="宋体"/>
                <w:color w:val="000000" w:themeColor="text1"/>
                <w:lang w:val="en-US" w:eastAsia="zh-CN" w:bidi="zh-CN"/>
                <w14:textFill>
                  <w14:solidFill>
                    <w14:schemeClr w14:val="tx1"/>
                  </w14:solidFill>
                </w14:textFill>
              </w:rPr>
            </w:pPr>
            <w:r>
              <w:rPr>
                <w:rFonts w:hint="eastAsia"/>
                <w:color w:val="000000" w:themeColor="text1"/>
                <w:lang w:val="en-US" w:eastAsia="zh-CN"/>
                <w14:textFill>
                  <w14:solidFill>
                    <w14:schemeClr w14:val="tx1"/>
                  </w14:solidFill>
                </w14:textFill>
              </w:rPr>
              <w:t>31</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雾炮洒水车型</w:t>
            </w:r>
          </w:p>
        </w:tc>
        <w:tc>
          <w:tcPr>
            <w:tcW w:w="1158" w:type="pct"/>
            <w:vAlign w:val="center"/>
          </w:tcPr>
          <w:p>
            <w:pPr>
              <w:keepNext w:val="0"/>
              <w:keepLines w:val="0"/>
              <w:suppressLineNumbers w:val="0"/>
              <w:autoSpaceDE/>
              <w:autoSpaceDN/>
              <w:adjustRightInd w:val="0"/>
              <w:snapToGrid w:val="0"/>
              <w:spacing w:before="0" w:beforeAutospacing="0" w:after="0" w:afterAutospacing="0"/>
              <w:ind w:left="0" w:right="0"/>
              <w:jc w:val="center"/>
              <w:rPr>
                <w:rFonts w:hint="default"/>
                <w:color w:val="000000" w:themeColor="text1"/>
                <w:szCs w:val="24"/>
                <w14:textFill>
                  <w14:solidFill>
                    <w14:schemeClr w14:val="tx1"/>
                  </w14:solidFill>
                </w14:textFill>
              </w:rPr>
            </w:pPr>
            <w:r>
              <w:rPr>
                <w:rFonts w:hint="eastAsia" w:cs="宋体"/>
                <w:color w:val="000000" w:themeColor="text1"/>
                <w:lang w:bidi="zh-CN"/>
                <w14:textFill>
                  <w14:solidFill>
                    <w14:schemeClr w14:val="tx1"/>
                  </w14:solidFill>
                </w14:textFill>
              </w:rPr>
              <w: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5"/>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5"/>
              <w:rPr>
                <w:rFonts w:hint="default" w:eastAsia="宋体"/>
                <w:color w:val="000000" w:themeColor="text1"/>
                <w:lang w:val="en-US" w:eastAsia="zh-CN" w:bidi="zh-CN"/>
                <w14:textFill>
                  <w14:solidFill>
                    <w14:schemeClr w14:val="tx1"/>
                  </w14:solidFill>
                </w14:textFill>
              </w:rPr>
            </w:pPr>
            <w:r>
              <w:rPr>
                <w:rFonts w:hint="eastAsia"/>
                <w:color w:val="000000" w:themeColor="text1"/>
                <w:lang w:val="en-US" w:eastAsia="zh-CN"/>
                <w14:textFill>
                  <w14:solidFill>
                    <w14:schemeClr w14:val="tx1"/>
                  </w14:solidFill>
                </w14:textFill>
              </w:rPr>
              <w:t>32</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柴油发电机组</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50kW</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5"/>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602" w:type="pct"/>
            <w:vAlign w:val="center"/>
          </w:tcPr>
          <w:p>
            <w:pPr>
              <w:pStyle w:val="60"/>
              <w:keepNext w:val="0"/>
              <w:keepLines w:val="0"/>
              <w:suppressLineNumbers w:val="0"/>
              <w:autoSpaceDE/>
              <w:autoSpaceDN/>
              <w:adjustRightInd w:val="0"/>
              <w:snapToGrid w:val="0"/>
              <w:spacing w:before="0" w:beforeAutospacing="0" w:after="0" w:afterAutospacing="0"/>
              <w:ind w:left="0" w:right="5"/>
              <w:rPr>
                <w:rFonts w:hint="default" w:eastAsia="宋体"/>
                <w:color w:val="000000" w:themeColor="text1"/>
                <w:lang w:val="en-US" w:eastAsia="zh-CN" w:bidi="zh-CN"/>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1400"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汽车吊</w:t>
            </w:r>
          </w:p>
        </w:tc>
        <w:tc>
          <w:tcPr>
            <w:tcW w:w="1158"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25t</w:t>
            </w:r>
          </w:p>
        </w:tc>
        <w:tc>
          <w:tcPr>
            <w:tcW w:w="1002" w:type="pct"/>
            <w:vAlign w:val="center"/>
          </w:tcPr>
          <w:p>
            <w:pPr>
              <w:pStyle w:val="60"/>
              <w:keepNext w:val="0"/>
              <w:keepLines w:val="0"/>
              <w:suppressLineNumbers w:val="0"/>
              <w:autoSpaceDE/>
              <w:autoSpaceDN/>
              <w:adjustRightInd w:val="0"/>
              <w:snapToGrid w:val="0"/>
              <w:spacing w:before="0" w:beforeAutospacing="0" w:after="0" w:afterAutospacing="0"/>
              <w:ind w:left="0" w:right="5"/>
              <w:rPr>
                <w:rFonts w:hint="default" w:ascii="宋体" w:hAnsi="宋体" w:cs="宋体"/>
                <w:color w:val="000000" w:themeColor="text1"/>
                <w:lang w:val="zh-CN" w:bidi="zh-CN"/>
                <w14:textFill>
                  <w14:solidFill>
                    <w14:schemeClr w14:val="tx1"/>
                  </w14:solidFill>
                </w14:textFill>
              </w:rPr>
            </w:pPr>
            <w:r>
              <w:rPr>
                <w:rFonts w:hint="default" w:ascii="宋体" w:hAnsi="宋体" w:cs="宋体"/>
                <w:color w:val="000000" w:themeColor="text1"/>
                <w14:textFill>
                  <w14:solidFill>
                    <w14:schemeClr w14:val="tx1"/>
                  </w14:solidFill>
                </w14:textFill>
              </w:rPr>
              <w:t>台</w:t>
            </w:r>
          </w:p>
        </w:tc>
        <w:tc>
          <w:tcPr>
            <w:tcW w:w="834" w:type="pct"/>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eastAsia="Times New Roman"/>
                <w:color w:val="000000" w:themeColor="text1"/>
                <w:lang w:val="zh-CN" w:bidi="zh-CN"/>
                <w14:textFill>
                  <w14:solidFill>
                    <w14:schemeClr w14:val="tx1"/>
                  </w14:solidFill>
                </w14:textFill>
              </w:rPr>
            </w:pPr>
            <w:r>
              <w:rPr>
                <w:rFonts w:hint="default"/>
                <w:color w:val="000000" w:themeColor="text1"/>
                <w14:textFill>
                  <w14:solidFill>
                    <w14:schemeClr w14:val="tx1"/>
                  </w14:solidFill>
                </w14:textFill>
              </w:rPr>
              <w:t>4</w:t>
            </w:r>
          </w:p>
        </w:tc>
      </w:tr>
    </w:tbl>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2.5.3.5混凝土拌合系统</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根据成都市保护环境、减少城市噪音和粉尘污染等环保要求，禁止现场自拌混凝土。本项目所需混凝土均使用商品混凝土，故不需设置混凝土拌合系统。</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2.5.3.6机械停放场及机修厂</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在各施工区内设置机械停放场，机械修配在附近城镇进行，施工区不再另设机修厂，大型修配任务考虑外协解决，零配件及备品备件尽可能外购或外协加工，在工区停放场仅综合进行小型机械修配、保养，对运输车辆和其它主要机械进行简单保养和修配。</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2.5.3.7水、电及通讯</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用水：本工程施工用水利用水泵就近抽取河道来水，生活用水主要采用就近拉运的方式解决。</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施工用电：本工程施工用电就近从附近电网架设10kV输电线路至各施工点，供电保证率较高，同时为了避免停电的影响，本工程拟配置75kW柴油发电机作为备用电源。</w:t>
      </w:r>
    </w:p>
    <w:p>
      <w:pPr>
        <w:adjustRightInd w:val="0"/>
        <w:snapToGrid w:val="0"/>
        <w:spacing w:line="360" w:lineRule="auto"/>
        <w:ind w:firstLine="480" w:firstLineChars="200"/>
        <w:rPr>
          <w:rFonts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施工通讯：工程区内有移动通讯及电信网络覆盖，施工期通讯可采用移动电话，场内通讯也可采用移动对讲机解决。</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39" w:name="_Toc13933"/>
      <w:r>
        <w:rPr>
          <w:rFonts w:hint="eastAsia" w:eastAsia="黑体"/>
          <w:b/>
          <w:color w:val="000000" w:themeColor="text1"/>
          <w:kern w:val="0"/>
          <w:sz w:val="28"/>
          <w:szCs w:val="24"/>
          <w14:textFill>
            <w14:solidFill>
              <w14:schemeClr w14:val="tx1"/>
            </w14:solidFill>
          </w14:textFill>
        </w:rPr>
        <w:t>2.4.4工程占地与移民安置</w:t>
      </w:r>
      <w:bookmarkEnd w:id="339"/>
    </w:p>
    <w:p>
      <w:pPr>
        <w:adjustRightInd w:val="0"/>
        <w:snapToGrid w:val="0"/>
        <w:spacing w:line="360" w:lineRule="auto"/>
        <w:ind w:firstLine="480" w:firstLineChars="200"/>
        <w:rPr>
          <w:rFonts w:hint="default" w:eastAsia="宋"/>
          <w:color w:val="000000" w:themeColor="text1"/>
          <w:sz w:val="24"/>
          <w:lang w:val="en-US" w:eastAsia="zh-CN"/>
          <w14:textFill>
            <w14:solidFill>
              <w14:schemeClr w14:val="tx1"/>
            </w14:solidFill>
          </w14:textFill>
        </w:rPr>
      </w:pPr>
      <w:r>
        <w:rPr>
          <w:rFonts w:hint="eastAsia" w:eastAsia="宋"/>
          <w:color w:val="000000" w:themeColor="text1"/>
          <w:sz w:val="24"/>
          <w14:textFill>
            <w14:solidFill>
              <w14:schemeClr w14:val="tx1"/>
            </w14:solidFill>
          </w14:textFill>
        </w:rPr>
        <w:t>根据现场调查，工程建设征地不涉及人口、房屋拆迁，无压覆矿产资源和文物古迹</w:t>
      </w:r>
      <w:r>
        <w:rPr>
          <w:rFonts w:hint="eastAsia" w:eastAsia="宋"/>
          <w:color w:val="000000" w:themeColor="text1"/>
          <w:sz w:val="24"/>
          <w:lang w:eastAsia="zh-CN"/>
          <w14:textFill>
            <w14:solidFill>
              <w14:schemeClr w14:val="tx1"/>
            </w14:solidFill>
          </w14:textFill>
        </w:rPr>
        <w:t>；</w:t>
      </w:r>
      <w:r>
        <w:rPr>
          <w:rFonts w:hint="eastAsia" w:eastAsia="宋"/>
          <w:color w:val="000000" w:themeColor="text1"/>
          <w:sz w:val="24"/>
          <w:lang w:val="en-US" w:eastAsia="zh-CN"/>
          <w14:textFill>
            <w14:solidFill>
              <w14:schemeClr w14:val="tx1"/>
            </w14:solidFill>
          </w14:textFill>
        </w:rPr>
        <w:t>建设内容中，临时占地和永久占地均不涉及永久基本农田</w:t>
      </w:r>
      <w:r>
        <w:rPr>
          <w:rFonts w:hint="eastAsia" w:eastAsia="宋"/>
          <w:color w:val="000000" w:themeColor="text1"/>
          <w:sz w:val="24"/>
          <w14:textFill>
            <w14:solidFill>
              <w14:schemeClr w14:val="tx1"/>
            </w14:solidFill>
          </w14:textFill>
        </w:rPr>
        <w:t>。</w:t>
      </w:r>
    </w:p>
    <w:p>
      <w:pPr>
        <w:pStyle w:val="14"/>
        <w:adjustRightInd w:val="0"/>
        <w:snapToGrid w:val="0"/>
        <w:spacing w:line="360" w:lineRule="auto"/>
        <w:ind w:firstLine="480" w:firstLineChars="200"/>
        <w:jc w:val="both"/>
        <w:rPr>
          <w:rFonts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项目占地包括永久占地（包括：水域及水利设施用地、耕地、林地</w:t>
      </w:r>
      <w:r>
        <w:rPr>
          <w:rFonts w:hint="eastAsia" w:eastAsia="宋"/>
          <w:color w:val="000000" w:themeColor="text1"/>
          <w:szCs w:val="21"/>
          <w:lang w:eastAsia="zh-CN"/>
          <w14:textFill>
            <w14:solidFill>
              <w14:schemeClr w14:val="tx1"/>
            </w14:solidFill>
          </w14:textFill>
        </w:rPr>
        <w:t>、</w:t>
      </w:r>
      <w:r>
        <w:rPr>
          <w:rFonts w:hint="eastAsia" w:eastAsia="宋"/>
          <w:color w:val="000000" w:themeColor="text1"/>
          <w:szCs w:val="21"/>
          <w:lang w:val="en-US" w:eastAsia="zh-CN"/>
          <w14:textFill>
            <w14:solidFill>
              <w14:schemeClr w14:val="tx1"/>
            </w14:solidFill>
          </w14:textFill>
        </w:rPr>
        <w:t>建设用地</w:t>
      </w:r>
      <w:r>
        <w:rPr>
          <w:rFonts w:hint="eastAsia" w:eastAsia="宋"/>
          <w:color w:val="000000" w:themeColor="text1"/>
          <w:szCs w:val="21"/>
          <w14:textFill>
            <w14:solidFill>
              <w14:schemeClr w14:val="tx1"/>
            </w14:solidFill>
          </w14:textFill>
        </w:rPr>
        <w:t>）和临时占地（包括：耕地、林地），均</w:t>
      </w:r>
      <w:r>
        <w:rPr>
          <w:rFonts w:hint="eastAsia" w:eastAsia="宋"/>
          <w:color w:val="000000" w:themeColor="text1"/>
          <w:szCs w:val="21"/>
          <w:lang w:val="en-US" w:eastAsia="zh-CN"/>
          <w14:textFill>
            <w14:solidFill>
              <w14:schemeClr w14:val="tx1"/>
            </w14:solidFill>
          </w14:textFill>
        </w:rPr>
        <w:t>不涉及占用基本农田和</w:t>
      </w:r>
      <w:r>
        <w:rPr>
          <w:rFonts w:hint="eastAsia" w:eastAsia="宋"/>
          <w:color w:val="000000" w:themeColor="text1"/>
          <w:szCs w:val="21"/>
          <w14:textFill>
            <w14:solidFill>
              <w14:schemeClr w14:val="tx1"/>
            </w14:solidFill>
          </w14:textFill>
        </w:rPr>
        <w:t>生态红线</w:t>
      </w:r>
      <w:r>
        <w:rPr>
          <w:rFonts w:hint="eastAsia" w:eastAsia="宋"/>
          <w:color w:val="000000" w:themeColor="text1"/>
          <w:szCs w:val="21"/>
          <w:lang w:val="en-US" w:eastAsia="zh-CN"/>
          <w14:textFill>
            <w14:solidFill>
              <w14:schemeClr w14:val="tx1"/>
            </w14:solidFill>
          </w14:textFill>
        </w:rPr>
        <w:t>。</w:t>
      </w:r>
      <w:r>
        <w:rPr>
          <w:rFonts w:hint="eastAsia" w:eastAsia="宋"/>
          <w:color w:val="000000" w:themeColor="text1"/>
          <w:szCs w:val="21"/>
          <w14:textFill>
            <w14:solidFill>
              <w14:schemeClr w14:val="tx1"/>
            </w14:solidFill>
          </w14:textFill>
        </w:rPr>
        <w:t>临时占地主要包括临时道路、施工工区、临时堆土点以及施工作业带等临时设施。工程占地情况如下：</w:t>
      </w:r>
    </w:p>
    <w:p>
      <w:pPr>
        <w:autoSpaceDE/>
        <w:autoSpaceDN/>
        <w:adjustRightInd w:val="0"/>
        <w:snapToGrid w:val="0"/>
        <w:ind w:firstLine="480" w:firstLineChars="200"/>
        <w:jc w:val="center"/>
        <w:rPr>
          <w:rFonts w:eastAsia="黑体"/>
          <w:color w:val="000000" w:themeColor="text1"/>
          <w:kern w:val="0"/>
          <w:sz w:val="24"/>
          <w:szCs w:val="24"/>
          <w:vertAlign w:val="superscript"/>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表2.4-7项目占地一览表单位：hm</w:t>
      </w:r>
      <w:r>
        <w:rPr>
          <w:rFonts w:hint="eastAsia" w:eastAsia="黑体"/>
          <w:color w:val="000000" w:themeColor="text1"/>
          <w:kern w:val="0"/>
          <w:sz w:val="24"/>
          <w:szCs w:val="24"/>
          <w:vertAlign w:val="superscript"/>
          <w14:textFill>
            <w14:solidFill>
              <w14:schemeClr w14:val="tx1"/>
            </w14:solidFill>
          </w14:textFill>
        </w:rPr>
        <w:t>2</w:t>
      </w:r>
    </w:p>
    <w:tbl>
      <w:tblPr>
        <w:tblStyle w:val="38"/>
        <w:tblW w:w="498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063"/>
        <w:gridCol w:w="955"/>
        <w:gridCol w:w="859"/>
        <w:gridCol w:w="1009"/>
        <w:gridCol w:w="941"/>
        <w:gridCol w:w="927"/>
        <w:gridCol w:w="764"/>
        <w:gridCol w:w="8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48" w:type="pct"/>
            <w:vMerge w:val="restar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themeColor="text1"/>
                <w:kern w:val="0"/>
                <w14:textFill>
                  <w14:solidFill>
                    <w14:schemeClr w14:val="tx1"/>
                  </w14:solidFill>
                </w14:textFill>
              </w:rPr>
            </w:pPr>
            <w:r>
              <w:rPr>
                <w:rFonts w:hint="default" w:ascii="Times New Roman" w:hAnsi="Times New Roman" w:cs="Times New Roman"/>
                <w:b/>
                <w:bCs/>
                <w:color w:val="000000" w:themeColor="text1"/>
                <w:kern w:val="0"/>
                <w14:textFill>
                  <w14:solidFill>
                    <w14:schemeClr w14:val="tx1"/>
                  </w14:solidFill>
                </w14:textFill>
              </w:rPr>
              <w:t>项目组成</w:t>
            </w:r>
          </w:p>
        </w:tc>
        <w:tc>
          <w:tcPr>
            <w:tcW w:w="2840" w:type="pct"/>
            <w:gridSpan w:val="5"/>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themeColor="text1"/>
                <w:kern w:val="0"/>
                <w14:textFill>
                  <w14:solidFill>
                    <w14:schemeClr w14:val="tx1"/>
                  </w14:solidFill>
                </w14:textFill>
              </w:rPr>
            </w:pPr>
            <w:r>
              <w:rPr>
                <w:rFonts w:hint="default" w:ascii="Times New Roman" w:hAnsi="Times New Roman" w:cs="Times New Roman"/>
                <w:b/>
                <w:bCs/>
                <w:color w:val="000000" w:themeColor="text1"/>
                <w:kern w:val="0"/>
                <w14:textFill>
                  <w14:solidFill>
                    <w14:schemeClr w14:val="tx1"/>
                  </w14:solidFill>
                </w14:textFill>
              </w:rPr>
              <w:t>占地面积及类型</w:t>
            </w:r>
          </w:p>
        </w:tc>
        <w:tc>
          <w:tcPr>
            <w:tcW w:w="1510" w:type="pct"/>
            <w:gridSpan w:val="3"/>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themeColor="text1"/>
                <w:kern w:val="0"/>
                <w14:textFill>
                  <w14:solidFill>
                    <w14:schemeClr w14:val="tx1"/>
                  </w14:solidFill>
                </w14:textFill>
              </w:rPr>
            </w:pPr>
            <w:r>
              <w:rPr>
                <w:rFonts w:hint="default" w:ascii="Times New Roman" w:hAnsi="Times New Roman" w:cs="Times New Roman"/>
                <w:b/>
                <w:bCs/>
                <w:color w:val="000000" w:themeColor="text1"/>
                <w:kern w:val="0"/>
                <w14:textFill>
                  <w14:solidFill>
                    <w14:schemeClr w14:val="tx1"/>
                  </w14:solidFill>
                </w14:textFill>
              </w:rPr>
              <w:t>占地性质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648" w:type="pct"/>
            <w:vMerge w:val="continue"/>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p>
        </w:tc>
        <w:tc>
          <w:tcPr>
            <w:tcW w:w="625"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水域及水利设施用地</w:t>
            </w:r>
          </w:p>
        </w:tc>
        <w:tc>
          <w:tcPr>
            <w:tcW w:w="561"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耕地</w:t>
            </w:r>
          </w:p>
        </w:tc>
        <w:tc>
          <w:tcPr>
            <w:tcW w:w="505"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林地</w:t>
            </w:r>
          </w:p>
        </w:tc>
        <w:tc>
          <w:tcPr>
            <w:tcW w:w="593"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lang w:val="en-US" w:eastAsia="zh-CN"/>
                <w14:textFill>
                  <w14:solidFill>
                    <w14:schemeClr w14:val="tx1"/>
                  </w14:solidFill>
                </w14:textFill>
              </w:rPr>
            </w:pPr>
            <w:r>
              <w:rPr>
                <w:rFonts w:hint="default" w:ascii="Times New Roman" w:hAnsi="Times New Roman" w:cs="Times New Roman"/>
                <w:color w:val="000000" w:themeColor="text1"/>
                <w:kern w:val="0"/>
                <w:lang w:val="en-US" w:eastAsia="zh-CN"/>
                <w14:textFill>
                  <w14:solidFill>
                    <w14:schemeClr w14:val="tx1"/>
                  </w14:solidFill>
                </w14:textFill>
              </w:rPr>
              <w:t>建设用地</w:t>
            </w:r>
          </w:p>
        </w:tc>
        <w:tc>
          <w:tcPr>
            <w:tcW w:w="553"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lang w:val="en-US" w:eastAsia="zh-CN"/>
                <w14:textFill>
                  <w14:solidFill>
                    <w14:schemeClr w14:val="tx1"/>
                  </w14:solidFill>
                </w14:textFill>
              </w:rPr>
            </w:pPr>
            <w:r>
              <w:rPr>
                <w:rFonts w:hint="default" w:ascii="Times New Roman" w:hAnsi="Times New Roman" w:cs="Times New Roman"/>
                <w:color w:val="000000" w:themeColor="text1"/>
                <w:kern w:val="0"/>
                <w:lang w:val="en-US" w:eastAsia="zh-CN"/>
                <w14:textFill>
                  <w14:solidFill>
                    <w14:schemeClr w14:val="tx1"/>
                  </w14:solidFill>
                </w14:textFill>
              </w:rPr>
              <w:t>其他</w:t>
            </w:r>
            <w:r>
              <w:rPr>
                <w:rFonts w:hint="eastAsia" w:ascii="Times New Roman" w:hAnsi="Times New Roman" w:cs="Times New Roman"/>
                <w:color w:val="000000" w:themeColor="text1"/>
                <w:kern w:val="0"/>
                <w:lang w:val="en-US" w:eastAsia="zh-CN"/>
                <w14:textFill>
                  <w14:solidFill>
                    <w14:schemeClr w14:val="tx1"/>
                  </w14:solidFill>
                </w14:textFill>
              </w:rPr>
              <w:t>农用</w:t>
            </w:r>
            <w:r>
              <w:rPr>
                <w:rFonts w:hint="default" w:ascii="Times New Roman" w:hAnsi="Times New Roman" w:cs="Times New Roman"/>
                <w:color w:val="000000" w:themeColor="text1"/>
                <w:kern w:val="0"/>
                <w:lang w:val="en-US" w:eastAsia="zh-CN"/>
                <w14:textFill>
                  <w14:solidFill>
                    <w14:schemeClr w14:val="tx1"/>
                  </w14:solidFill>
                </w14:textFill>
              </w:rPr>
              <w:t>地</w:t>
            </w:r>
          </w:p>
        </w:tc>
        <w:tc>
          <w:tcPr>
            <w:tcW w:w="545"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永久</w:t>
            </w:r>
          </w:p>
        </w:tc>
        <w:tc>
          <w:tcPr>
            <w:tcW w:w="449"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临时</w:t>
            </w:r>
          </w:p>
        </w:tc>
        <w:tc>
          <w:tcPr>
            <w:tcW w:w="516"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小计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48"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灌排渠道工程</w:t>
            </w:r>
          </w:p>
        </w:tc>
        <w:tc>
          <w:tcPr>
            <w:tcW w:w="62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5.18</w:t>
            </w:r>
          </w:p>
        </w:tc>
        <w:tc>
          <w:tcPr>
            <w:tcW w:w="561"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0.1487</w:t>
            </w:r>
          </w:p>
        </w:tc>
        <w:tc>
          <w:tcPr>
            <w:tcW w:w="50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0.3314</w:t>
            </w:r>
          </w:p>
        </w:tc>
        <w:tc>
          <w:tcPr>
            <w:tcW w:w="59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eastAsia"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0</w:t>
            </w:r>
          </w:p>
        </w:tc>
        <w:tc>
          <w:tcPr>
            <w:tcW w:w="55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0</w:t>
            </w:r>
          </w:p>
        </w:tc>
        <w:tc>
          <w:tcPr>
            <w:tcW w:w="54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5.6601</w:t>
            </w:r>
          </w:p>
        </w:tc>
        <w:tc>
          <w:tcPr>
            <w:tcW w:w="449"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0</w:t>
            </w:r>
          </w:p>
        </w:tc>
        <w:tc>
          <w:tcPr>
            <w:tcW w:w="516"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4.5311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8"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施工工区</w:t>
            </w:r>
          </w:p>
        </w:tc>
        <w:tc>
          <w:tcPr>
            <w:tcW w:w="62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w:t>
            </w:r>
          </w:p>
        </w:tc>
        <w:tc>
          <w:tcPr>
            <w:tcW w:w="561"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0.14</w:t>
            </w:r>
          </w:p>
        </w:tc>
        <w:tc>
          <w:tcPr>
            <w:tcW w:w="50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0.26</w:t>
            </w:r>
          </w:p>
        </w:tc>
        <w:tc>
          <w:tcPr>
            <w:tcW w:w="59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w:t>
            </w:r>
          </w:p>
        </w:tc>
        <w:tc>
          <w:tcPr>
            <w:tcW w:w="55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w:t>
            </w:r>
          </w:p>
        </w:tc>
        <w:tc>
          <w:tcPr>
            <w:tcW w:w="54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0</w:t>
            </w:r>
          </w:p>
        </w:tc>
        <w:tc>
          <w:tcPr>
            <w:tcW w:w="449"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0.4</w:t>
            </w:r>
          </w:p>
        </w:tc>
        <w:tc>
          <w:tcPr>
            <w:tcW w:w="516"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48"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临时堆土区</w:t>
            </w:r>
          </w:p>
        </w:tc>
        <w:tc>
          <w:tcPr>
            <w:tcW w:w="62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w:t>
            </w:r>
          </w:p>
        </w:tc>
        <w:tc>
          <w:tcPr>
            <w:tcW w:w="561"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0.82</w:t>
            </w:r>
          </w:p>
        </w:tc>
        <w:tc>
          <w:tcPr>
            <w:tcW w:w="50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0.21</w:t>
            </w:r>
          </w:p>
        </w:tc>
        <w:tc>
          <w:tcPr>
            <w:tcW w:w="59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w:t>
            </w:r>
          </w:p>
        </w:tc>
        <w:tc>
          <w:tcPr>
            <w:tcW w:w="55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w:t>
            </w:r>
          </w:p>
        </w:tc>
        <w:tc>
          <w:tcPr>
            <w:tcW w:w="54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0</w:t>
            </w:r>
          </w:p>
        </w:tc>
        <w:tc>
          <w:tcPr>
            <w:tcW w:w="449"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1.03</w:t>
            </w:r>
          </w:p>
        </w:tc>
        <w:tc>
          <w:tcPr>
            <w:tcW w:w="516"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1.03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8"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施工道路</w:t>
            </w:r>
          </w:p>
        </w:tc>
        <w:tc>
          <w:tcPr>
            <w:tcW w:w="62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w:t>
            </w:r>
          </w:p>
        </w:tc>
        <w:tc>
          <w:tcPr>
            <w:tcW w:w="561"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0</w:t>
            </w:r>
            <w:r>
              <w:rPr>
                <w:rFonts w:hint="eastAsia" w:ascii="Times New Roman" w:hAnsi="Times New Roman" w:cs="Times New Roman"/>
                <w:color w:val="000000" w:themeColor="text1"/>
                <w:sz w:val="22"/>
                <w:szCs w:val="24"/>
                <w14:textFill>
                  <w14:solidFill>
                    <w14:schemeClr w14:val="tx1"/>
                  </w14:solidFill>
                </w14:textFill>
              </w:rPr>
              <w:t>.65</w:t>
            </w:r>
          </w:p>
        </w:tc>
        <w:tc>
          <w:tcPr>
            <w:tcW w:w="50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0</w:t>
            </w:r>
            <w:r>
              <w:rPr>
                <w:rFonts w:hint="eastAsia" w:ascii="Times New Roman" w:hAnsi="Times New Roman" w:cs="Times New Roman"/>
                <w:color w:val="000000" w:themeColor="text1"/>
                <w:sz w:val="22"/>
                <w:szCs w:val="24"/>
                <w14:textFill>
                  <w14:solidFill>
                    <w14:schemeClr w14:val="tx1"/>
                  </w14:solidFill>
                </w14:textFill>
              </w:rPr>
              <w:t>.29</w:t>
            </w:r>
          </w:p>
        </w:tc>
        <w:tc>
          <w:tcPr>
            <w:tcW w:w="59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0.73</w:t>
            </w:r>
          </w:p>
        </w:tc>
        <w:tc>
          <w:tcPr>
            <w:tcW w:w="55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0.145</w:t>
            </w:r>
          </w:p>
        </w:tc>
        <w:tc>
          <w:tcPr>
            <w:tcW w:w="54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default" w:ascii="Times New Roman" w:hAnsi="Times New Roman" w:cs="Times New Roman"/>
                <w:color w:val="000000" w:themeColor="text1"/>
                <w:sz w:val="22"/>
                <w:szCs w:val="24"/>
                <w14:textFill>
                  <w14:solidFill>
                    <w14:schemeClr w14:val="tx1"/>
                  </w14:solidFill>
                </w14:textFill>
              </w:rPr>
              <w:t>0</w:t>
            </w:r>
          </w:p>
        </w:tc>
        <w:tc>
          <w:tcPr>
            <w:tcW w:w="449"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1.82</w:t>
            </w:r>
          </w:p>
        </w:tc>
        <w:tc>
          <w:tcPr>
            <w:tcW w:w="516"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3.129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48"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ascii="Times New Roman" w:hAnsi="Times New Roman" w:eastAsia="等线"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合计</w:t>
            </w:r>
          </w:p>
        </w:tc>
        <w:tc>
          <w:tcPr>
            <w:tcW w:w="62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5.18</w:t>
            </w:r>
          </w:p>
        </w:tc>
        <w:tc>
          <w:tcPr>
            <w:tcW w:w="561"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2.7587</w:t>
            </w:r>
          </w:p>
        </w:tc>
        <w:tc>
          <w:tcPr>
            <w:tcW w:w="50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2.0914</w:t>
            </w:r>
          </w:p>
        </w:tc>
        <w:tc>
          <w:tcPr>
            <w:tcW w:w="59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0.73</w:t>
            </w:r>
          </w:p>
        </w:tc>
        <w:tc>
          <w:tcPr>
            <w:tcW w:w="553"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14:textFill>
                  <w14:solidFill>
                    <w14:schemeClr w14:val="tx1"/>
                  </w14:solidFill>
                </w14:textFill>
              </w:rPr>
              <w:t>0.145</w:t>
            </w:r>
          </w:p>
        </w:tc>
        <w:tc>
          <w:tcPr>
            <w:tcW w:w="545"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5.6601</w:t>
            </w:r>
          </w:p>
        </w:tc>
        <w:tc>
          <w:tcPr>
            <w:tcW w:w="449"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3.25</w:t>
            </w:r>
          </w:p>
        </w:tc>
        <w:tc>
          <w:tcPr>
            <w:tcW w:w="516" w:type="pct"/>
            <w:tcBorders>
              <w:tl2br w:val="nil"/>
              <w:tr2bl w:val="nil"/>
            </w:tcBorders>
            <w:shd w:val="clear" w:color="auto" w:fill="auto"/>
            <w:noWrap/>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2"/>
                <w:szCs w:val="24"/>
                <w:lang w:val="en-US" w:eastAsia="zh-CN"/>
                <w14:textFill>
                  <w14:solidFill>
                    <w14:schemeClr w14:val="tx1"/>
                  </w14:solidFill>
                </w14:textFill>
              </w:rPr>
            </w:pPr>
            <w:r>
              <w:rPr>
                <w:rFonts w:hint="eastAsia" w:ascii="Times New Roman" w:hAnsi="Times New Roman" w:cs="Times New Roman"/>
                <w:color w:val="000000" w:themeColor="text1"/>
                <w:sz w:val="22"/>
                <w:szCs w:val="24"/>
                <w:lang w:val="en-US" w:eastAsia="zh-CN"/>
                <w14:textFill>
                  <w14:solidFill>
                    <w14:schemeClr w14:val="tx1"/>
                  </w14:solidFill>
                </w14:textFill>
              </w:rPr>
              <w:t>8.9101</w:t>
            </w:r>
          </w:p>
        </w:tc>
      </w:tr>
    </w:tbl>
    <w:p>
      <w:pPr>
        <w:widowControl/>
        <w:wordWrap w:val="0"/>
        <w:spacing w:line="360" w:lineRule="auto"/>
        <w:ind w:firstLine="480" w:firstLineChars="200"/>
        <w:jc w:val="both"/>
        <w:rPr>
          <w:rFonts w:hint="eastAsia" w:eastAsia="宋"/>
          <w:color w:val="000000" w:themeColor="text1"/>
          <w:sz w:val="24"/>
          <w14:textFill>
            <w14:solidFill>
              <w14:schemeClr w14:val="tx1"/>
            </w14:solidFill>
          </w14:textFill>
        </w:rPr>
      </w:pPr>
      <w:r>
        <w:rPr>
          <w:rFonts w:hint="eastAsia" w:eastAsia="宋"/>
          <w:color w:val="000000" w:themeColor="text1"/>
          <w:sz w:val="24"/>
          <w14:textFill>
            <w14:solidFill>
              <w14:schemeClr w14:val="tx1"/>
            </w14:solidFill>
          </w14:textFill>
        </w:rPr>
        <w:t>本项目</w:t>
      </w:r>
      <w:r>
        <w:rPr>
          <w:rFonts w:hint="eastAsia" w:ascii="Times New Roman" w:hAnsi="Times New Roman" w:cs="Times New Roman"/>
          <w:bCs/>
          <w:color w:val="000000" w:themeColor="text1"/>
          <w:sz w:val="24"/>
          <w:szCs w:val="24"/>
          <w:lang w:val="en-US" w:eastAsia="zh-CN"/>
          <w14:textFill>
            <w14:solidFill>
              <w14:schemeClr w14:val="tx1"/>
            </w14:solidFill>
          </w14:textFill>
        </w:rPr>
        <w:t>南五支渠起点至下游约2.037km、南六支渠起点至下游约0.6km</w:t>
      </w:r>
      <w:r>
        <w:rPr>
          <w:rFonts w:hint="eastAsia" w:eastAsia="宋"/>
          <w:color w:val="000000" w:themeColor="text1"/>
          <w:sz w:val="24"/>
          <w14:textFill>
            <w14:solidFill>
              <w14:schemeClr w14:val="tx1"/>
            </w14:solidFill>
          </w14:textFill>
        </w:rPr>
        <w:t>位于龙泉花果山风景名胜区（省级自然保护地）三级保护区（十陵片区）内</w:t>
      </w:r>
      <w:r>
        <w:rPr>
          <w:rFonts w:hint="eastAsia" w:eastAsia="宋"/>
          <w:color w:val="000000" w:themeColor="text1"/>
          <w:sz w:val="24"/>
          <w:lang w:eastAsia="zh-CN"/>
          <w14:textFill>
            <w14:solidFill>
              <w14:schemeClr w14:val="tx1"/>
            </w14:solidFill>
          </w14:textFill>
        </w:rPr>
        <w:t>，</w:t>
      </w:r>
      <w:r>
        <w:rPr>
          <w:rFonts w:hint="eastAsia" w:eastAsia="宋"/>
          <w:color w:val="000000" w:themeColor="text1"/>
          <w:sz w:val="24"/>
          <w:lang w:val="en-US" w:eastAsia="zh-CN"/>
          <w14:textFill>
            <w14:solidFill>
              <w14:schemeClr w14:val="tx1"/>
            </w14:solidFill>
          </w14:textFill>
        </w:rPr>
        <w:t>在风景名胜区内涉及占用</w:t>
      </w:r>
      <w:r>
        <w:rPr>
          <w:rFonts w:hint="eastAsia" w:eastAsia="宋"/>
          <w:color w:val="000000" w:themeColor="text1"/>
          <w:sz w:val="24"/>
          <w14:textFill>
            <w14:solidFill>
              <w14:schemeClr w14:val="tx1"/>
            </w14:solidFill>
          </w14:textFill>
        </w:rPr>
        <w:t>耕地0.0187</w:t>
      </w:r>
      <w:r>
        <w:rPr>
          <w:rFonts w:hint="eastAsia" w:eastAsia="宋"/>
          <w:color w:val="000000" w:themeColor="text1"/>
          <w:sz w:val="24"/>
          <w:lang w:val="en-US" w:eastAsia="zh-CN"/>
          <w14:textFill>
            <w14:solidFill>
              <w14:schemeClr w14:val="tx1"/>
            </w14:solidFill>
          </w14:textFill>
        </w:rPr>
        <w:t>hm</w:t>
      </w:r>
      <w:r>
        <w:rPr>
          <w:rFonts w:hint="eastAsia" w:eastAsia="宋"/>
          <w:color w:val="000000" w:themeColor="text1"/>
          <w:sz w:val="24"/>
          <w:vertAlign w:val="superscript"/>
          <w:lang w:val="en-US" w:eastAsia="zh-CN"/>
          <w14:textFill>
            <w14:solidFill>
              <w14:schemeClr w14:val="tx1"/>
            </w14:solidFill>
          </w14:textFill>
        </w:rPr>
        <w:t>2</w:t>
      </w:r>
      <w:r>
        <w:rPr>
          <w:rFonts w:hint="eastAsia" w:eastAsia="宋"/>
          <w:color w:val="000000" w:themeColor="text1"/>
          <w:sz w:val="24"/>
          <w14:textFill>
            <w14:solidFill>
              <w14:schemeClr w14:val="tx1"/>
            </w14:solidFill>
          </w14:textFill>
        </w:rPr>
        <w:t>，林地0.6013</w:t>
      </w:r>
      <w:r>
        <w:rPr>
          <w:rFonts w:hint="eastAsia" w:eastAsia="宋"/>
          <w:color w:val="000000" w:themeColor="text1"/>
          <w:sz w:val="24"/>
          <w:lang w:val="en-US" w:eastAsia="zh-CN"/>
          <w14:textFill>
            <w14:solidFill>
              <w14:schemeClr w14:val="tx1"/>
            </w14:solidFill>
          </w14:textFill>
        </w:rPr>
        <w:t>hm</w:t>
      </w:r>
      <w:r>
        <w:rPr>
          <w:rFonts w:hint="eastAsia" w:eastAsia="宋"/>
          <w:color w:val="000000" w:themeColor="text1"/>
          <w:sz w:val="24"/>
          <w:vertAlign w:val="superscript"/>
          <w:lang w:val="en-US" w:eastAsia="zh-CN"/>
          <w14:textFill>
            <w14:solidFill>
              <w14:schemeClr w14:val="tx1"/>
            </w14:solidFill>
          </w14:textFill>
        </w:rPr>
        <w:t>2</w:t>
      </w:r>
      <w:r>
        <w:rPr>
          <w:rFonts w:hint="eastAsia" w:eastAsia="宋"/>
          <w:color w:val="000000" w:themeColor="text1"/>
          <w:sz w:val="24"/>
          <w14:textFill>
            <w14:solidFill>
              <w14:schemeClr w14:val="tx1"/>
            </w14:solidFill>
          </w14:textFill>
        </w:rPr>
        <w:t>，其他用地0.1260</w:t>
      </w:r>
      <w:r>
        <w:rPr>
          <w:rFonts w:hint="eastAsia" w:eastAsia="宋"/>
          <w:color w:val="000000" w:themeColor="text1"/>
          <w:sz w:val="24"/>
          <w:lang w:val="en-US" w:eastAsia="zh-CN"/>
          <w14:textFill>
            <w14:solidFill>
              <w14:schemeClr w14:val="tx1"/>
            </w14:solidFill>
          </w14:textFill>
        </w:rPr>
        <w:t>hm</w:t>
      </w:r>
      <w:r>
        <w:rPr>
          <w:rFonts w:hint="eastAsia" w:eastAsia="宋"/>
          <w:color w:val="000000" w:themeColor="text1"/>
          <w:sz w:val="24"/>
          <w:vertAlign w:val="superscript"/>
          <w:lang w:val="en-US" w:eastAsia="zh-CN"/>
          <w14:textFill>
            <w14:solidFill>
              <w14:schemeClr w14:val="tx1"/>
            </w14:solidFill>
          </w14:textFill>
        </w:rPr>
        <w:t>2</w:t>
      </w:r>
      <w:r>
        <w:rPr>
          <w:rFonts w:hint="eastAsia" w:eastAsia="宋"/>
          <w:color w:val="000000" w:themeColor="text1"/>
          <w:sz w:val="24"/>
          <w:lang w:eastAsia="zh-CN"/>
          <w14:textFill>
            <w14:solidFill>
              <w14:schemeClr w14:val="tx1"/>
            </w14:solidFill>
          </w14:textFill>
        </w:rPr>
        <w:t>；</w:t>
      </w:r>
      <w:r>
        <w:rPr>
          <w:rFonts w:hint="eastAsia" w:eastAsia="宋"/>
          <w:color w:val="000000" w:themeColor="text1"/>
          <w:sz w:val="24"/>
          <w14:textFill>
            <w14:solidFill>
              <w14:schemeClr w14:val="tx1"/>
            </w14:solidFill>
          </w14:textFill>
        </w:rPr>
        <w:t>建设用地0.5447</w:t>
      </w:r>
      <w:r>
        <w:rPr>
          <w:rFonts w:hint="eastAsia" w:eastAsia="宋"/>
          <w:color w:val="000000" w:themeColor="text1"/>
          <w:sz w:val="24"/>
          <w:lang w:val="en-US" w:eastAsia="zh-CN"/>
          <w14:textFill>
            <w14:solidFill>
              <w14:schemeClr w14:val="tx1"/>
            </w14:solidFill>
          </w14:textFill>
        </w:rPr>
        <w:t>hm</w:t>
      </w:r>
      <w:r>
        <w:rPr>
          <w:rFonts w:hint="eastAsia" w:eastAsia="宋"/>
          <w:color w:val="000000" w:themeColor="text1"/>
          <w:sz w:val="24"/>
          <w:vertAlign w:val="superscript"/>
          <w:lang w:val="en-US" w:eastAsia="zh-CN"/>
          <w14:textFill>
            <w14:solidFill>
              <w14:schemeClr w14:val="tx1"/>
            </w14:solidFill>
          </w14:textFill>
        </w:rPr>
        <w:t>2</w:t>
      </w:r>
      <w:r>
        <w:rPr>
          <w:rFonts w:hint="eastAsia" w:eastAsia="宋"/>
          <w:color w:val="000000" w:themeColor="text1"/>
          <w:sz w:val="24"/>
          <w:lang w:eastAsia="zh-CN"/>
          <w14:textFill>
            <w14:solidFill>
              <w14:schemeClr w14:val="tx1"/>
            </w14:solidFill>
          </w14:textFill>
        </w:rPr>
        <w:t>；</w:t>
      </w:r>
      <w:r>
        <w:rPr>
          <w:color w:val="000000" w:themeColor="text1"/>
          <w:sz w:val="24"/>
          <w:szCs w:val="24"/>
          <w14:textFill>
            <w14:solidFill>
              <w14:schemeClr w14:val="tx1"/>
            </w14:solidFill>
          </w14:textFill>
        </w:rPr>
        <w:t>水域及</w:t>
      </w:r>
      <w:r>
        <w:rPr>
          <w:rFonts w:hint="eastAsia" w:eastAsia="宋"/>
          <w:color w:val="000000" w:themeColor="text1"/>
          <w:sz w:val="24"/>
          <w:lang w:val="en-US" w:eastAsia="zh-CN"/>
          <w14:textFill>
            <w14:solidFill>
              <w14:schemeClr w14:val="tx1"/>
            </w14:solidFill>
          </w14:textFill>
        </w:rPr>
        <w:t>水利设施用地</w:t>
      </w:r>
      <w:r>
        <w:rPr>
          <w:rFonts w:hint="eastAsia" w:eastAsia="宋"/>
          <w:color w:val="000000" w:themeColor="text1"/>
          <w:sz w:val="24"/>
          <w14:textFill>
            <w14:solidFill>
              <w14:schemeClr w14:val="tx1"/>
            </w14:solidFill>
          </w14:textFill>
        </w:rPr>
        <w:t>0.2060</w:t>
      </w:r>
      <w:r>
        <w:rPr>
          <w:rFonts w:hint="eastAsia" w:eastAsia="宋"/>
          <w:color w:val="000000" w:themeColor="text1"/>
          <w:sz w:val="24"/>
          <w:lang w:val="en-US" w:eastAsia="zh-CN"/>
          <w14:textFill>
            <w14:solidFill>
              <w14:schemeClr w14:val="tx1"/>
            </w14:solidFill>
          </w14:textFill>
        </w:rPr>
        <w:t>hm</w:t>
      </w:r>
      <w:r>
        <w:rPr>
          <w:rFonts w:hint="eastAsia" w:eastAsia="宋"/>
          <w:color w:val="000000" w:themeColor="text1"/>
          <w:sz w:val="24"/>
          <w:vertAlign w:val="superscript"/>
          <w:lang w:val="en-US" w:eastAsia="zh-CN"/>
          <w14:textFill>
            <w14:solidFill>
              <w14:schemeClr w14:val="tx1"/>
            </w14:solidFill>
          </w14:textFill>
        </w:rPr>
        <w:t>2</w:t>
      </w:r>
      <w:r>
        <w:rPr>
          <w:rFonts w:hint="eastAsia" w:eastAsia="宋"/>
          <w:color w:val="000000" w:themeColor="text1"/>
          <w:sz w:val="24"/>
          <w14:textFill>
            <w14:solidFill>
              <w14:schemeClr w14:val="tx1"/>
            </w14:solidFill>
          </w14:textFill>
        </w:rPr>
        <w:t>。项目在花果山风景名胜区内占地情况具体如下：</w:t>
      </w:r>
    </w:p>
    <w:p>
      <w:pPr>
        <w:autoSpaceDE/>
        <w:autoSpaceDN/>
        <w:adjustRightInd w:val="0"/>
        <w:snapToGrid w:val="0"/>
        <w:ind w:firstLine="480" w:firstLineChars="200"/>
        <w:jc w:val="center"/>
        <w:rPr>
          <w:rFonts w:eastAsia="黑体"/>
          <w:color w:val="000000" w:themeColor="text1"/>
          <w:kern w:val="0"/>
          <w:sz w:val="24"/>
          <w:szCs w:val="24"/>
          <w:vertAlign w:val="superscript"/>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表2.4-8</w:t>
      </w:r>
      <w:r>
        <w:rPr>
          <w:rFonts w:hint="eastAsia" w:eastAsia="黑体"/>
          <w:color w:val="000000" w:themeColor="text1"/>
          <w:kern w:val="0"/>
          <w:sz w:val="24"/>
          <w:szCs w:val="24"/>
          <w:lang w:val="en-US" w:eastAsia="zh-CN"/>
          <w14:textFill>
            <w14:solidFill>
              <w14:schemeClr w14:val="tx1"/>
            </w14:solidFill>
          </w14:textFill>
        </w:rPr>
        <w:t>在花果山风景名胜区内</w:t>
      </w:r>
      <w:r>
        <w:rPr>
          <w:rFonts w:hint="eastAsia" w:eastAsia="黑体"/>
          <w:color w:val="000000" w:themeColor="text1"/>
          <w:kern w:val="0"/>
          <w:sz w:val="24"/>
          <w:szCs w:val="24"/>
          <w14:textFill>
            <w14:solidFill>
              <w14:schemeClr w14:val="tx1"/>
            </w14:solidFill>
          </w14:textFill>
        </w:rPr>
        <w:t>占地一览表单位：hm</w:t>
      </w:r>
      <w:r>
        <w:rPr>
          <w:rFonts w:hint="eastAsia" w:eastAsia="黑体"/>
          <w:color w:val="000000" w:themeColor="text1"/>
          <w:kern w:val="0"/>
          <w:sz w:val="24"/>
          <w:szCs w:val="24"/>
          <w:vertAlign w:val="superscript"/>
          <w14:textFill>
            <w14:solidFill>
              <w14:schemeClr w14:val="tx1"/>
            </w14:solidFill>
          </w14:textFill>
        </w:rPr>
        <w:t>2</w:t>
      </w:r>
    </w:p>
    <w:tbl>
      <w:tblPr>
        <w:tblStyle w:val="38"/>
        <w:tblW w:w="496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7"/>
        <w:gridCol w:w="1177"/>
        <w:gridCol w:w="1301"/>
        <w:gridCol w:w="1398"/>
        <w:gridCol w:w="1424"/>
        <w:gridCol w:w="14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4" w:hRule="atLeast"/>
          <w:jc w:val="center"/>
        </w:trPr>
        <w:tc>
          <w:tcPr>
            <w:tcW w:w="1728" w:type="pct"/>
            <w:gridSpan w:val="2"/>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lang w:val="en-US" w:eastAsia="zh-CN"/>
                <w14:textFill>
                  <w14:solidFill>
                    <w14:schemeClr w14:val="tx1"/>
                  </w14:solidFill>
                </w14:textFill>
              </w:rPr>
              <w:t>项目名称</w:t>
            </w:r>
          </w:p>
        </w:tc>
        <w:tc>
          <w:tcPr>
            <w:tcW w:w="769"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eastAsia" w:eastAsia="宋体"/>
                <w:b/>
                <w:bCs/>
                <w:color w:val="000000" w:themeColor="text1"/>
                <w:kern w:val="0"/>
                <w:lang w:val="en-US" w:eastAsia="zh-CN"/>
                <w14:textFill>
                  <w14:solidFill>
                    <w14:schemeClr w14:val="tx1"/>
                  </w14:solidFill>
                </w14:textFill>
              </w:rPr>
            </w:pPr>
            <w:r>
              <w:rPr>
                <w:rFonts w:hint="eastAsia"/>
                <w:b/>
                <w:bCs/>
                <w:color w:val="000000" w:themeColor="text1"/>
                <w:kern w:val="0"/>
                <w:lang w:val="en-US" w:eastAsia="zh-CN"/>
                <w14:textFill>
                  <w14:solidFill>
                    <w14:schemeClr w14:val="tx1"/>
                  </w14:solidFill>
                </w14:textFill>
              </w:rPr>
              <w:t>风景分区</w:t>
            </w:r>
          </w:p>
        </w:tc>
        <w:tc>
          <w:tcPr>
            <w:tcW w:w="826"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永久占地</w:t>
            </w:r>
          </w:p>
        </w:tc>
        <w:tc>
          <w:tcPr>
            <w:tcW w:w="841"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临时占地</w:t>
            </w:r>
          </w:p>
        </w:tc>
        <w:tc>
          <w:tcPr>
            <w:tcW w:w="834"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eastAsia" w:eastAsia="宋体"/>
                <w:b/>
                <w:bCs/>
                <w:color w:val="000000" w:themeColor="text1"/>
                <w:kern w:val="0"/>
                <w:lang w:val="en-US" w:eastAsia="zh-CN"/>
                <w14:textFill>
                  <w14:solidFill>
                    <w14:schemeClr w14:val="tx1"/>
                  </w14:solidFill>
                </w14:textFill>
              </w:rPr>
            </w:pPr>
            <w:r>
              <w:rPr>
                <w:rFonts w:hint="eastAsia"/>
                <w:b/>
                <w:bCs/>
                <w:color w:val="000000" w:themeColor="text1"/>
                <w:kern w:val="0"/>
                <w:lang w:val="en-US" w:eastAsia="zh-CN"/>
                <w14:textFill>
                  <w14:solidFill>
                    <w14:schemeClr w14:val="tx1"/>
                  </w14:solidFill>
                </w14:textFill>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032" w:type="pct"/>
            <w:vMerge w:val="restar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成都市环城生态区农田综合整治及农业灌区设施建设项目</w:t>
            </w:r>
          </w:p>
        </w:tc>
        <w:tc>
          <w:tcPr>
            <w:tcW w:w="695"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南五支渠</w:t>
            </w:r>
          </w:p>
        </w:tc>
        <w:tc>
          <w:tcPr>
            <w:tcW w:w="769" w:type="pct"/>
            <w:vMerge w:val="restar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三级保护区</w:t>
            </w:r>
          </w:p>
        </w:tc>
        <w:tc>
          <w:tcPr>
            <w:tcW w:w="826"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0.2822</w:t>
            </w:r>
          </w:p>
        </w:tc>
        <w:tc>
          <w:tcPr>
            <w:tcW w:w="841"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0.8317</w:t>
            </w:r>
          </w:p>
        </w:tc>
        <w:tc>
          <w:tcPr>
            <w:tcW w:w="834"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1.1139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032" w:type="pct"/>
            <w:vMerge w:val="continue"/>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color w:val="000000" w:themeColor="text1"/>
                <w:kern w:val="0"/>
                <w:lang w:val="en-US" w:eastAsia="zh-CN"/>
                <w14:textFill>
                  <w14:solidFill>
                    <w14:schemeClr w14:val="tx1"/>
                  </w14:solidFill>
                </w14:textFill>
              </w:rPr>
            </w:pPr>
          </w:p>
        </w:tc>
        <w:tc>
          <w:tcPr>
            <w:tcW w:w="695"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南六支渠</w:t>
            </w:r>
          </w:p>
        </w:tc>
        <w:tc>
          <w:tcPr>
            <w:tcW w:w="769" w:type="pct"/>
            <w:vMerge w:val="continue"/>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826"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0.0969</w:t>
            </w:r>
          </w:p>
        </w:tc>
        <w:tc>
          <w:tcPr>
            <w:tcW w:w="841"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0.2858</w:t>
            </w:r>
          </w:p>
        </w:tc>
        <w:tc>
          <w:tcPr>
            <w:tcW w:w="834"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0.3827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1032" w:type="pct"/>
            <w:vMerge w:val="continue"/>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color w:val="000000" w:themeColor="text1"/>
                <w:kern w:val="0"/>
                <w:lang w:val="en-US" w:eastAsia="zh-CN"/>
                <w14:textFill>
                  <w14:solidFill>
                    <w14:schemeClr w14:val="tx1"/>
                  </w14:solidFill>
                </w14:textFill>
              </w:rPr>
            </w:pPr>
          </w:p>
        </w:tc>
        <w:tc>
          <w:tcPr>
            <w:tcW w:w="1464" w:type="pct"/>
            <w:gridSpan w:val="2"/>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leftChars="0" w:right="0" w:rightChars="0"/>
              <w:jc w:val="center"/>
              <w:rPr>
                <w:rFonts w:hint="eastAsia" w:ascii="Times New Roman" w:hAnsi="Times New Roman" w:eastAsia="等线"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14:textFill>
                  <w14:solidFill>
                    <w14:schemeClr w14:val="tx1"/>
                  </w14:solidFill>
                </w14:textFill>
              </w:rPr>
              <w:t>合计</w:t>
            </w:r>
          </w:p>
        </w:tc>
        <w:tc>
          <w:tcPr>
            <w:tcW w:w="826"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0.3791</w:t>
            </w:r>
          </w:p>
        </w:tc>
        <w:tc>
          <w:tcPr>
            <w:tcW w:w="841"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1.1175</w:t>
            </w:r>
          </w:p>
        </w:tc>
        <w:tc>
          <w:tcPr>
            <w:tcW w:w="834" w:type="pct"/>
            <w:tcBorders>
              <w:tl2br w:val="nil"/>
              <w:tr2bl w:val="nil"/>
            </w:tcBorders>
            <w:shd w:val="clear" w:color="auto" w:fill="auto"/>
            <w:noWrap/>
            <w:vAlign w:val="center"/>
          </w:tcPr>
          <w:p>
            <w:pPr>
              <w:keepNext/>
              <w:keepLines w:val="0"/>
              <w:widowControl/>
              <w:suppressLineNumbers w:val="0"/>
              <w:adjustRightInd w:val="0"/>
              <w:snapToGrid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1.4966</w:t>
            </w:r>
          </w:p>
        </w:tc>
      </w:tr>
    </w:tbl>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40" w:name="_Toc25733"/>
      <w:r>
        <w:rPr>
          <w:rFonts w:hint="eastAsia" w:eastAsia="黑体"/>
          <w:b/>
          <w:color w:val="000000" w:themeColor="text1"/>
          <w:kern w:val="0"/>
          <w:sz w:val="28"/>
          <w:szCs w:val="24"/>
          <w14:textFill>
            <w14:solidFill>
              <w14:schemeClr w14:val="tx1"/>
            </w14:solidFill>
          </w14:textFill>
        </w:rPr>
        <w:t>2.4.5土石方平衡及临时堆土场规划</w:t>
      </w:r>
      <w:bookmarkEnd w:id="340"/>
    </w:p>
    <w:p>
      <w:pPr>
        <w:adjustRightInd w:val="0"/>
        <w:snapToGrid w:val="0"/>
        <w:spacing w:line="360" w:lineRule="auto"/>
        <w:ind w:firstLine="482" w:firstLineChars="20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1、土石方平衡</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1）渠道工程区</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主体设计资料，渠道渠高设计高度为1m~1.7m，灌排渠道工程主要包括渠道基础开挖、导流建筑物开挖填筑以及现状水闸和箱涵等拆除，渠道自身回填、边坡回填、导流建筑物拆除回填、水闸和箱涵基础填筑主要为利用开挖土石方回填，边坡绿化覆土采用前期剥离表土，施工期间灌排渠道工程开挖总量约5.61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，其中表土剥离0.55万m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，渠道清淤0.06万</w:t>
      </w:r>
      <w:r>
        <w:rPr>
          <w:color w:val="000000" w:themeColor="text1"/>
          <w:sz w:val="24"/>
          <w:szCs w:val="24"/>
          <w14:textFill>
            <w14:solidFill>
              <w14:schemeClr w14:val="tx1"/>
            </w14:solidFill>
          </w14:textFill>
        </w:rPr>
        <w:t>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；灌排渠道工程回填总量约3.16万m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，其中表土回覆0.55万m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vertAlign w:val="baseline"/>
          <w:lang w:eastAsia="zh-CN"/>
          <w14:textFill>
            <w14:solidFill>
              <w14:schemeClr w14:val="tx1"/>
            </w14:solidFill>
          </w14:textFill>
        </w:rPr>
        <w:t>，</w:t>
      </w:r>
      <w:r>
        <w:rPr>
          <w:rFonts w:hint="eastAsia"/>
          <w:color w:val="000000" w:themeColor="text1"/>
          <w:sz w:val="24"/>
          <w:szCs w:val="24"/>
          <w:vertAlign w:val="baseline"/>
          <w:lang w:val="en-US" w:eastAsia="zh-CN"/>
          <w14:textFill>
            <w14:solidFill>
              <w14:schemeClr w14:val="tx1"/>
            </w14:solidFill>
          </w14:textFill>
        </w:rPr>
        <w:t>余方2.45</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vertAlign w:val="baseline"/>
          <w:lang w:eastAsia="zh-CN"/>
          <w14:textFill>
            <w14:solidFill>
              <w14:schemeClr w14:val="tx1"/>
            </w14:solidFill>
          </w14:textFill>
        </w:rPr>
        <w:t>（</w:t>
      </w:r>
      <w:r>
        <w:rPr>
          <w:rFonts w:hint="eastAsia"/>
          <w:color w:val="000000" w:themeColor="text1"/>
          <w:sz w:val="24"/>
          <w:szCs w:val="24"/>
          <w:vertAlign w:val="baseline"/>
          <w:lang w:val="en-US" w:eastAsia="zh-CN"/>
          <w14:textFill>
            <w14:solidFill>
              <w14:schemeClr w14:val="tx1"/>
            </w14:solidFill>
          </w14:textFill>
        </w:rPr>
        <w:t>含</w:t>
      </w:r>
      <w:r>
        <w:rPr>
          <w:rFonts w:hint="eastAsia"/>
          <w:color w:val="000000" w:themeColor="text1"/>
          <w:sz w:val="24"/>
          <w:szCs w:val="24"/>
          <w14:textFill>
            <w14:solidFill>
              <w14:schemeClr w14:val="tx1"/>
            </w14:solidFill>
          </w14:textFill>
        </w:rPr>
        <w:t>0.06万</w:t>
      </w:r>
      <w:r>
        <w:rPr>
          <w:color w:val="000000" w:themeColor="text1"/>
          <w:sz w:val="24"/>
          <w:szCs w:val="24"/>
          <w14:textFill>
            <w14:solidFill>
              <w14:schemeClr w14:val="tx1"/>
            </w14:solidFill>
          </w14:textFill>
        </w:rPr>
        <w:t>m</w:t>
      </w:r>
      <w:r>
        <w:rPr>
          <w:color w:val="000000" w:themeColor="text1"/>
          <w:sz w:val="24"/>
          <w:szCs w:val="24"/>
          <w:vertAlign w:val="superscript"/>
          <w14:textFill>
            <w14:solidFill>
              <w14:schemeClr w14:val="tx1"/>
            </w14:solidFill>
          </w14:textFill>
        </w:rPr>
        <w:t>3</w:t>
      </w:r>
      <w:r>
        <w:rPr>
          <w:rFonts w:hint="eastAsia"/>
          <w:color w:val="000000" w:themeColor="text1"/>
          <w:sz w:val="24"/>
          <w:szCs w:val="24"/>
          <w:vertAlign w:val="baseline"/>
          <w:lang w:val="en-US" w:eastAsia="zh-CN"/>
          <w14:textFill>
            <w14:solidFill>
              <w14:schemeClr w14:val="tx1"/>
            </w14:solidFill>
          </w14:textFill>
        </w:rPr>
        <w:t>淤泥</w:t>
      </w:r>
      <w:r>
        <w:rPr>
          <w:rFonts w:hint="eastAsia"/>
          <w:color w:val="000000" w:themeColor="text1"/>
          <w:sz w:val="24"/>
          <w:szCs w:val="24"/>
          <w:vertAlign w:val="baseline"/>
          <w:lang w:eastAsia="zh-CN"/>
          <w14:textFill>
            <w14:solidFill>
              <w14:schemeClr w14:val="tx1"/>
            </w14:solidFill>
          </w14:textFill>
        </w:rPr>
        <w:t>）</w:t>
      </w:r>
      <w:r>
        <w:rPr>
          <w:color w:val="000000" w:themeColor="text1"/>
          <w:sz w:val="24"/>
          <w:szCs w:val="24"/>
          <w14:textFill>
            <w14:solidFill>
              <w14:schemeClr w14:val="tx1"/>
            </w14:solidFill>
          </w14:textFill>
        </w:rPr>
        <w:t>。</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施工</w:t>
      </w:r>
      <w:r>
        <w:rPr>
          <w:rFonts w:hint="eastAsia"/>
          <w:color w:val="000000" w:themeColor="text1"/>
          <w:sz w:val="24"/>
          <w:szCs w:val="24"/>
          <w14:textFill>
            <w14:solidFill>
              <w14:schemeClr w14:val="tx1"/>
            </w14:solidFill>
          </w14:textFill>
        </w:rPr>
        <w:t>工</w:t>
      </w:r>
      <w:r>
        <w:rPr>
          <w:color w:val="000000" w:themeColor="text1"/>
          <w:sz w:val="24"/>
          <w:szCs w:val="24"/>
          <w14:textFill>
            <w14:solidFill>
              <w14:schemeClr w14:val="tx1"/>
            </w14:solidFill>
          </w14:textFill>
        </w:rPr>
        <w:t>区</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根据主体资料，施工生产生活区包括综合加工厂（包括木材和钢筋加工厂）、综合仓库、机械停放场等，施工结束后对区域内占用耕地、林地进行植被恢复，施工</w:t>
      </w:r>
      <w:r>
        <w:rPr>
          <w:rFonts w:hint="eastAsia"/>
          <w:color w:val="000000" w:themeColor="text1"/>
          <w:sz w:val="24"/>
          <w:szCs w:val="24"/>
          <w14:textFill>
            <w14:solidFill>
              <w14:schemeClr w14:val="tx1"/>
            </w14:solidFill>
          </w14:textFill>
        </w:rPr>
        <w:t>工区</w:t>
      </w:r>
      <w:r>
        <w:rPr>
          <w:color w:val="000000" w:themeColor="text1"/>
          <w:sz w:val="24"/>
          <w:szCs w:val="24"/>
          <w14:textFill>
            <w14:solidFill>
              <w14:schemeClr w14:val="tx1"/>
            </w14:solidFill>
          </w14:textFill>
        </w:rPr>
        <w:t>开挖总量合计约0.12万m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，均为表土剥离；回填总量合计约0.12万m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，均为表土回覆。</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临时堆土区</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临时堆土区占地</w:t>
      </w:r>
      <w:r>
        <w:rPr>
          <w:rFonts w:hint="eastAsia"/>
          <w:color w:val="000000" w:themeColor="text1"/>
          <w:sz w:val="24"/>
          <w:szCs w:val="24"/>
          <w14:textFill>
            <w14:solidFill>
              <w14:schemeClr w14:val="tx1"/>
            </w14:solidFill>
          </w14:textFill>
        </w:rPr>
        <w:t>1.03</w:t>
      </w:r>
      <w:r>
        <w:rPr>
          <w:color w:val="000000" w:themeColor="text1"/>
          <w:sz w:val="24"/>
          <w:szCs w:val="24"/>
          <w14:textFill>
            <w14:solidFill>
              <w14:schemeClr w14:val="tx1"/>
            </w14:solidFill>
          </w14:textFill>
        </w:rPr>
        <w:t>hm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，开挖总量</w:t>
      </w:r>
      <w:r>
        <w:rPr>
          <w:rFonts w:hint="eastAsia"/>
          <w:color w:val="000000" w:themeColor="text1"/>
          <w:sz w:val="24"/>
          <w:szCs w:val="24"/>
          <w14:textFill>
            <w14:solidFill>
              <w14:schemeClr w14:val="tx1"/>
            </w14:solidFill>
          </w14:textFill>
        </w:rPr>
        <w:t>1.83</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，均为表土剥离；回填总量</w:t>
      </w:r>
      <w:r>
        <w:rPr>
          <w:rFonts w:hint="eastAsia"/>
          <w:color w:val="000000" w:themeColor="text1"/>
          <w:sz w:val="24"/>
          <w:szCs w:val="24"/>
          <w14:textFill>
            <w14:solidFill>
              <w14:schemeClr w14:val="tx1"/>
            </w14:solidFill>
          </w14:textFill>
        </w:rPr>
        <w:t>1.83</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，均为表土回覆。</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施工便道区</w:t>
      </w:r>
    </w:p>
    <w:p>
      <w:pPr>
        <w:adjustRightInd w:val="0"/>
        <w:snapToGrid w:val="0"/>
        <w:spacing w:line="360" w:lineRule="auto"/>
        <w:ind w:firstLine="480" w:firstLineChars="200"/>
        <w:rPr>
          <w:color w:val="000000" w:themeColor="text1"/>
          <w14:textFill>
            <w14:solidFill>
              <w14:schemeClr w14:val="tx1"/>
            </w14:solidFill>
          </w14:textFill>
        </w:rPr>
      </w:pPr>
      <w:r>
        <w:rPr>
          <w:color w:val="000000" w:themeColor="text1"/>
          <w:sz w:val="24"/>
          <w:szCs w:val="24"/>
          <w14:textFill>
            <w14:solidFill>
              <w14:schemeClr w14:val="tx1"/>
            </w14:solidFill>
          </w14:textFill>
        </w:rPr>
        <w:t>尽量沿地形建设，共计修建5712.42m，宽4.5或4m，经计算，开挖总量0.72万m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，均为表土剥离；回填总量0.72万m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，均为表土回覆。</w:t>
      </w:r>
    </w:p>
    <w:p>
      <w:pPr>
        <w:autoSpaceDE/>
        <w:autoSpaceDN/>
        <w:adjustRightInd w:val="0"/>
        <w:snapToGrid w:val="0"/>
        <w:ind w:firstLine="480" w:firstLineChars="200"/>
        <w:jc w:val="center"/>
        <w:rPr>
          <w:rFonts w:eastAsia="黑体"/>
          <w:color w:val="000000" w:themeColor="text1"/>
          <w:kern w:val="0"/>
          <w:sz w:val="24"/>
          <w:szCs w:val="24"/>
          <w14:textFill>
            <w14:solidFill>
              <w14:schemeClr w14:val="tx1"/>
            </w14:solidFill>
          </w14:textFill>
        </w:rPr>
      </w:pPr>
      <w:r>
        <w:rPr>
          <w:rFonts w:eastAsia="黑体"/>
          <w:color w:val="000000" w:themeColor="text1"/>
          <w:kern w:val="0"/>
          <w:sz w:val="24"/>
          <w:szCs w:val="24"/>
          <w14:textFill>
            <w14:solidFill>
              <w14:schemeClr w14:val="tx1"/>
            </w14:solidFill>
          </w14:textFill>
        </w:rPr>
        <w:t>表2.4-</w:t>
      </w:r>
      <w:r>
        <w:rPr>
          <w:rFonts w:hint="eastAsia" w:eastAsia="黑体"/>
          <w:color w:val="000000" w:themeColor="text1"/>
          <w:kern w:val="0"/>
          <w:sz w:val="24"/>
          <w:szCs w:val="24"/>
          <w14:textFill>
            <w14:solidFill>
              <w14:schemeClr w14:val="tx1"/>
            </w14:solidFill>
          </w14:textFill>
        </w:rPr>
        <w:t>9</w:t>
      </w:r>
      <w:r>
        <w:rPr>
          <w:rFonts w:eastAsia="黑体"/>
          <w:color w:val="000000" w:themeColor="text1"/>
          <w:kern w:val="0"/>
          <w:sz w:val="24"/>
          <w:szCs w:val="24"/>
          <w14:textFill>
            <w14:solidFill>
              <w14:schemeClr w14:val="tx1"/>
            </w14:solidFill>
          </w14:textFill>
        </w:rPr>
        <w:t>土石方平衡一表单位：万m</w:t>
      </w:r>
      <w:r>
        <w:rPr>
          <w:rFonts w:eastAsia="黑体"/>
          <w:color w:val="000000" w:themeColor="text1"/>
          <w:kern w:val="0"/>
          <w:sz w:val="24"/>
          <w:szCs w:val="24"/>
          <w:vertAlign w:val="superscript"/>
          <w14:textFill>
            <w14:solidFill>
              <w14:schemeClr w14:val="tx1"/>
            </w14:solidFill>
          </w14:textFill>
        </w:rPr>
        <w:t>3</w:t>
      </w:r>
    </w:p>
    <w:tbl>
      <w:tblPr>
        <w:tblStyle w:val="38"/>
        <w:tblW w:w="514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85"/>
        <w:gridCol w:w="626"/>
        <w:gridCol w:w="577"/>
        <w:gridCol w:w="675"/>
        <w:gridCol w:w="580"/>
        <w:gridCol w:w="553"/>
        <w:gridCol w:w="626"/>
        <w:gridCol w:w="654"/>
        <w:gridCol w:w="497"/>
        <w:gridCol w:w="407"/>
        <w:gridCol w:w="401"/>
        <w:gridCol w:w="401"/>
        <w:gridCol w:w="491"/>
        <w:gridCol w:w="12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4" w:hRule="atLeast"/>
          <w:jc w:val="center"/>
        </w:trPr>
        <w:tc>
          <w:tcPr>
            <w:tcW w:w="886"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widowControl/>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项目组成</w:t>
            </w:r>
          </w:p>
        </w:tc>
        <w:tc>
          <w:tcPr>
            <w:tcW w:w="2458" w:type="dxa"/>
            <w:gridSpan w:val="4"/>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挖方</w:t>
            </w:r>
          </w:p>
        </w:tc>
        <w:tc>
          <w:tcPr>
            <w:tcW w:w="1833" w:type="dxa"/>
            <w:gridSpan w:val="3"/>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填方</w:t>
            </w:r>
          </w:p>
        </w:tc>
        <w:tc>
          <w:tcPr>
            <w:tcW w:w="904" w:type="dxa"/>
            <w:gridSpan w:val="2"/>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调入</w:t>
            </w:r>
          </w:p>
        </w:tc>
        <w:tc>
          <w:tcPr>
            <w:tcW w:w="802" w:type="dxa"/>
            <w:gridSpan w:val="2"/>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调出</w:t>
            </w:r>
          </w:p>
        </w:tc>
        <w:tc>
          <w:tcPr>
            <w:tcW w:w="1694" w:type="dxa"/>
            <w:gridSpan w:val="2"/>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余方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29" w:hRule="atLeast"/>
          <w:jc w:val="center"/>
        </w:trPr>
        <w:tc>
          <w:tcPr>
            <w:tcW w:w="886"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淤泥</w:t>
            </w:r>
          </w:p>
        </w:tc>
        <w:tc>
          <w:tcPr>
            <w:tcW w:w="57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表土</w:t>
            </w:r>
          </w:p>
        </w:tc>
        <w:tc>
          <w:tcPr>
            <w:tcW w:w="675"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一般土石方</w:t>
            </w:r>
          </w:p>
        </w:tc>
        <w:tc>
          <w:tcPr>
            <w:tcW w:w="580"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小计</w:t>
            </w:r>
          </w:p>
        </w:tc>
        <w:tc>
          <w:tcPr>
            <w:tcW w:w="55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表土</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一般土石方</w:t>
            </w:r>
          </w:p>
        </w:tc>
        <w:tc>
          <w:tcPr>
            <w:tcW w:w="654"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小计</w:t>
            </w:r>
          </w:p>
        </w:tc>
        <w:tc>
          <w:tcPr>
            <w:tcW w:w="497"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数量</w:t>
            </w:r>
          </w:p>
        </w:tc>
        <w:tc>
          <w:tcPr>
            <w:tcW w:w="407"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来源</w:t>
            </w:r>
          </w:p>
        </w:tc>
        <w:tc>
          <w:tcPr>
            <w:tcW w:w="401"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数量</w:t>
            </w:r>
          </w:p>
        </w:tc>
        <w:tc>
          <w:tcPr>
            <w:tcW w:w="401"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去向</w:t>
            </w:r>
          </w:p>
        </w:tc>
        <w:tc>
          <w:tcPr>
            <w:tcW w:w="491"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数量</w:t>
            </w:r>
          </w:p>
        </w:tc>
        <w:tc>
          <w:tcPr>
            <w:tcW w:w="1203"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64" w:hRule="atLeast"/>
          <w:jc w:val="center"/>
        </w:trPr>
        <w:tc>
          <w:tcPr>
            <w:tcW w:w="886" w:type="dxa"/>
            <w:vMerge w:val="restart"/>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灌排渠道工程①</w:t>
            </w:r>
          </w:p>
        </w:tc>
        <w:tc>
          <w:tcPr>
            <w:tcW w:w="626"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0.06</w:t>
            </w:r>
          </w:p>
        </w:tc>
        <w:tc>
          <w:tcPr>
            <w:tcW w:w="577"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0.55</w:t>
            </w:r>
          </w:p>
        </w:tc>
        <w:tc>
          <w:tcPr>
            <w:tcW w:w="675"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5.0</w:t>
            </w:r>
          </w:p>
        </w:tc>
        <w:tc>
          <w:tcPr>
            <w:tcW w:w="580"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5.61</w:t>
            </w:r>
          </w:p>
        </w:tc>
        <w:tc>
          <w:tcPr>
            <w:tcW w:w="553"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0.55</w:t>
            </w:r>
          </w:p>
        </w:tc>
        <w:tc>
          <w:tcPr>
            <w:tcW w:w="626"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2.61</w:t>
            </w:r>
          </w:p>
        </w:tc>
        <w:tc>
          <w:tcPr>
            <w:tcW w:w="654"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3.16</w:t>
            </w:r>
          </w:p>
        </w:tc>
        <w:tc>
          <w:tcPr>
            <w:tcW w:w="497"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7" w:type="dxa"/>
            <w:vMerge w:val="restart"/>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01"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01" w:type="dxa"/>
            <w:vMerge w:val="restart"/>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c>
          <w:tcPr>
            <w:tcW w:w="491" w:type="dxa"/>
            <w:vMerge w:val="restart"/>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both"/>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2.45</w:t>
            </w:r>
          </w:p>
        </w:tc>
        <w:tc>
          <w:tcPr>
            <w:tcW w:w="120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董家堰临时堆土场（1.59，其中含淤泥0.06）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97" w:hRule="atLeast"/>
          <w:jc w:val="center"/>
        </w:trPr>
        <w:tc>
          <w:tcPr>
            <w:tcW w:w="886"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26"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577"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58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553"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26"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54"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97"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07"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01"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01"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p>
        </w:tc>
        <w:tc>
          <w:tcPr>
            <w:tcW w:w="491"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p>
        </w:tc>
        <w:tc>
          <w:tcPr>
            <w:tcW w:w="120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南五、南六余土摊平处理区（0.86）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886"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施工工区②</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57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0.12</w:t>
            </w:r>
          </w:p>
        </w:tc>
        <w:tc>
          <w:tcPr>
            <w:tcW w:w="675"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580"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0.12</w:t>
            </w:r>
          </w:p>
        </w:tc>
        <w:tc>
          <w:tcPr>
            <w:tcW w:w="55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0.12</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654"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0.12</w:t>
            </w:r>
          </w:p>
        </w:tc>
        <w:tc>
          <w:tcPr>
            <w:tcW w:w="49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1"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c>
          <w:tcPr>
            <w:tcW w:w="49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c>
          <w:tcPr>
            <w:tcW w:w="120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886"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临时堆土场③</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57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1.83</w:t>
            </w:r>
          </w:p>
        </w:tc>
        <w:tc>
          <w:tcPr>
            <w:tcW w:w="675"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580"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1.83</w:t>
            </w:r>
          </w:p>
        </w:tc>
        <w:tc>
          <w:tcPr>
            <w:tcW w:w="55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1.83</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654"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1.83</w:t>
            </w:r>
          </w:p>
        </w:tc>
        <w:tc>
          <w:tcPr>
            <w:tcW w:w="49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1"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9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c>
          <w:tcPr>
            <w:tcW w:w="120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886"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施工便道区④</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57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0.72</w:t>
            </w:r>
          </w:p>
        </w:tc>
        <w:tc>
          <w:tcPr>
            <w:tcW w:w="675"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580"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0.72</w:t>
            </w:r>
          </w:p>
        </w:tc>
        <w:tc>
          <w:tcPr>
            <w:tcW w:w="55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0.72</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654"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0.72</w:t>
            </w:r>
          </w:p>
        </w:tc>
        <w:tc>
          <w:tcPr>
            <w:tcW w:w="49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401" w:type="dxa"/>
            <w:tcBorders>
              <w:tl2br w:val="nil"/>
              <w:tr2bl w:val="nil"/>
            </w:tcBorders>
            <w:shd w:val="clear" w:color="auto" w:fill="auto"/>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①</w:t>
            </w:r>
          </w:p>
        </w:tc>
        <w:tc>
          <w:tcPr>
            <w:tcW w:w="49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c>
          <w:tcPr>
            <w:tcW w:w="120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9" w:hRule="atLeast"/>
          <w:jc w:val="center"/>
        </w:trPr>
        <w:tc>
          <w:tcPr>
            <w:tcW w:w="88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合计</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both"/>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0.06</w:t>
            </w:r>
          </w:p>
        </w:tc>
        <w:tc>
          <w:tcPr>
            <w:tcW w:w="57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3.22</w:t>
            </w:r>
          </w:p>
        </w:tc>
        <w:tc>
          <w:tcPr>
            <w:tcW w:w="675"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5.0</w:t>
            </w:r>
          </w:p>
        </w:tc>
        <w:tc>
          <w:tcPr>
            <w:tcW w:w="580"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8.28</w:t>
            </w:r>
          </w:p>
        </w:tc>
        <w:tc>
          <w:tcPr>
            <w:tcW w:w="55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3.22</w:t>
            </w:r>
          </w:p>
        </w:tc>
        <w:tc>
          <w:tcPr>
            <w:tcW w:w="626"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2.61</w:t>
            </w:r>
          </w:p>
        </w:tc>
        <w:tc>
          <w:tcPr>
            <w:tcW w:w="654"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5.83</w:t>
            </w:r>
          </w:p>
        </w:tc>
        <w:tc>
          <w:tcPr>
            <w:tcW w:w="49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0</w:t>
            </w:r>
          </w:p>
        </w:tc>
        <w:tc>
          <w:tcPr>
            <w:tcW w:w="407"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0</w:t>
            </w:r>
          </w:p>
        </w:tc>
        <w:tc>
          <w:tcPr>
            <w:tcW w:w="40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0</w:t>
            </w:r>
          </w:p>
        </w:tc>
        <w:tc>
          <w:tcPr>
            <w:tcW w:w="40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0</w:t>
            </w:r>
          </w:p>
        </w:tc>
        <w:tc>
          <w:tcPr>
            <w:tcW w:w="491"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2.45</w:t>
            </w:r>
          </w:p>
        </w:tc>
        <w:tc>
          <w:tcPr>
            <w:tcW w:w="1203" w:type="dxa"/>
            <w:tcBorders>
              <w:tl2br w:val="nil"/>
              <w:tr2bl w:val="nil"/>
            </w:tcBorders>
            <w:shd w:val="clear" w:color="auto" w:fill="auto"/>
            <w:noWrap/>
            <w:tcMar>
              <w:top w:w="15" w:type="dxa"/>
              <w:left w:w="15" w:type="dxa"/>
              <w:bottom w:w="0" w:type="dxa"/>
              <w:right w:w="15" w:type="dxa"/>
            </w:tcMar>
            <w:vAlign w:val="center"/>
          </w:tcPr>
          <w:p>
            <w:pPr>
              <w:keepNext w:val="0"/>
              <w:keepLines w:val="0"/>
              <w:suppressLineNumbers w:val="0"/>
              <w:adjustRightInd w:val="0"/>
              <w:snapToGrid w:val="0"/>
              <w:spacing w:before="0" w:beforeAutospacing="0" w:after="0" w:afterAutospacing="0"/>
              <w:ind w:left="0" w:right="0"/>
              <w:jc w:val="center"/>
              <w:rPr>
                <w:rFonts w:hint="default" w:eastAsia="等线"/>
                <w:color w:val="000000" w:themeColor="text1"/>
                <w14:textFill>
                  <w14:solidFill>
                    <w14:schemeClr w14:val="tx1"/>
                  </w14:solidFill>
                </w14:textFill>
              </w:rPr>
            </w:pPr>
            <w:r>
              <w:rPr>
                <w:rFonts w:hint="default" w:eastAsia="等线"/>
                <w:color w:val="000000" w:themeColor="text1"/>
                <w14:textFill>
                  <w14:solidFill>
                    <w14:schemeClr w14:val="tx1"/>
                  </w14:solidFill>
                </w14:textFill>
              </w:rPr>
              <w:t>/</w:t>
            </w:r>
          </w:p>
        </w:tc>
      </w:tr>
    </w:tbl>
    <w:p>
      <w:pPr>
        <w:adjustRightInd w:val="0"/>
        <w:snapToGrid w:val="0"/>
        <w:rPr>
          <w:rFonts w:eastAsia="宋"/>
          <w:color w:val="000000" w:themeColor="text1"/>
          <w:sz w:val="24"/>
          <w:szCs w:val="24"/>
          <w14:textFill>
            <w14:solidFill>
              <w14:schemeClr w14:val="tx1"/>
            </w14:solidFill>
          </w14:textFill>
        </w:rPr>
      </w:pPr>
    </w:p>
    <w:p>
      <w:pPr>
        <w:pStyle w:val="37"/>
        <w:ind w:firstLine="480"/>
        <w:rPr>
          <w:color w:val="000000" w:themeColor="text1"/>
          <w14:textFill>
            <w14:solidFill>
              <w14:schemeClr w14:val="tx1"/>
            </w14:solidFill>
          </w14:textFill>
        </w:rPr>
        <w:sectPr>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pPr>
    </w:p>
    <w:p>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c">
            <w:drawing>
              <wp:inline distT="0" distB="0" distL="0" distR="0">
                <wp:extent cx="8863330" cy="3702050"/>
                <wp:effectExtent l="13970" t="13970" r="19050" b="17780"/>
                <wp:docPr id="118" name="画布 93"/>
                <wp:cNvGraphicFramePr/>
                <a:graphic xmlns:a="http://schemas.openxmlformats.org/drawingml/2006/main">
                  <a:graphicData uri="http://schemas.microsoft.com/office/word/2010/wordprocessingCanvas">
                    <wpc:wpc>
                      <wpc:bg>
                        <a:noFill/>
                      </wpc:bg>
                      <wpc:whole>
                        <a:ln w="28575" cap="flat" cmpd="sng" algn="ctr">
                          <a:solidFill>
                            <a:srgbClr val="000000"/>
                          </a:solidFill>
                          <a:prstDash val="sysDot"/>
                          <a:miter lim="800000"/>
                          <a:headEnd type="none" w="med" len="med"/>
                          <a:tailEnd type="none" w="med" len="med"/>
                        </a:ln>
                      </wpc:whole>
                      <wps:wsp>
                        <wps:cNvPr id="183" name="自选图形 11890"/>
                        <wps:cNvSpPr>
                          <a:spLocks noChangeArrowheads="1"/>
                        </wps:cNvSpPr>
                        <wps:spPr bwMode="auto">
                          <a:xfrm>
                            <a:off x="6374765" y="107315"/>
                            <a:ext cx="866775" cy="427355"/>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hint="eastAsia" w:eastAsia="仿宋"/>
                                  <w:b/>
                                  <w:sz w:val="18"/>
                                  <w:szCs w:val="18"/>
                                </w:rPr>
                                <w:t>临时堆土场</w:t>
                              </w:r>
                            </w:p>
                          </w:txbxContent>
                        </wps:txbx>
                        <wps:bodyPr rot="0" vert="horz" wrap="square" lIns="91440" tIns="45720" rIns="91440" bIns="45720" anchor="t" anchorCtr="0" upright="1">
                          <a:noAutofit/>
                        </wps:bodyPr>
                      </wps:wsp>
                      <wps:wsp>
                        <wps:cNvPr id="184" name="自选图形 11891"/>
                        <wps:cNvSpPr>
                          <a:spLocks noChangeArrowheads="1"/>
                        </wps:cNvSpPr>
                        <wps:spPr bwMode="auto">
                          <a:xfrm>
                            <a:off x="4643755" y="114935"/>
                            <a:ext cx="866775" cy="462280"/>
                          </a:xfrm>
                          <a:prstGeom prst="roundRect">
                            <a:avLst>
                              <a:gd name="adj" fmla="val 16667"/>
                            </a:avLst>
                          </a:prstGeom>
                          <a:solidFill>
                            <a:srgbClr val="FFFFFF"/>
                          </a:solidFill>
                          <a:ln w="9525">
                            <a:solidFill>
                              <a:srgbClr val="000000"/>
                            </a:solidFill>
                            <a:round/>
                          </a:ln>
                        </wps:spPr>
                        <wps:txbx>
                          <w:txbxContent>
                            <w:p>
                              <w:pPr>
                                <w:jc w:val="center"/>
                                <w:rPr>
                                  <w:rFonts w:eastAsia="仿宋"/>
                                  <w:b/>
                                  <w:sz w:val="18"/>
                                  <w:szCs w:val="18"/>
                                </w:rPr>
                              </w:pPr>
                              <w:r>
                                <w:rPr>
                                  <w:rFonts w:hint="eastAsia" w:eastAsia="仿宋"/>
                                  <w:b/>
                                  <w:sz w:val="18"/>
                                  <w:szCs w:val="18"/>
                                </w:rPr>
                                <w:t>余</w:t>
                              </w:r>
                              <w:r>
                                <w:rPr>
                                  <w:rFonts w:eastAsia="仿宋"/>
                                  <w:b/>
                                  <w:sz w:val="18"/>
                                  <w:szCs w:val="18"/>
                                </w:rPr>
                                <w:t>方</w:t>
                              </w:r>
                            </w:p>
                            <w:p>
                              <w:pPr>
                                <w:jc w:val="center"/>
                                <w:rPr>
                                  <w:rFonts w:eastAsia="仿宋"/>
                                  <w:sz w:val="18"/>
                                  <w:szCs w:val="18"/>
                                </w:rPr>
                              </w:pPr>
                              <w:r>
                                <w:rPr>
                                  <w:rFonts w:hint="eastAsia" w:eastAsia="仿宋"/>
                                  <w:sz w:val="18"/>
                                  <w:szCs w:val="18"/>
                                </w:rPr>
                                <w:t>2.45</w:t>
                              </w:r>
                              <w:r>
                                <w:rPr>
                                  <w:rFonts w:eastAsia="仿宋"/>
                                  <w:sz w:val="18"/>
                                  <w:szCs w:val="18"/>
                                </w:rPr>
                                <w:t>万m</w:t>
                              </w:r>
                              <w:r>
                                <w:rPr>
                                  <w:rFonts w:eastAsia="仿宋"/>
                                  <w:sz w:val="18"/>
                                  <w:szCs w:val="18"/>
                                  <w:vertAlign w:val="superscript"/>
                                </w:rPr>
                                <w:t>3</w:t>
                              </w:r>
                            </w:p>
                          </w:txbxContent>
                        </wps:txbx>
                        <wps:bodyPr rot="0" vert="horz" wrap="square" lIns="91440" tIns="45720" rIns="91440" bIns="45720" anchor="t" anchorCtr="0" upright="1">
                          <a:noAutofit/>
                        </wps:bodyPr>
                      </wps:wsp>
                      <wps:wsp>
                        <wps:cNvPr id="185" name="自选图形 11892"/>
                        <wps:cNvSpPr>
                          <a:spLocks noChangeArrowheads="1"/>
                        </wps:cNvSpPr>
                        <wps:spPr bwMode="auto">
                          <a:xfrm>
                            <a:off x="3306445" y="149860"/>
                            <a:ext cx="866775" cy="461010"/>
                          </a:xfrm>
                          <a:prstGeom prst="roundRect">
                            <a:avLst>
                              <a:gd name="adj" fmla="val 16667"/>
                            </a:avLst>
                          </a:prstGeom>
                          <a:solidFill>
                            <a:srgbClr val="FFFFFF"/>
                          </a:solidFill>
                          <a:ln w="9525">
                            <a:solidFill>
                              <a:srgbClr val="000000"/>
                            </a:solidFill>
                            <a:round/>
                          </a:ln>
                        </wps:spPr>
                        <wps:txbx>
                          <w:txbxContent>
                            <w:p>
                              <w:pPr>
                                <w:jc w:val="center"/>
                                <w:rPr>
                                  <w:rFonts w:eastAsia="仿宋"/>
                                  <w:b/>
                                  <w:sz w:val="18"/>
                                  <w:szCs w:val="18"/>
                                </w:rPr>
                              </w:pPr>
                              <w:r>
                                <w:rPr>
                                  <w:rFonts w:hint="eastAsia" w:eastAsia="仿宋"/>
                                  <w:b/>
                                  <w:sz w:val="18"/>
                                  <w:szCs w:val="18"/>
                                </w:rPr>
                                <w:t>挖</w:t>
                              </w:r>
                              <w:r>
                                <w:rPr>
                                  <w:rFonts w:eastAsia="仿宋"/>
                                  <w:b/>
                                  <w:sz w:val="18"/>
                                  <w:szCs w:val="18"/>
                                </w:rPr>
                                <w:t>方</w:t>
                              </w:r>
                            </w:p>
                            <w:p>
                              <w:pPr>
                                <w:jc w:val="center"/>
                                <w:rPr>
                                  <w:rFonts w:eastAsia="仿宋"/>
                                  <w:sz w:val="18"/>
                                  <w:szCs w:val="18"/>
                                </w:rPr>
                              </w:pPr>
                              <w:r>
                                <w:rPr>
                                  <w:rFonts w:hint="eastAsia" w:eastAsia="仿宋"/>
                                  <w:sz w:val="18"/>
                                  <w:szCs w:val="18"/>
                                </w:rPr>
                                <w:t>8.28</w:t>
                              </w:r>
                              <w:r>
                                <w:rPr>
                                  <w:rFonts w:eastAsia="仿宋"/>
                                  <w:sz w:val="18"/>
                                  <w:szCs w:val="18"/>
                                </w:rPr>
                                <w:t>万</w:t>
                              </w:r>
                              <w:r>
                                <w:rPr>
                                  <w:rFonts w:hint="eastAsia" w:eastAsia="仿宋"/>
                                  <w:sz w:val="18"/>
                                  <w:szCs w:val="18"/>
                                </w:rPr>
                                <w:t>m</w:t>
                              </w:r>
                              <w:r>
                                <w:rPr>
                                  <w:rFonts w:eastAsia="仿宋"/>
                                  <w:sz w:val="18"/>
                                  <w:szCs w:val="18"/>
                                  <w:vertAlign w:val="superscript"/>
                                </w:rPr>
                                <w:t>3</w:t>
                              </w:r>
                            </w:p>
                          </w:txbxContent>
                        </wps:txbx>
                        <wps:bodyPr rot="0" vert="horz" wrap="square" lIns="91440" tIns="45720" rIns="91440" bIns="45720" anchor="t" anchorCtr="0" upright="1">
                          <a:noAutofit/>
                        </wps:bodyPr>
                      </wps:wsp>
                      <wps:wsp>
                        <wps:cNvPr id="186" name="自选图形 11893"/>
                        <wps:cNvSpPr>
                          <a:spLocks noChangeArrowheads="1"/>
                        </wps:cNvSpPr>
                        <wps:spPr bwMode="auto">
                          <a:xfrm>
                            <a:off x="322580" y="1021715"/>
                            <a:ext cx="1082675" cy="300990"/>
                          </a:xfrm>
                          <a:prstGeom prst="roundRect">
                            <a:avLst>
                              <a:gd name="adj" fmla="val 16667"/>
                            </a:avLst>
                          </a:prstGeom>
                          <a:solidFill>
                            <a:srgbClr val="FFFFFF"/>
                          </a:solidFill>
                          <a:ln w="9525">
                            <a:solidFill>
                              <a:srgbClr val="000000"/>
                            </a:solidFill>
                            <a:round/>
                          </a:ln>
                        </wps:spPr>
                        <wps:txbx>
                          <w:txbxContent>
                            <w:p>
                              <w:pPr>
                                <w:jc w:val="center"/>
                                <w:rPr>
                                  <w:sz w:val="18"/>
                                  <w:szCs w:val="18"/>
                                </w:rPr>
                              </w:pPr>
                              <w:r>
                                <w:rPr>
                                  <w:sz w:val="18"/>
                                  <w:szCs w:val="18"/>
                                </w:rPr>
                                <w:t>灌排渠道工程</w:t>
                              </w:r>
                            </w:p>
                          </w:txbxContent>
                        </wps:txbx>
                        <wps:bodyPr rot="0" vert="horz" wrap="square" lIns="91440" tIns="45720" rIns="91440" bIns="45720" anchor="t" anchorCtr="0" upright="1">
                          <a:noAutofit/>
                        </wps:bodyPr>
                      </wps:wsp>
                      <wps:wsp>
                        <wps:cNvPr id="187" name="自选图形 11898"/>
                        <wps:cNvSpPr>
                          <a:spLocks noChangeArrowheads="1"/>
                        </wps:cNvSpPr>
                        <wps:spPr bwMode="auto">
                          <a:xfrm>
                            <a:off x="4748530" y="1056005"/>
                            <a:ext cx="876300" cy="288290"/>
                          </a:xfrm>
                          <a:prstGeom prst="roundRect">
                            <a:avLst>
                              <a:gd name="adj" fmla="val 16667"/>
                            </a:avLst>
                          </a:prstGeom>
                          <a:solidFill>
                            <a:srgbClr val="FFFFFF"/>
                          </a:solidFill>
                          <a:ln w="9525">
                            <a:solidFill>
                              <a:srgbClr val="000000"/>
                            </a:solidFill>
                            <a:round/>
                          </a:ln>
                        </wps:spPr>
                        <wps:txbx>
                          <w:txbxContent>
                            <w:p>
                              <w:pPr>
                                <w:jc w:val="center"/>
                                <w:rPr>
                                  <w:sz w:val="18"/>
                                  <w:szCs w:val="18"/>
                                </w:rPr>
                              </w:pPr>
                              <w:r>
                                <w:rPr>
                                  <w:sz w:val="18"/>
                                  <w:szCs w:val="18"/>
                                </w:rPr>
                                <w:t>2.45万m</w:t>
                              </w:r>
                              <w:r>
                                <w:rPr>
                                  <w:sz w:val="18"/>
                                  <w:szCs w:val="18"/>
                                  <w:vertAlign w:val="superscript"/>
                                </w:rPr>
                                <w:t>3</w:t>
                              </w:r>
                            </w:p>
                          </w:txbxContent>
                        </wps:txbx>
                        <wps:bodyPr rot="0" vert="horz" wrap="square" lIns="91440" tIns="45720" rIns="91440" bIns="45720" anchor="t" anchorCtr="0" upright="1">
                          <a:noAutofit/>
                        </wps:bodyPr>
                      </wps:wsp>
                      <wps:wsp>
                        <wps:cNvPr id="188" name="自选图形 625"/>
                        <wps:cNvCnPr>
                          <a:cxnSpLocks noChangeShapeType="1"/>
                        </wps:cNvCnPr>
                        <wps:spPr bwMode="auto">
                          <a:xfrm>
                            <a:off x="4249425" y="1697939"/>
                            <a:ext cx="600" cy="700"/>
                          </a:xfrm>
                          <a:prstGeom prst="straightConnector1">
                            <a:avLst/>
                          </a:prstGeom>
                          <a:noFill/>
                          <a:ln w="9525">
                            <a:solidFill>
                              <a:srgbClr val="000000"/>
                            </a:solidFill>
                            <a:round/>
                          </a:ln>
                        </wps:spPr>
                        <wps:bodyPr/>
                      </wps:wsp>
                      <wps:wsp>
                        <wps:cNvPr id="189" name="AutoShape 51"/>
                        <wps:cNvCnPr>
                          <a:cxnSpLocks noChangeShapeType="1"/>
                        </wps:cNvCnPr>
                        <wps:spPr bwMode="auto">
                          <a:xfrm flipH="1">
                            <a:off x="2639060" y="1207770"/>
                            <a:ext cx="631825" cy="4445"/>
                          </a:xfrm>
                          <a:prstGeom prst="straightConnector1">
                            <a:avLst/>
                          </a:prstGeom>
                          <a:noFill/>
                          <a:ln w="9525">
                            <a:solidFill>
                              <a:srgbClr val="000000"/>
                            </a:solidFill>
                            <a:round/>
                            <a:tailEnd type="triangle" w="med" len="med"/>
                          </a:ln>
                        </wps:spPr>
                        <wps:bodyPr/>
                      </wps:wsp>
                      <wps:wsp>
                        <wps:cNvPr id="194" name="自选图形 11895"/>
                        <wps:cNvSpPr>
                          <a:spLocks noChangeArrowheads="1"/>
                        </wps:cNvSpPr>
                        <wps:spPr bwMode="auto">
                          <a:xfrm>
                            <a:off x="6362700" y="2091690"/>
                            <a:ext cx="1166495" cy="459740"/>
                          </a:xfrm>
                          <a:prstGeom prst="roundRect">
                            <a:avLst>
                              <a:gd name="adj" fmla="val 16667"/>
                            </a:avLst>
                          </a:prstGeom>
                          <a:solidFill>
                            <a:srgbClr val="FFFFFF"/>
                          </a:solidFill>
                          <a:ln w="9525">
                            <a:solidFill>
                              <a:srgbClr val="000000"/>
                            </a:solidFill>
                            <a:round/>
                          </a:ln>
                        </wps:spPr>
                        <wps:txbx>
                          <w:txbxContent>
                            <w:p>
                              <w:pPr>
                                <w:jc w:val="center"/>
                                <w:rPr>
                                  <w:rFonts w:ascii="仿宋_GB2312"/>
                                  <w:sz w:val="18"/>
                                  <w:szCs w:val="18"/>
                                </w:rPr>
                              </w:pPr>
                              <w:r>
                                <w:rPr>
                                  <w:rFonts w:hint="eastAsia" w:ascii="仿宋_GB2312"/>
                                  <w:sz w:val="18"/>
                                  <w:szCs w:val="18"/>
                                </w:rPr>
                                <w:t>南五、南六</w:t>
                              </w:r>
                              <w:r>
                                <w:rPr>
                                  <w:rFonts w:hint="eastAsia" w:ascii="仿宋_GB2312" w:hAnsi="等线"/>
                                  <w:color w:val="000000"/>
                                  <w:sz w:val="18"/>
                                  <w:szCs w:val="18"/>
                                </w:rPr>
                                <w:t>余土摊平处理区</w:t>
                              </w:r>
                            </w:p>
                          </w:txbxContent>
                        </wps:txbx>
                        <wps:bodyPr rot="0" vert="horz" wrap="square" lIns="91440" tIns="45720" rIns="91440" bIns="45720" anchor="t" anchorCtr="0" upright="1">
                          <a:noAutofit/>
                        </wps:bodyPr>
                      </wps:wsp>
                      <wps:wsp>
                        <wps:cNvPr id="195" name="自选图形 11895"/>
                        <wps:cNvSpPr>
                          <a:spLocks noChangeArrowheads="1"/>
                        </wps:cNvSpPr>
                        <wps:spPr bwMode="auto">
                          <a:xfrm>
                            <a:off x="3308350" y="1056005"/>
                            <a:ext cx="918210" cy="288290"/>
                          </a:xfrm>
                          <a:prstGeom prst="roundRect">
                            <a:avLst>
                              <a:gd name="adj" fmla="val 16667"/>
                            </a:avLst>
                          </a:prstGeom>
                          <a:solidFill>
                            <a:srgbClr val="FFFFFF"/>
                          </a:solidFill>
                          <a:ln w="9525">
                            <a:solidFill>
                              <a:srgbClr val="000000"/>
                            </a:solidFill>
                            <a:round/>
                          </a:ln>
                        </wps:spPr>
                        <wps:txbx>
                          <w:txbxContent>
                            <w:p>
                              <w:pPr>
                                <w:jc w:val="center"/>
                                <w:rPr>
                                  <w:sz w:val="18"/>
                                  <w:szCs w:val="18"/>
                                </w:rPr>
                              </w:pPr>
                              <w:r>
                                <w:rPr>
                                  <w:sz w:val="18"/>
                                  <w:szCs w:val="18"/>
                                </w:rPr>
                                <w:t>5.61万m</w:t>
                              </w:r>
                              <w:r>
                                <w:rPr>
                                  <w:sz w:val="18"/>
                                  <w:szCs w:val="18"/>
                                  <w:vertAlign w:val="superscript"/>
                                </w:rPr>
                                <w:t>3</w:t>
                              </w:r>
                            </w:p>
                          </w:txbxContent>
                        </wps:txbx>
                        <wps:bodyPr rot="0" vert="horz" wrap="square" lIns="91440" tIns="45720" rIns="91440" bIns="45720" anchor="t" anchorCtr="0" upright="1">
                          <a:noAutofit/>
                        </wps:bodyPr>
                      </wps:wsp>
                      <wps:wsp>
                        <wps:cNvPr id="196" name="文本框 89"/>
                        <wps:cNvSpPr txBox="1">
                          <a:spLocks noChangeArrowheads="1"/>
                        </wps:cNvSpPr>
                        <wps:spPr bwMode="auto">
                          <a:xfrm>
                            <a:off x="2674620" y="2087880"/>
                            <a:ext cx="802640" cy="284480"/>
                          </a:xfrm>
                          <a:prstGeom prst="rect">
                            <a:avLst/>
                          </a:prstGeom>
                          <a:noFill/>
                          <a:ln>
                            <a:noFill/>
                          </a:ln>
                        </wps:spPr>
                        <wps:txbx>
                          <w:txbxContent>
                            <w:p>
                              <w:pPr>
                                <w:rPr>
                                  <w:sz w:val="18"/>
                                  <w:szCs w:val="18"/>
                                </w:rPr>
                              </w:pPr>
                              <w:r>
                                <w:rPr>
                                  <w:rFonts w:hint="eastAsia"/>
                                  <w:sz w:val="18"/>
                                  <w:szCs w:val="18"/>
                                </w:rPr>
                                <w:t>1.83</w:t>
                              </w:r>
                              <w:r>
                                <w:rPr>
                                  <w:sz w:val="18"/>
                                  <w:szCs w:val="18"/>
                                </w:rPr>
                                <w:t>万m</w:t>
                              </w:r>
                              <w:r>
                                <w:rPr>
                                  <w:sz w:val="18"/>
                                  <w:szCs w:val="18"/>
                                  <w:vertAlign w:val="superscript"/>
                                </w:rPr>
                                <w:t>3</w:t>
                              </w:r>
                            </w:p>
                          </w:txbxContent>
                        </wps:txbx>
                        <wps:bodyPr rot="0" vert="horz" wrap="square" lIns="91440" tIns="45720" rIns="91440" bIns="45720" anchor="t" anchorCtr="0" upright="1">
                          <a:noAutofit/>
                        </wps:bodyPr>
                      </wps:wsp>
                      <wps:wsp>
                        <wps:cNvPr id="201" name="自选图形 11892"/>
                        <wps:cNvSpPr>
                          <a:spLocks noChangeArrowheads="1"/>
                        </wps:cNvSpPr>
                        <wps:spPr bwMode="auto">
                          <a:xfrm>
                            <a:off x="1765300" y="137160"/>
                            <a:ext cx="866775" cy="477520"/>
                          </a:xfrm>
                          <a:prstGeom prst="roundRect">
                            <a:avLst>
                              <a:gd name="adj" fmla="val 16667"/>
                            </a:avLst>
                          </a:prstGeom>
                          <a:solidFill>
                            <a:srgbClr val="FFFFFF"/>
                          </a:solidFill>
                          <a:ln w="9525">
                            <a:solidFill>
                              <a:srgbClr val="000000"/>
                            </a:solidFill>
                            <a:round/>
                          </a:ln>
                        </wps:spPr>
                        <wps:txbx>
                          <w:txbxContent>
                            <w:p>
                              <w:pPr>
                                <w:jc w:val="center"/>
                                <w:rPr>
                                  <w:rFonts w:eastAsia="仿宋"/>
                                  <w:b/>
                                  <w:sz w:val="18"/>
                                  <w:szCs w:val="18"/>
                                </w:rPr>
                              </w:pPr>
                              <w:r>
                                <w:rPr>
                                  <w:rFonts w:hint="eastAsia" w:eastAsia="仿宋"/>
                                  <w:b/>
                                  <w:sz w:val="18"/>
                                  <w:szCs w:val="18"/>
                                </w:rPr>
                                <w:t>填方</w:t>
                              </w:r>
                            </w:p>
                            <w:p>
                              <w:pPr>
                                <w:jc w:val="center"/>
                                <w:rPr>
                                  <w:rFonts w:eastAsia="仿宋"/>
                                  <w:sz w:val="18"/>
                                  <w:szCs w:val="18"/>
                                </w:rPr>
                              </w:pPr>
                              <w:r>
                                <w:rPr>
                                  <w:rFonts w:hint="eastAsia" w:eastAsia="仿宋"/>
                                  <w:sz w:val="18"/>
                                  <w:szCs w:val="18"/>
                                </w:rPr>
                                <w:t>5.83</w:t>
                              </w:r>
                              <w:r>
                                <w:rPr>
                                  <w:rFonts w:eastAsia="仿宋"/>
                                  <w:sz w:val="18"/>
                                  <w:szCs w:val="18"/>
                                </w:rPr>
                                <w:t>万</w:t>
                              </w:r>
                              <w:r>
                                <w:rPr>
                                  <w:rFonts w:hint="eastAsia" w:eastAsia="仿宋"/>
                                  <w:sz w:val="18"/>
                                  <w:szCs w:val="18"/>
                                </w:rPr>
                                <w:t>m</w:t>
                              </w:r>
                              <w:r>
                                <w:rPr>
                                  <w:rFonts w:eastAsia="仿宋"/>
                                  <w:sz w:val="18"/>
                                  <w:szCs w:val="18"/>
                                  <w:vertAlign w:val="superscript"/>
                                </w:rPr>
                                <w:t>3</w:t>
                              </w:r>
                            </w:p>
                          </w:txbxContent>
                        </wps:txbx>
                        <wps:bodyPr rot="0" vert="horz" wrap="square" lIns="91440" tIns="45720" rIns="91440" bIns="45720" anchor="t" anchorCtr="0" upright="1">
                          <a:noAutofit/>
                        </wps:bodyPr>
                      </wps:wsp>
                      <wps:wsp>
                        <wps:cNvPr id="207" name="自选图形 11895"/>
                        <wps:cNvSpPr>
                          <a:spLocks noChangeArrowheads="1"/>
                        </wps:cNvSpPr>
                        <wps:spPr bwMode="auto">
                          <a:xfrm>
                            <a:off x="1744345" y="1033145"/>
                            <a:ext cx="903605" cy="288290"/>
                          </a:xfrm>
                          <a:prstGeom prst="roundRect">
                            <a:avLst>
                              <a:gd name="adj" fmla="val 16667"/>
                            </a:avLst>
                          </a:prstGeom>
                          <a:solidFill>
                            <a:srgbClr val="FFFFFF"/>
                          </a:solidFill>
                          <a:ln w="9525">
                            <a:solidFill>
                              <a:srgbClr val="000000"/>
                            </a:solidFill>
                            <a:round/>
                          </a:ln>
                        </wps:spPr>
                        <wps:txbx>
                          <w:txbxContent>
                            <w:p>
                              <w:pPr>
                                <w:jc w:val="center"/>
                                <w:rPr>
                                  <w:sz w:val="18"/>
                                  <w:szCs w:val="18"/>
                                </w:rPr>
                              </w:pPr>
                              <w:r>
                                <w:rPr>
                                  <w:sz w:val="18"/>
                                  <w:szCs w:val="18"/>
                                </w:rPr>
                                <w:t>3.16万m</w:t>
                              </w:r>
                              <w:r>
                                <w:rPr>
                                  <w:sz w:val="18"/>
                                  <w:szCs w:val="18"/>
                                  <w:vertAlign w:val="superscript"/>
                                </w:rPr>
                                <w:t>3</w:t>
                              </w:r>
                            </w:p>
                          </w:txbxContent>
                        </wps:txbx>
                        <wps:bodyPr rot="0" vert="horz" wrap="square" lIns="91440" tIns="45720" rIns="91440" bIns="45720" anchor="t" anchorCtr="0" upright="1">
                          <a:noAutofit/>
                        </wps:bodyPr>
                      </wps:wsp>
                      <wps:wsp>
                        <wps:cNvPr id="210" name="自选图形 11895"/>
                        <wps:cNvSpPr>
                          <a:spLocks noChangeArrowheads="1"/>
                        </wps:cNvSpPr>
                        <wps:spPr bwMode="auto">
                          <a:xfrm>
                            <a:off x="6417945" y="1592580"/>
                            <a:ext cx="1160145" cy="288290"/>
                          </a:xfrm>
                          <a:prstGeom prst="roundRect">
                            <a:avLst>
                              <a:gd name="adj" fmla="val 16667"/>
                            </a:avLst>
                          </a:prstGeom>
                          <a:solidFill>
                            <a:srgbClr val="FFFFFF"/>
                          </a:solidFill>
                          <a:ln w="9525">
                            <a:solidFill>
                              <a:srgbClr val="000000"/>
                            </a:solidFill>
                            <a:round/>
                          </a:ln>
                        </wps:spPr>
                        <wps:txbx>
                          <w:txbxContent>
                            <w:p>
                              <w:pPr>
                                <w:jc w:val="center"/>
                                <w:rPr>
                                  <w:sz w:val="18"/>
                                  <w:szCs w:val="18"/>
                                </w:rPr>
                              </w:pPr>
                              <w:r>
                                <w:rPr>
                                  <w:sz w:val="18"/>
                                  <w:szCs w:val="18"/>
                                </w:rPr>
                                <w:t>董家堰临时堆土场</w:t>
                              </w:r>
                            </w:p>
                          </w:txbxContent>
                        </wps:txbx>
                        <wps:bodyPr rot="0" vert="horz" wrap="square" lIns="91440" tIns="45720" rIns="91440" bIns="45720" anchor="t" anchorCtr="0" upright="1">
                          <a:noAutofit/>
                        </wps:bodyPr>
                      </wps:wsp>
                      <wpg:wgp>
                        <wpg:cNvPr id="211" name="组合 1637057582"/>
                        <wpg:cNvGrpSpPr/>
                        <wpg:grpSpPr>
                          <a:xfrm>
                            <a:off x="404495" y="2188210"/>
                            <a:ext cx="3853180" cy="299720"/>
                            <a:chOff x="506534" y="3666595"/>
                            <a:chExt cx="3852817" cy="299662"/>
                          </a:xfrm>
                        </wpg:grpSpPr>
                        <wps:wsp>
                          <wps:cNvPr id="212" name="AutoShape 1958"/>
                          <wps:cNvCnPr>
                            <a:cxnSpLocks noChangeShapeType="1"/>
                          </wps:cNvCnPr>
                          <wps:spPr bwMode="auto">
                            <a:xfrm flipH="1">
                              <a:off x="2734708" y="3825920"/>
                              <a:ext cx="665881" cy="11352"/>
                            </a:xfrm>
                            <a:prstGeom prst="straightConnector1">
                              <a:avLst/>
                            </a:prstGeom>
                            <a:noFill/>
                            <a:ln w="9525">
                              <a:solidFill>
                                <a:srgbClr val="000000"/>
                              </a:solidFill>
                              <a:round/>
                              <a:tailEnd type="triangle" w="med" len="med"/>
                            </a:ln>
                          </wps:spPr>
                          <wps:bodyPr/>
                        </wps:wsp>
                        <wpg:grpSp>
                          <wpg:cNvPr id="213" name="组合 1637057564"/>
                          <wpg:cNvGrpSpPr/>
                          <wpg:grpSpPr>
                            <a:xfrm>
                              <a:off x="506534" y="3666595"/>
                              <a:ext cx="3852817" cy="299662"/>
                              <a:chOff x="483043" y="3500815"/>
                              <a:chExt cx="3852817" cy="299662"/>
                            </a:xfrm>
                          </wpg:grpSpPr>
                          <wps:wsp>
                            <wps:cNvPr id="214" name="自选图形 11893"/>
                            <wps:cNvSpPr>
                              <a:spLocks noChangeArrowheads="1"/>
                            </wps:cNvSpPr>
                            <wps:spPr bwMode="auto">
                              <a:xfrm>
                                <a:off x="483043" y="3500815"/>
                                <a:ext cx="1031206" cy="299662"/>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hint="eastAsia" w:eastAsia="仿宋"/>
                                      <w:sz w:val="18"/>
                                      <w:szCs w:val="18"/>
                                    </w:rPr>
                                    <w:t>临时</w:t>
                                  </w:r>
                                  <w:r>
                                    <w:rPr>
                                      <w:rFonts w:eastAsia="仿宋"/>
                                      <w:sz w:val="18"/>
                                      <w:szCs w:val="18"/>
                                    </w:rPr>
                                    <w:t>堆土</w:t>
                                  </w:r>
                                  <w:r>
                                    <w:rPr>
                                      <w:rFonts w:hint="eastAsia" w:eastAsia="仿宋"/>
                                      <w:sz w:val="18"/>
                                      <w:szCs w:val="18"/>
                                    </w:rPr>
                                    <w:t>场</w:t>
                                  </w:r>
                                </w:p>
                              </w:txbxContent>
                            </wps:txbx>
                            <wps:bodyPr rot="0" vert="horz" wrap="square" lIns="91440" tIns="45720" rIns="91440" bIns="45720" anchor="t" anchorCtr="0" upright="1">
                              <a:noAutofit/>
                            </wps:bodyPr>
                          </wps:wsp>
                          <wps:wsp>
                            <wps:cNvPr id="215" name="自选图形 11895"/>
                            <wps:cNvSpPr>
                              <a:spLocks noChangeArrowheads="1"/>
                            </wps:cNvSpPr>
                            <wps:spPr bwMode="auto">
                              <a:xfrm>
                                <a:off x="3383945" y="3500815"/>
                                <a:ext cx="951915" cy="288260"/>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hint="eastAsia" w:eastAsia="仿宋"/>
                                      <w:sz w:val="18"/>
                                      <w:szCs w:val="18"/>
                                    </w:rPr>
                                    <w:t>1.83</w:t>
                                  </w:r>
                                  <w:r>
                                    <w:rPr>
                                      <w:rFonts w:eastAsia="仿宋"/>
                                      <w:sz w:val="18"/>
                                      <w:szCs w:val="18"/>
                                    </w:rPr>
                                    <w:t>万m</w:t>
                                  </w:r>
                                  <w:r>
                                    <w:rPr>
                                      <w:rFonts w:eastAsia="仿宋"/>
                                      <w:sz w:val="18"/>
                                      <w:szCs w:val="18"/>
                                      <w:vertAlign w:val="superscript"/>
                                    </w:rPr>
                                    <w:t>3</w:t>
                                  </w:r>
                                </w:p>
                              </w:txbxContent>
                            </wps:txbx>
                            <wps:bodyPr rot="0" vert="horz" wrap="square" lIns="91440" tIns="45720" rIns="91440" bIns="45720" anchor="t" anchorCtr="0" upright="1">
                              <a:noAutofit/>
                            </wps:bodyPr>
                          </wps:wsp>
                          <wps:wsp>
                            <wps:cNvPr id="216" name="自选图形 11895"/>
                            <wps:cNvSpPr>
                              <a:spLocks noChangeArrowheads="1"/>
                            </wps:cNvSpPr>
                            <wps:spPr bwMode="auto">
                              <a:xfrm>
                                <a:off x="1770459" y="3512117"/>
                                <a:ext cx="947605" cy="288360"/>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hint="eastAsia" w:eastAsia="仿宋"/>
                                      <w:sz w:val="18"/>
                                      <w:szCs w:val="18"/>
                                    </w:rPr>
                                    <w:t>1.83</w:t>
                                  </w:r>
                                  <w:r>
                                    <w:rPr>
                                      <w:rFonts w:eastAsia="仿宋"/>
                                      <w:sz w:val="18"/>
                                      <w:szCs w:val="18"/>
                                    </w:rPr>
                                    <w:t>万m</w:t>
                                  </w:r>
                                  <w:r>
                                    <w:rPr>
                                      <w:rFonts w:eastAsia="仿宋"/>
                                      <w:sz w:val="18"/>
                                      <w:szCs w:val="18"/>
                                      <w:vertAlign w:val="superscript"/>
                                    </w:rPr>
                                    <w:t>3</w:t>
                                  </w:r>
                                </w:p>
                              </w:txbxContent>
                            </wps:txbx>
                            <wps:bodyPr rot="0" vert="horz" wrap="square" lIns="91440" tIns="45720" rIns="91440" bIns="45720" anchor="t" anchorCtr="0" upright="1">
                              <a:noAutofit/>
                            </wps:bodyPr>
                          </wps:wsp>
                        </wpg:grpSp>
                      </wpg:wgp>
                      <wps:wsp>
                        <wps:cNvPr id="226" name="自选图形 11894"/>
                        <wps:cNvSpPr>
                          <a:spLocks noChangeArrowheads="1"/>
                        </wps:cNvSpPr>
                        <wps:spPr bwMode="auto">
                          <a:xfrm>
                            <a:off x="251460" y="120015"/>
                            <a:ext cx="1283970" cy="526415"/>
                          </a:xfrm>
                          <a:prstGeom prst="roundRect">
                            <a:avLst>
                              <a:gd name="adj" fmla="val 16667"/>
                            </a:avLst>
                          </a:prstGeom>
                          <a:solidFill>
                            <a:srgbClr val="FFFFFF"/>
                          </a:solidFill>
                          <a:ln w="9525">
                            <a:solidFill>
                              <a:srgbClr val="000000"/>
                            </a:solidFill>
                            <a:round/>
                          </a:ln>
                        </wps:spPr>
                        <wps:txbx>
                          <w:txbxContent>
                            <w:p>
                              <w:pPr>
                                <w:jc w:val="center"/>
                                <w:rPr>
                                  <w:rFonts w:eastAsia="仿宋"/>
                                  <w:b/>
                                  <w:sz w:val="18"/>
                                  <w:szCs w:val="18"/>
                                </w:rPr>
                              </w:pPr>
                              <w:r>
                                <w:rPr>
                                  <w:rFonts w:hint="eastAsia" w:eastAsia="仿宋"/>
                                  <w:b/>
                                  <w:sz w:val="18"/>
                                  <w:szCs w:val="18"/>
                                </w:rPr>
                                <w:t>项目</w:t>
                              </w:r>
                            </w:p>
                          </w:txbxContent>
                        </wps:txbx>
                        <wps:bodyPr rot="0" vert="horz" wrap="square" lIns="91440" tIns="45720" rIns="91440" bIns="45720" anchor="t" anchorCtr="0" upright="1">
                          <a:noAutofit/>
                        </wps:bodyPr>
                      </wps:wsp>
                      <wps:wsp>
                        <wps:cNvPr id="227" name="文本框 19"/>
                        <wps:cNvSpPr txBox="1">
                          <a:spLocks noChangeArrowheads="1"/>
                        </wps:cNvSpPr>
                        <wps:spPr bwMode="auto">
                          <a:xfrm>
                            <a:off x="2675255" y="951230"/>
                            <a:ext cx="724535" cy="283845"/>
                          </a:xfrm>
                          <a:prstGeom prst="rect">
                            <a:avLst/>
                          </a:prstGeom>
                          <a:noFill/>
                          <a:ln>
                            <a:noFill/>
                          </a:ln>
                        </wps:spPr>
                        <wps:txbx>
                          <w:txbxContent>
                            <w:p>
                              <w:pPr>
                                <w:rPr>
                                  <w:sz w:val="18"/>
                                  <w:szCs w:val="18"/>
                                </w:rPr>
                              </w:pPr>
                              <w:r>
                                <w:rPr>
                                  <w:sz w:val="18"/>
                                  <w:szCs w:val="18"/>
                                </w:rPr>
                                <w:t>3.16万m</w:t>
                              </w:r>
                              <w:r>
                                <w:rPr>
                                  <w:sz w:val="18"/>
                                  <w:szCs w:val="18"/>
                                  <w:vertAlign w:val="superscript"/>
                                </w:rPr>
                                <w:t>3</w:t>
                              </w:r>
                            </w:p>
                          </w:txbxContent>
                        </wps:txbx>
                        <wps:bodyPr rot="0" vert="horz" wrap="square" lIns="91440" tIns="45720" rIns="91440" bIns="45720" anchor="t" anchorCtr="0" upright="1">
                          <a:noAutofit/>
                        </wps:bodyPr>
                      </wps:wsp>
                      <wps:wsp>
                        <wps:cNvPr id="112" name="连接符: 肘形 112"/>
                        <wps:cNvCnPr/>
                        <wps:spPr>
                          <a:xfrm rot="16200000" flipH="1">
                            <a:off x="5990590" y="568325"/>
                            <a:ext cx="222250" cy="1811020"/>
                          </a:xfrm>
                          <a:prstGeom prst="bentConnector3">
                            <a:avLst>
                              <a:gd name="adj1" fmla="val 50000"/>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13" name="连接符: 肘形 113"/>
                        <wps:cNvCnPr/>
                        <wps:spPr>
                          <a:xfrm rot="16200000" flipH="1">
                            <a:off x="5779770" y="847725"/>
                            <a:ext cx="661035" cy="1828165"/>
                          </a:xfrm>
                          <a:prstGeom prst="bentConnector3">
                            <a:avLst>
                              <a:gd name="adj1" fmla="val 85080"/>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14" name="文本框 89"/>
                        <wps:cNvSpPr txBox="1">
                          <a:spLocks noChangeArrowheads="1"/>
                        </wps:cNvSpPr>
                        <wps:spPr bwMode="auto">
                          <a:xfrm>
                            <a:off x="5613400" y="1120140"/>
                            <a:ext cx="1781810" cy="291465"/>
                          </a:xfrm>
                          <a:prstGeom prst="rect">
                            <a:avLst/>
                          </a:prstGeom>
                          <a:noFill/>
                          <a:ln>
                            <a:noFill/>
                          </a:ln>
                        </wps:spPr>
                        <wps:txbx>
                          <w:txbxContent>
                            <w:p>
                              <w:pPr>
                                <w:rPr>
                                  <w:sz w:val="18"/>
                                  <w:szCs w:val="18"/>
                                </w:rPr>
                              </w:pPr>
                              <w:r>
                                <w:rPr>
                                  <w:sz w:val="18"/>
                                  <w:szCs w:val="18"/>
                                </w:rPr>
                                <w:t>1.59万m</w:t>
                              </w:r>
                              <w:r>
                                <w:rPr>
                                  <w:position w:val="5"/>
                                  <w:sz w:val="18"/>
                                  <w:szCs w:val="18"/>
                                  <w:vertAlign w:val="superscript"/>
                                </w:rPr>
                                <w:t>3</w:t>
                              </w:r>
                              <w:r>
                                <w:rPr>
                                  <w:rFonts w:hint="eastAsia"/>
                                  <w:sz w:val="18"/>
                                  <w:szCs w:val="18"/>
                                </w:rPr>
                                <w:t>（含淤泥0.06万</w:t>
                              </w:r>
                              <w:r>
                                <w:rPr>
                                  <w:sz w:val="18"/>
                                  <w:szCs w:val="18"/>
                                </w:rPr>
                                <w:t>m</w:t>
                              </w:r>
                              <w:r>
                                <w:rPr>
                                  <w:position w:val="5"/>
                                  <w:sz w:val="18"/>
                                  <w:szCs w:val="18"/>
                                  <w:vertAlign w:val="superscript"/>
                                </w:rPr>
                                <w:t>3</w:t>
                              </w:r>
                              <w:r>
                                <w:rPr>
                                  <w:rFonts w:hint="eastAsia"/>
                                  <w:sz w:val="18"/>
                                  <w:szCs w:val="18"/>
                                </w:rPr>
                                <w:t>）</w:t>
                              </w:r>
                            </w:p>
                          </w:txbxContent>
                        </wps:txbx>
                        <wps:bodyPr rot="0" vert="horz" wrap="square" lIns="91440" tIns="45720" rIns="91440" bIns="45720" anchor="t" anchorCtr="0" upright="1">
                          <a:noAutofit/>
                        </wps:bodyPr>
                      </wps:wsp>
                      <wps:wsp>
                        <wps:cNvPr id="115" name="文本框 89"/>
                        <wps:cNvSpPr txBox="1">
                          <a:spLocks noChangeArrowheads="1"/>
                        </wps:cNvSpPr>
                        <wps:spPr bwMode="auto">
                          <a:xfrm>
                            <a:off x="5384800" y="1677670"/>
                            <a:ext cx="720090" cy="291465"/>
                          </a:xfrm>
                          <a:prstGeom prst="rect">
                            <a:avLst/>
                          </a:prstGeom>
                          <a:noFill/>
                          <a:ln>
                            <a:noFill/>
                          </a:ln>
                        </wps:spPr>
                        <wps:txbx>
                          <w:txbxContent>
                            <w:p>
                              <w:pPr>
                                <w:rPr>
                                  <w:sz w:val="18"/>
                                  <w:szCs w:val="18"/>
                                </w:rPr>
                              </w:pPr>
                              <w:r>
                                <w:rPr>
                                  <w:sz w:val="18"/>
                                  <w:szCs w:val="18"/>
                                </w:rPr>
                                <w:t>0.86万m</w:t>
                              </w:r>
                              <w:r>
                                <w:rPr>
                                  <w:position w:val="5"/>
                                  <w:sz w:val="18"/>
                                  <w:szCs w:val="18"/>
                                  <w:vertAlign w:val="superscript"/>
                                </w:rPr>
                                <w:t>3</w:t>
                              </w:r>
                            </w:p>
                          </w:txbxContent>
                        </wps:txbx>
                        <wps:bodyPr rot="0" vert="horz" wrap="square" lIns="91440" tIns="45720" rIns="91440" bIns="45720" anchor="t" anchorCtr="0" upright="1">
                          <a:noAutofit/>
                        </wps:bodyPr>
                      </wps:wsp>
                      <wps:wsp>
                        <wps:cNvPr id="116" name="箭头: 右 116"/>
                        <wps:cNvSpPr/>
                        <wps:spPr>
                          <a:xfrm>
                            <a:off x="7647940" y="356235"/>
                            <a:ext cx="1215390" cy="3180080"/>
                          </a:xfrm>
                          <a:prstGeom prst="rightArrow">
                            <a:avLst>
                              <a:gd name="adj1" fmla="val 50000"/>
                              <a:gd name="adj2" fmla="val 4292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ind w:firstLine="480"/>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 name="文本框 117"/>
                        <wps:cNvSpPr txBox="1"/>
                        <wps:spPr>
                          <a:xfrm>
                            <a:off x="7630795" y="1420495"/>
                            <a:ext cx="1009650" cy="1491615"/>
                          </a:xfrm>
                          <a:prstGeom prst="rect">
                            <a:avLst/>
                          </a:prstGeom>
                          <a:noFill/>
                          <a:ln w="6350">
                            <a:noFill/>
                          </a:ln>
                        </wps:spPr>
                        <wps:txbx>
                          <w:txbxContent>
                            <w:p>
                              <w:pPr>
                                <w:jc w:val="center"/>
                                <w:rPr>
                                  <w:rFonts w:ascii="仿宋_GB2312"/>
                                </w:rPr>
                              </w:pPr>
                              <w:r>
                                <w:rPr>
                                  <w:rFonts w:hint="eastAsia" w:ascii="仿宋_GB2312"/>
                                  <w:sz w:val="18"/>
                                  <w:szCs w:val="18"/>
                                </w:rPr>
                                <w:t>用作环城生态区农田综合整治及农业灌区设施建设项目农田综合整治等其他工程回填或综合利用</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251" name="组合 229"/>
                        <wpg:cNvGrpSpPr/>
                        <wpg:grpSpPr>
                          <a:xfrm>
                            <a:off x="367665" y="2757805"/>
                            <a:ext cx="3884930" cy="305435"/>
                            <a:chOff x="0" y="0"/>
                            <a:chExt cx="3885863" cy="305675"/>
                          </a:xfrm>
                        </wpg:grpSpPr>
                        <wps:wsp>
                          <wps:cNvPr id="252" name="自选图形 11894"/>
                          <wps:cNvSpPr>
                            <a:spLocks noChangeArrowheads="1"/>
                          </wps:cNvSpPr>
                          <wps:spPr bwMode="auto">
                            <a:xfrm>
                              <a:off x="0" y="0"/>
                              <a:ext cx="1080770" cy="289560"/>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hint="eastAsia" w:eastAsia="仿宋"/>
                                    <w:sz w:val="18"/>
                                    <w:szCs w:val="18"/>
                                  </w:rPr>
                                  <w:t>施工</w:t>
                                </w:r>
                                <w:r>
                                  <w:rPr>
                                    <w:rFonts w:eastAsia="仿宋"/>
                                    <w:sz w:val="18"/>
                                    <w:szCs w:val="18"/>
                                  </w:rPr>
                                  <w:t>便道</w:t>
                                </w:r>
                                <w:r>
                                  <w:rPr>
                                    <w:rFonts w:hint="eastAsia" w:eastAsia="仿宋"/>
                                    <w:sz w:val="18"/>
                                    <w:szCs w:val="18"/>
                                  </w:rPr>
                                  <w:t>场</w:t>
                                </w:r>
                              </w:p>
                              <w:p>
                                <w:pPr>
                                  <w:pStyle w:val="20"/>
                                  <w:jc w:val="center"/>
                                </w:pPr>
                                <w:r>
                                  <w:rPr>
                                    <w:rFonts w:hint="eastAsia" w:ascii="Times New Roman" w:hAnsi="仿宋" w:eastAsia="仿宋"/>
                                    <w:sz w:val="18"/>
                                    <w:szCs w:val="18"/>
                                  </w:rPr>
                                  <w:t>时生产生活区</w:t>
                                </w:r>
                              </w:p>
                            </w:txbxContent>
                          </wps:txbx>
                          <wps:bodyPr rot="0" vert="horz" wrap="square" lIns="91440" tIns="45720" rIns="91440" bIns="45720" anchor="t" anchorCtr="0" upright="1">
                            <a:noAutofit/>
                          </wps:bodyPr>
                        </wps:wsp>
                        <wps:wsp>
                          <wps:cNvPr id="253" name="自选图形 11895"/>
                          <wps:cNvSpPr>
                            <a:spLocks noChangeArrowheads="1"/>
                          </wps:cNvSpPr>
                          <wps:spPr bwMode="auto">
                            <a:xfrm>
                              <a:off x="1389388" y="1845"/>
                              <a:ext cx="882015" cy="287655"/>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eastAsia="仿宋"/>
                                    <w:sz w:val="18"/>
                                    <w:szCs w:val="18"/>
                                  </w:rPr>
                                  <w:t>0.72</w:t>
                                </w:r>
                                <w:r>
                                  <w:rPr>
                                    <w:rFonts w:hint="eastAsia" w:eastAsia="仿宋"/>
                                    <w:sz w:val="18"/>
                                    <w:szCs w:val="18"/>
                                  </w:rPr>
                                  <w:t>万</w:t>
                                </w:r>
                                <w:r>
                                  <w:rPr>
                                    <w:rFonts w:eastAsia="仿宋"/>
                                    <w:sz w:val="18"/>
                                    <w:szCs w:val="18"/>
                                  </w:rPr>
                                  <w:t>m</w:t>
                                </w:r>
                                <w:r>
                                  <w:rPr>
                                    <w:rFonts w:eastAsia="仿宋"/>
                                    <w:sz w:val="18"/>
                                    <w:szCs w:val="18"/>
                                    <w:vertAlign w:val="superscript"/>
                                  </w:rPr>
                                  <w:t>3</w:t>
                                </w:r>
                              </w:p>
                            </w:txbxContent>
                          </wps:txbx>
                          <wps:bodyPr rot="0" vert="horz" wrap="square" lIns="91440" tIns="45720" rIns="91440" bIns="45720" anchor="t" anchorCtr="0" upright="1">
                            <a:noAutofit/>
                          </wps:bodyPr>
                        </wps:wsp>
                        <wps:wsp>
                          <wps:cNvPr id="254" name="自选图形 11895"/>
                          <wps:cNvSpPr>
                            <a:spLocks noChangeArrowheads="1"/>
                          </wps:cNvSpPr>
                          <wps:spPr bwMode="auto">
                            <a:xfrm>
                              <a:off x="2906333" y="20025"/>
                              <a:ext cx="979530" cy="285650"/>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eastAsia="仿宋"/>
                                    <w:sz w:val="18"/>
                                    <w:szCs w:val="18"/>
                                  </w:rPr>
                                  <w:t>0.72</w:t>
                                </w:r>
                                <w:r>
                                  <w:rPr>
                                    <w:rFonts w:hint="eastAsia" w:eastAsia="仿宋"/>
                                    <w:sz w:val="18"/>
                                    <w:szCs w:val="18"/>
                                  </w:rPr>
                                  <w:t>万</w:t>
                                </w:r>
                                <w:r>
                                  <w:rPr>
                                    <w:rFonts w:eastAsia="仿宋"/>
                                    <w:sz w:val="18"/>
                                    <w:szCs w:val="18"/>
                                  </w:rPr>
                                  <w:t>m</w:t>
                                </w:r>
                                <w:r>
                                  <w:rPr>
                                    <w:rFonts w:eastAsia="仿宋"/>
                                    <w:sz w:val="18"/>
                                    <w:szCs w:val="18"/>
                                    <w:vertAlign w:val="superscript"/>
                                  </w:rPr>
                                  <w:t>3</w:t>
                                </w:r>
                              </w:p>
                            </w:txbxContent>
                          </wps:txbx>
                          <wps:bodyPr rot="0" vert="horz" wrap="square" lIns="91440" tIns="45720" rIns="91440" bIns="45720" anchor="t" anchorCtr="0" upright="1">
                            <a:noAutofit/>
                          </wps:bodyPr>
                        </wps:wsp>
                        <wps:wsp>
                          <wps:cNvPr id="255" name="直接箭头连接符 233"/>
                          <wps:cNvCnPr/>
                          <wps:spPr>
                            <a:xfrm flipH="1">
                              <a:off x="2271403" y="145499"/>
                              <a:ext cx="634930" cy="8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g:wgp>
                        <wpg:cNvPr id="274" name="组合 268"/>
                        <wpg:cNvGrpSpPr/>
                        <wpg:grpSpPr>
                          <a:xfrm>
                            <a:off x="373380" y="1599565"/>
                            <a:ext cx="3884930" cy="305435"/>
                            <a:chOff x="0" y="0"/>
                            <a:chExt cx="3885863" cy="305675"/>
                          </a:xfrm>
                        </wpg:grpSpPr>
                        <wps:wsp>
                          <wps:cNvPr id="275" name="自选图形 11894"/>
                          <wps:cNvSpPr>
                            <a:spLocks noChangeArrowheads="1"/>
                          </wps:cNvSpPr>
                          <wps:spPr bwMode="auto">
                            <a:xfrm>
                              <a:off x="0" y="0"/>
                              <a:ext cx="1080770" cy="289560"/>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rPr>
                                </w:pPr>
                                <w:r>
                                  <w:rPr>
                                    <w:rFonts w:hint="eastAsia" w:eastAsia="仿宋"/>
                                    <w:sz w:val="18"/>
                                    <w:szCs w:val="18"/>
                                  </w:rPr>
                                  <w:t>施工工区</w:t>
                                </w:r>
                              </w:p>
                              <w:p>
                                <w:pPr>
                                  <w:pStyle w:val="34"/>
                                  <w:spacing w:before="0" w:beforeAutospacing="0" w:after="0" w:afterAutospacing="0"/>
                                  <w:ind w:left="3355" w:firstLine="360"/>
                                  <w:jc w:val="center"/>
                                </w:pPr>
                                <w:r>
                                  <w:rPr>
                                    <w:rFonts w:hint="eastAsia" w:hAnsi="仿宋" w:eastAsia="仿宋"/>
                                    <w:sz w:val="18"/>
                                    <w:szCs w:val="18"/>
                                  </w:rPr>
                                  <w:t>时生产生活区</w:t>
                                </w:r>
                              </w:p>
                            </w:txbxContent>
                          </wps:txbx>
                          <wps:bodyPr rot="0" vert="horz" wrap="square" lIns="91440" tIns="45720" rIns="91440" bIns="45720" anchor="t" anchorCtr="0" upright="1">
                            <a:noAutofit/>
                          </wps:bodyPr>
                        </wps:wsp>
                        <wps:wsp>
                          <wps:cNvPr id="276" name="自选图形 11895"/>
                          <wps:cNvSpPr>
                            <a:spLocks noChangeArrowheads="1"/>
                          </wps:cNvSpPr>
                          <wps:spPr bwMode="auto">
                            <a:xfrm>
                              <a:off x="1389388" y="1845"/>
                              <a:ext cx="882015" cy="287655"/>
                            </a:xfrm>
                            <a:prstGeom prst="roundRect">
                              <a:avLst>
                                <a:gd name="adj" fmla="val 16667"/>
                              </a:avLst>
                            </a:prstGeom>
                            <a:solidFill>
                              <a:srgbClr val="FFFFFF"/>
                            </a:solidFill>
                            <a:ln w="9525">
                              <a:solidFill>
                                <a:srgbClr val="000000"/>
                              </a:solidFill>
                              <a:round/>
                            </a:ln>
                          </wps:spPr>
                          <wps:txbx>
                            <w:txbxContent>
                              <w:p>
                                <w:pPr>
                                  <w:jc w:val="center"/>
                                  <w:rPr>
                                    <w:rFonts w:eastAsia="仿宋"/>
                                    <w:sz w:val="18"/>
                                    <w:szCs w:val="18"/>
                                    <w:vertAlign w:val="superscript"/>
                                  </w:rPr>
                                </w:pPr>
                                <w:r>
                                  <w:rPr>
                                    <w:rFonts w:eastAsia="仿宋"/>
                                    <w:sz w:val="18"/>
                                    <w:szCs w:val="18"/>
                                  </w:rPr>
                                  <w:t>0.12</w:t>
                                </w:r>
                                <w:r>
                                  <w:rPr>
                                    <w:rFonts w:hint="eastAsia" w:eastAsia="仿宋"/>
                                    <w:sz w:val="18"/>
                                    <w:szCs w:val="18"/>
                                  </w:rPr>
                                  <w:t>万</w:t>
                                </w:r>
                                <w:r>
                                  <w:rPr>
                                    <w:rFonts w:eastAsia="仿宋"/>
                                    <w:sz w:val="18"/>
                                    <w:szCs w:val="18"/>
                                  </w:rPr>
                                  <w:t>m</w:t>
                                </w:r>
                                <w:r>
                                  <w:rPr>
                                    <w:rFonts w:eastAsia="仿宋"/>
                                    <w:sz w:val="18"/>
                                    <w:szCs w:val="18"/>
                                    <w:vertAlign w:val="superscript"/>
                                  </w:rPr>
                                  <w:t>3</w:t>
                                </w:r>
                              </w:p>
                            </w:txbxContent>
                          </wps:txbx>
                          <wps:bodyPr rot="0" vert="horz" wrap="square" lIns="91440" tIns="45720" rIns="91440" bIns="45720" anchor="t" anchorCtr="0" upright="1">
                            <a:noAutofit/>
                          </wps:bodyPr>
                        </wps:wsp>
                        <wps:wsp>
                          <wps:cNvPr id="277" name="自选图形 11895"/>
                          <wps:cNvSpPr>
                            <a:spLocks noChangeArrowheads="1"/>
                          </wps:cNvSpPr>
                          <wps:spPr bwMode="auto">
                            <a:xfrm>
                              <a:off x="2906333" y="20025"/>
                              <a:ext cx="979530" cy="285650"/>
                            </a:xfrm>
                            <a:prstGeom prst="roundRect">
                              <a:avLst>
                                <a:gd name="adj" fmla="val 16667"/>
                              </a:avLst>
                            </a:prstGeom>
                            <a:solidFill>
                              <a:srgbClr val="FFFFFF"/>
                            </a:solidFill>
                            <a:ln w="9525">
                              <a:solidFill>
                                <a:srgbClr val="000000"/>
                              </a:solidFill>
                              <a:round/>
                            </a:ln>
                          </wps:spPr>
                          <wps:txbx>
                            <w:txbxContent>
                              <w:p>
                                <w:pPr>
                                  <w:pStyle w:val="34"/>
                                  <w:spacing w:before="0" w:beforeAutospacing="0" w:after="0" w:afterAutospacing="0"/>
                                  <w:jc w:val="center"/>
                                </w:pPr>
                                <w:r>
                                  <w:rPr>
                                    <w:rFonts w:eastAsia="仿宋"/>
                                    <w:sz w:val="18"/>
                                    <w:szCs w:val="18"/>
                                  </w:rPr>
                                  <w:t>0.12</w:t>
                                </w:r>
                                <w:r>
                                  <w:rPr>
                                    <w:rFonts w:hint="eastAsia" w:hAnsi="仿宋" w:eastAsia="仿宋"/>
                                    <w:sz w:val="18"/>
                                    <w:szCs w:val="18"/>
                                  </w:rPr>
                                  <w:t>万</w:t>
                                </w:r>
                                <w:r>
                                  <w:rPr>
                                    <w:rFonts w:eastAsia="仿宋"/>
                                    <w:sz w:val="18"/>
                                    <w:szCs w:val="18"/>
                                  </w:rPr>
                                  <w:t>m</w:t>
                                </w:r>
                                <w:r>
                                  <w:rPr>
                                    <w:rFonts w:eastAsia="仿宋"/>
                                    <w:position w:val="5"/>
                                    <w:sz w:val="18"/>
                                    <w:szCs w:val="18"/>
                                    <w:vertAlign w:val="superscript"/>
                                  </w:rPr>
                                  <w:t>3</w:t>
                                </w:r>
                              </w:p>
                            </w:txbxContent>
                          </wps:txbx>
                          <wps:bodyPr rot="0" vert="horz" wrap="square" lIns="91440" tIns="45720" rIns="91440" bIns="45720" anchor="t" anchorCtr="0" upright="1">
                            <a:noAutofit/>
                          </wps:bodyPr>
                        </wps:wsp>
                        <wps:wsp>
                          <wps:cNvPr id="288" name="直接箭头连接符 272"/>
                          <wps:cNvCnPr/>
                          <wps:spPr>
                            <a:xfrm flipH="1">
                              <a:off x="2271403" y="145499"/>
                              <a:ext cx="634930" cy="8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s:wsp>
                        <wps:cNvPr id="289" name="文本框 19"/>
                        <wps:cNvSpPr txBox="1">
                          <a:spLocks noChangeArrowheads="1"/>
                        </wps:cNvSpPr>
                        <wps:spPr bwMode="auto">
                          <a:xfrm>
                            <a:off x="1713230" y="2208530"/>
                            <a:ext cx="845185" cy="283210"/>
                          </a:xfrm>
                          <a:prstGeom prst="rect">
                            <a:avLst/>
                          </a:prstGeom>
                          <a:noFill/>
                          <a:ln>
                            <a:noFill/>
                          </a:ln>
                        </wps:spPr>
                        <wps:txbx>
                          <w:txbxContent>
                            <w:p>
                              <w:pPr>
                                <w:pStyle w:val="34"/>
                                <w:spacing w:before="0" w:beforeAutospacing="0" w:after="0" w:afterAutospacing="0"/>
                                <w:ind w:left="3355" w:firstLine="360"/>
                                <w:jc w:val="both"/>
                                <w:rPr>
                                  <w:rFonts w:eastAsia="仿宋_GB2312"/>
                                </w:rPr>
                              </w:pPr>
                              <w:r>
                                <w:rPr>
                                  <w:rFonts w:eastAsia="仿宋_GB2312"/>
                                  <w:sz w:val="18"/>
                                  <w:szCs w:val="18"/>
                                </w:rPr>
                                <w:t>0.09万m</w:t>
                              </w:r>
                              <w:r>
                                <w:rPr>
                                  <w:rFonts w:eastAsia="仿宋_GB2312"/>
                                  <w:position w:val="5"/>
                                  <w:sz w:val="18"/>
                                  <w:szCs w:val="18"/>
                                  <w:vertAlign w:val="superscript"/>
                                </w:rPr>
                                <w:t>3</w:t>
                              </w:r>
                            </w:p>
                          </w:txbxContent>
                        </wps:txbx>
                        <wps:bodyPr rot="0" vert="horz" wrap="square" lIns="91440" tIns="45720" rIns="91440" bIns="45720" anchor="t" anchorCtr="0" upright="1">
                          <a:noAutofit/>
                        </wps:bodyPr>
                      </wps:wsp>
                      <wps:wsp>
                        <wps:cNvPr id="290" name="文本框 19"/>
                        <wps:cNvSpPr txBox="1">
                          <a:spLocks noChangeArrowheads="1"/>
                        </wps:cNvSpPr>
                        <wps:spPr bwMode="auto">
                          <a:xfrm>
                            <a:off x="2675255" y="1449705"/>
                            <a:ext cx="723900" cy="283845"/>
                          </a:xfrm>
                          <a:prstGeom prst="rect">
                            <a:avLst/>
                          </a:prstGeom>
                          <a:noFill/>
                          <a:ln>
                            <a:noFill/>
                          </a:ln>
                        </wps:spPr>
                        <wps:txbx>
                          <w:txbxContent>
                            <w:p>
                              <w:pPr>
                                <w:pStyle w:val="34"/>
                                <w:spacing w:before="0" w:beforeAutospacing="0" w:after="0" w:afterAutospacing="0"/>
                                <w:jc w:val="both"/>
                                <w:rPr>
                                  <w:rFonts w:eastAsia="仿宋_GB2312"/>
                                </w:rPr>
                              </w:pPr>
                              <w:r>
                                <w:rPr>
                                  <w:rFonts w:eastAsia="仿宋_GB2312"/>
                                  <w:sz w:val="18"/>
                                  <w:szCs w:val="18"/>
                                </w:rPr>
                                <w:t>0.12万m</w:t>
                              </w:r>
                              <w:r>
                                <w:rPr>
                                  <w:rFonts w:eastAsia="仿宋_GB2312"/>
                                  <w:position w:val="5"/>
                                  <w:sz w:val="18"/>
                                  <w:szCs w:val="18"/>
                                  <w:vertAlign w:val="superscript"/>
                                </w:rPr>
                                <w:t>3</w:t>
                              </w:r>
                            </w:p>
                          </w:txbxContent>
                        </wps:txbx>
                        <wps:bodyPr rot="0" vert="horz" wrap="square" lIns="91440" tIns="45720" rIns="91440" bIns="45720" anchor="t" anchorCtr="0" upright="1">
                          <a:noAutofit/>
                        </wps:bodyPr>
                      </wps:wsp>
                      <wps:wsp>
                        <wps:cNvPr id="291" name="文本框 19"/>
                        <wps:cNvSpPr txBox="1">
                          <a:spLocks noChangeArrowheads="1"/>
                        </wps:cNvSpPr>
                        <wps:spPr bwMode="auto">
                          <a:xfrm>
                            <a:off x="2642870" y="2585085"/>
                            <a:ext cx="859790" cy="283845"/>
                          </a:xfrm>
                          <a:prstGeom prst="rect">
                            <a:avLst/>
                          </a:prstGeom>
                          <a:noFill/>
                          <a:ln>
                            <a:noFill/>
                          </a:ln>
                        </wps:spPr>
                        <wps:txbx>
                          <w:txbxContent>
                            <w:p>
                              <w:pPr>
                                <w:pStyle w:val="34"/>
                                <w:spacing w:before="0" w:beforeAutospacing="0" w:after="0" w:afterAutospacing="0"/>
                                <w:jc w:val="both"/>
                              </w:pPr>
                              <w:r>
                                <w:rPr>
                                  <w:rFonts w:eastAsia="仿宋"/>
                                  <w:sz w:val="18"/>
                                  <w:szCs w:val="18"/>
                                </w:rPr>
                                <w:t>0.72</w:t>
                              </w:r>
                              <w:r>
                                <w:rPr>
                                  <w:rFonts w:hint="eastAsia" w:hAnsi="仿宋" w:eastAsia="仿宋"/>
                                  <w:sz w:val="18"/>
                                  <w:szCs w:val="18"/>
                                </w:rPr>
                                <w:t>万</w:t>
                              </w:r>
                              <w:r>
                                <w:rPr>
                                  <w:rFonts w:eastAsia="仿宋"/>
                                  <w:sz w:val="18"/>
                                  <w:szCs w:val="18"/>
                                </w:rPr>
                                <w:t>m</w:t>
                              </w:r>
                              <w:r>
                                <w:rPr>
                                  <w:rFonts w:eastAsia="仿宋"/>
                                  <w:position w:val="5"/>
                                  <w:sz w:val="18"/>
                                  <w:szCs w:val="18"/>
                                  <w:vertAlign w:val="superscript"/>
                                </w:rPr>
                                <w:t>3</w:t>
                              </w:r>
                            </w:p>
                          </w:txbxContent>
                        </wps:txbx>
                        <wps:bodyPr rot="0" vert="horz" wrap="square" lIns="91440" tIns="45720" rIns="91440" bIns="45720" anchor="t" anchorCtr="0" upright="1">
                          <a:noAutofit/>
                        </wps:bodyPr>
                      </wps:wsp>
                    </wpc:wpc>
                  </a:graphicData>
                </a:graphic>
              </wp:inline>
            </w:drawing>
          </mc:Choice>
          <mc:Fallback>
            <w:pict>
              <v:group id="画布 93" o:spid="_x0000_s1026" o:spt="203" style="height:291.5pt;width:697.9pt;" coordsize="8863330,3702050" editas="canvas" o:gfxdata="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">
                <o:lock v:ext="edit" aspectratio="f"/>
                <v:shape id="画布 93" o:spid="_x0000_s1026" style="position:absolute;left:0;top:0;height:3702050;width:8863330;" filled="f" stroked="t" coordsize="21600,21600" o:gfxdata="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">
                  <v:fill on="f" focussize="0,0"/>
                  <v:stroke weight="2.25pt" color="#000000" miterlimit="8" joinstyle="miter" dashstyle="1 1"/>
                  <v:imagedata o:title=""/>
                  <o:lock v:ext="edit" aspectratio="f"/>
                </v:shape>
                <v:roundrect id="自选图形 11890" o:spid="_x0000_s1026" o:spt="2" style="position:absolute;left:6374765;top:107315;height:427355;width:86677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wbnKtMAAAAGAQAADwAAAAAAAAABACAAAAAiAAAAZHJzL2Rvd25yZXYueG1sUEsBAhQA&#10;FAAAAAgAh07iQJugBtNpAgAAtAQAAA4AAAAAAAAAAQAgAAAAIgEAAGRycy9lMm9Eb2MueG1sUEsF&#10;BgAAAAAGAAYAWQEAAP0FAAAAAA==&#10;">
                  <v:fill on="t" focussize="0,0"/>
                  <v:stroke color="#000000" joinstyle="round"/>
                  <v:imagedata o:title=""/>
                  <o:lock v:ext="edit" aspectratio="f"/>
                  <v:textbox>
                    <w:txbxContent>
                      <w:p>
                        <w:pPr>
                          <w:jc w:val="center"/>
                          <w:rPr>
                            <w:rFonts w:eastAsia="仿宋"/>
                            <w:sz w:val="18"/>
                            <w:szCs w:val="18"/>
                          </w:rPr>
                        </w:pPr>
                        <w:r>
                          <w:rPr>
                            <w:rFonts w:hint="eastAsia" w:eastAsia="仿宋"/>
                            <w:b/>
                            <w:sz w:val="18"/>
                            <w:szCs w:val="18"/>
                          </w:rPr>
                          <w:t>临时堆土场</w:t>
                        </w:r>
                      </w:p>
                    </w:txbxContent>
                  </v:textbox>
                </v:roundrect>
                <v:roundrect id="自选图形 11891" o:spid="_x0000_s1026" o:spt="2" style="position:absolute;left:4643755;top:114935;height:462280;width:86677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wbnKtMAAAAGAQAADwAAAAAAAAABACAAAAAiAAAAZHJzL2Rvd25yZXYueG1sUEsBAhQAFAAA&#10;AAgAh07iQC3GhClmAgAAtAQAAA4AAAAAAAAAAQAgAAAAIgEAAGRycy9lMm9Eb2MueG1sUEsFBgAA&#10;AAAGAAYAWQEAAPoFAAAAAA==&#10;">
                  <v:fill on="t" focussize="0,0"/>
                  <v:stroke color="#000000" joinstyle="round"/>
                  <v:imagedata o:title=""/>
                  <o:lock v:ext="edit" aspectratio="f"/>
                  <v:textbox>
                    <w:txbxContent>
                      <w:p>
                        <w:pPr>
                          <w:jc w:val="center"/>
                          <w:rPr>
                            <w:rFonts w:eastAsia="仿宋"/>
                            <w:b/>
                            <w:sz w:val="18"/>
                            <w:szCs w:val="18"/>
                          </w:rPr>
                        </w:pPr>
                        <w:r>
                          <w:rPr>
                            <w:rFonts w:hint="eastAsia" w:eastAsia="仿宋"/>
                            <w:b/>
                            <w:sz w:val="18"/>
                            <w:szCs w:val="18"/>
                          </w:rPr>
                          <w:t>余</w:t>
                        </w:r>
                        <w:r>
                          <w:rPr>
                            <w:rFonts w:eastAsia="仿宋"/>
                            <w:b/>
                            <w:sz w:val="18"/>
                            <w:szCs w:val="18"/>
                          </w:rPr>
                          <w:t>方</w:t>
                        </w:r>
                      </w:p>
                      <w:p>
                        <w:pPr>
                          <w:jc w:val="center"/>
                          <w:rPr>
                            <w:rFonts w:eastAsia="仿宋"/>
                            <w:sz w:val="18"/>
                            <w:szCs w:val="18"/>
                          </w:rPr>
                        </w:pPr>
                        <w:r>
                          <w:rPr>
                            <w:rFonts w:hint="eastAsia" w:eastAsia="仿宋"/>
                            <w:sz w:val="18"/>
                            <w:szCs w:val="18"/>
                          </w:rPr>
                          <w:t>2.45</w:t>
                        </w:r>
                        <w:r>
                          <w:rPr>
                            <w:rFonts w:eastAsia="仿宋"/>
                            <w:sz w:val="18"/>
                            <w:szCs w:val="18"/>
                          </w:rPr>
                          <w:t>万m</w:t>
                        </w:r>
                        <w:r>
                          <w:rPr>
                            <w:rFonts w:eastAsia="仿宋"/>
                            <w:sz w:val="18"/>
                            <w:szCs w:val="18"/>
                            <w:vertAlign w:val="superscript"/>
                          </w:rPr>
                          <w:t>3</w:t>
                        </w:r>
                      </w:p>
                    </w:txbxContent>
                  </v:textbox>
                </v:roundrect>
                <v:roundrect id="自选图形 11892" o:spid="_x0000_s1026" o:spt="2" style="position:absolute;left:3306445;top:149860;height:461010;width:86677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jBucq0wAAAAYBAAAPAAAAAAAAAAEAIAAAACIAAABkcnMvZG93bnJldi54bWxQSwECFAAUAAAA&#10;CACHTuJA5TsGgWUCAAC0BAAADgAAAAAAAAABACAAAAAiAQAAZHJzL2Uyb0RvYy54bWxQSwUGAAAA&#10;AAYABgBZAQAA+QUAAAAA&#10;">
                  <v:fill on="t" focussize="0,0"/>
                  <v:stroke color="#000000" joinstyle="round"/>
                  <v:imagedata o:title=""/>
                  <o:lock v:ext="edit" aspectratio="f"/>
                  <v:textbox>
                    <w:txbxContent>
                      <w:p>
                        <w:pPr>
                          <w:jc w:val="center"/>
                          <w:rPr>
                            <w:rFonts w:eastAsia="仿宋"/>
                            <w:b/>
                            <w:sz w:val="18"/>
                            <w:szCs w:val="18"/>
                          </w:rPr>
                        </w:pPr>
                        <w:r>
                          <w:rPr>
                            <w:rFonts w:hint="eastAsia" w:eastAsia="仿宋"/>
                            <w:b/>
                            <w:sz w:val="18"/>
                            <w:szCs w:val="18"/>
                          </w:rPr>
                          <w:t>挖</w:t>
                        </w:r>
                        <w:r>
                          <w:rPr>
                            <w:rFonts w:eastAsia="仿宋"/>
                            <w:b/>
                            <w:sz w:val="18"/>
                            <w:szCs w:val="18"/>
                          </w:rPr>
                          <w:t>方</w:t>
                        </w:r>
                      </w:p>
                      <w:p>
                        <w:pPr>
                          <w:jc w:val="center"/>
                          <w:rPr>
                            <w:rFonts w:eastAsia="仿宋"/>
                            <w:sz w:val="18"/>
                            <w:szCs w:val="18"/>
                          </w:rPr>
                        </w:pPr>
                        <w:r>
                          <w:rPr>
                            <w:rFonts w:hint="eastAsia" w:eastAsia="仿宋"/>
                            <w:sz w:val="18"/>
                            <w:szCs w:val="18"/>
                          </w:rPr>
                          <w:t>8.28</w:t>
                        </w:r>
                        <w:r>
                          <w:rPr>
                            <w:rFonts w:eastAsia="仿宋"/>
                            <w:sz w:val="18"/>
                            <w:szCs w:val="18"/>
                          </w:rPr>
                          <w:t>万</w:t>
                        </w:r>
                        <w:r>
                          <w:rPr>
                            <w:rFonts w:hint="eastAsia" w:eastAsia="仿宋"/>
                            <w:sz w:val="18"/>
                            <w:szCs w:val="18"/>
                          </w:rPr>
                          <w:t>m</w:t>
                        </w:r>
                        <w:r>
                          <w:rPr>
                            <w:rFonts w:eastAsia="仿宋"/>
                            <w:sz w:val="18"/>
                            <w:szCs w:val="18"/>
                            <w:vertAlign w:val="superscript"/>
                          </w:rPr>
                          <w:t>3</w:t>
                        </w:r>
                      </w:p>
                    </w:txbxContent>
                  </v:textbox>
                </v:roundrect>
                <v:roundrect id="自选图形 11893" o:spid="_x0000_s1026" o:spt="2" style="position:absolute;left:322580;top:1021715;height:300990;width:108267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MG5yrTAAAABgEAAA8AAAAAAAAAAQAgAAAAIgAAAGRycy9kb3ducmV2LnhtbFBLAQIU&#10;ABQAAAAIAIdO4kANJct3agIAALUEAAAOAAAAAAAAAAEAIAAAACIBAABkcnMvZTJvRG9jLnhtbFBL&#10;BQYAAAAABgAGAFkBAAD+BQAAAAA=&#10;">
                  <v:fill on="t" focussize="0,0"/>
                  <v:stroke color="#000000" joinstyle="round"/>
                  <v:imagedata o:title=""/>
                  <o:lock v:ext="edit" aspectratio="f"/>
                  <v:textbox>
                    <w:txbxContent>
                      <w:p>
                        <w:pPr>
                          <w:jc w:val="center"/>
                          <w:rPr>
                            <w:sz w:val="18"/>
                            <w:szCs w:val="18"/>
                          </w:rPr>
                        </w:pPr>
                        <w:r>
                          <w:rPr>
                            <w:sz w:val="18"/>
                            <w:szCs w:val="18"/>
                          </w:rPr>
                          <w:t>灌排渠道工程</w:t>
                        </w:r>
                      </w:p>
                    </w:txbxContent>
                  </v:textbox>
                </v:roundrect>
                <v:roundrect id="自选图形 11898" o:spid="_x0000_s1026" o:spt="2" style="position:absolute;left:4748530;top:1056005;height:288290;width:876300;"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MG5yrTAAAABgEAAA8AAAAAAAAAAQAgAAAAIgAAAGRycy9kb3ducmV2LnhtbFBLAQIU&#10;ABQAAAAIAIdO4kD/PiZfagIAALUEAAAOAAAAAAAAAAEAIAAAACIBAABkcnMvZTJvRG9jLnhtbFBL&#10;BQYAAAAABgAGAFkBAAD+BQAAAAA=&#10;">
                  <v:fill on="t" focussize="0,0"/>
                  <v:stroke color="#000000" joinstyle="round"/>
                  <v:imagedata o:title=""/>
                  <o:lock v:ext="edit" aspectratio="f"/>
                  <v:textbox>
                    <w:txbxContent>
                      <w:p>
                        <w:pPr>
                          <w:jc w:val="center"/>
                          <w:rPr>
                            <w:sz w:val="18"/>
                            <w:szCs w:val="18"/>
                          </w:rPr>
                        </w:pPr>
                        <w:r>
                          <w:rPr>
                            <w:sz w:val="18"/>
                            <w:szCs w:val="18"/>
                          </w:rPr>
                          <w:t>2.45万m</w:t>
                        </w:r>
                        <w:r>
                          <w:rPr>
                            <w:sz w:val="18"/>
                            <w:szCs w:val="18"/>
                            <w:vertAlign w:val="superscript"/>
                          </w:rPr>
                          <w:t>3</w:t>
                        </w:r>
                      </w:p>
                    </w:txbxContent>
                  </v:textbox>
                </v:roundrect>
                <v:shape id="自选图形 625" o:spid="_x0000_s1026" o:spt="32" type="#_x0000_t32" style="position:absolute;left:4249425;top:1697939;height:700;width:600;" filled="f" stroked="t" coordsize="21600,21600" o:gfxdata="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R9CBT9UAAAAGAQAADwAAAAAAAAABACAAAAAiAAAAZHJzL2Rvd25yZXYueG1s&#10;UEsBAhQAFAAAAAgAh07iQKXMSRT7AQAAwwMAAA4AAAAAAAAAAQAgAAAAJAEAAGRycy9lMm9Eb2Mu&#10;eG1sUEsFBgAAAAAGAAYAWQEAAJEFAAAAAA==&#10;">
                  <v:fill on="f" focussize="0,0"/>
                  <v:stroke color="#000000" joinstyle="round"/>
                  <v:imagedata o:title=""/>
                  <o:lock v:ext="edit" aspectratio="f"/>
                </v:shape>
                <v:shape id="AutoShape 51" o:spid="_x0000_s1026" o:spt="32" type="#_x0000_t32" style="position:absolute;left:2639060;top:1207770;flip:x;height:4445;width:631825;" filled="f" stroked="t" coordsize="21600,21600" o:gfxdata="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jfsBdYAAAAGAQAADwAAAAAAAAABACAAAAAiAAAAZHJz&#10;L2Rvd25yZXYueG1sUEsBAhQAFAAAAAgAh07iQD++JfoGAgAA+wMAAA4AAAAAAAAAAQAgAAAAJQEA&#10;AGRycy9lMm9Eb2MueG1sUEsFBgAAAAAGAAYAWQEAAJ0FAAAAAA==&#10;">
                  <v:fill on="f" focussize="0,0"/>
                  <v:stroke color="#000000" joinstyle="round" endarrow="block"/>
                  <v:imagedata o:title=""/>
                  <o:lock v:ext="edit" aspectratio="f"/>
                </v:shape>
                <v:roundrect id="自选图形 11895" o:spid="_x0000_s1026" o:spt="2" style="position:absolute;left:6362700;top:2091690;height:459740;width:116649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wbnKtMAAAAGAQAADwAAAAAAAAABACAAAAAiAAAAZHJzL2Rvd25yZXYueG1sUEsBAhQA&#10;FAAAAAgAh07iQBK3eZppAgAAtgQAAA4AAAAAAAAAAQAgAAAAIgEAAGRycy9lMm9Eb2MueG1sUEsF&#10;BgAAAAAGAAYAWQEAAP0FAAAAAA==&#10;">
                  <v:fill on="t" focussize="0,0"/>
                  <v:stroke color="#000000" joinstyle="round"/>
                  <v:imagedata o:title=""/>
                  <o:lock v:ext="edit" aspectratio="f"/>
                  <v:textbox>
                    <w:txbxContent>
                      <w:p>
                        <w:pPr>
                          <w:jc w:val="center"/>
                          <w:rPr>
                            <w:rFonts w:ascii="仿宋_GB2312"/>
                            <w:sz w:val="18"/>
                            <w:szCs w:val="18"/>
                          </w:rPr>
                        </w:pPr>
                        <w:r>
                          <w:rPr>
                            <w:rFonts w:hint="eastAsia" w:ascii="仿宋_GB2312"/>
                            <w:sz w:val="18"/>
                            <w:szCs w:val="18"/>
                          </w:rPr>
                          <w:t>南五、南六</w:t>
                        </w:r>
                        <w:r>
                          <w:rPr>
                            <w:rFonts w:hint="eastAsia" w:ascii="仿宋_GB2312" w:hAnsi="等线"/>
                            <w:color w:val="000000"/>
                            <w:sz w:val="18"/>
                            <w:szCs w:val="18"/>
                          </w:rPr>
                          <w:t>余土摊平处理区</w:t>
                        </w:r>
                      </w:p>
                    </w:txbxContent>
                  </v:textbox>
                </v:roundrect>
                <v:roundrect id="自选图形 11895" o:spid="_x0000_s1026" o:spt="2" style="position:absolute;left:3308350;top:1056005;height:288290;width:918210;"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wbnKtMAAAAGAQAADwAAAAAAAAABACAAAAAiAAAAZHJzL2Rvd25yZXYueG1sUEsBAhQA&#10;FAAAAAgAh07iQPr/hMdpAgAAtQQAAA4AAAAAAAAAAQAgAAAAIgEAAGRycy9lMm9Eb2MueG1sUEsF&#10;BgAAAAAGAAYAWQEAAP0FAAAAAA==&#10;">
                  <v:fill on="t" focussize="0,0"/>
                  <v:stroke color="#000000" joinstyle="round"/>
                  <v:imagedata o:title=""/>
                  <o:lock v:ext="edit" aspectratio="f"/>
                  <v:textbox>
                    <w:txbxContent>
                      <w:p>
                        <w:pPr>
                          <w:jc w:val="center"/>
                          <w:rPr>
                            <w:sz w:val="18"/>
                            <w:szCs w:val="18"/>
                          </w:rPr>
                        </w:pPr>
                        <w:r>
                          <w:rPr>
                            <w:sz w:val="18"/>
                            <w:szCs w:val="18"/>
                          </w:rPr>
                          <w:t>5.61万m</w:t>
                        </w:r>
                        <w:r>
                          <w:rPr>
                            <w:sz w:val="18"/>
                            <w:szCs w:val="18"/>
                            <w:vertAlign w:val="superscript"/>
                          </w:rPr>
                          <w:t>3</w:t>
                        </w:r>
                      </w:p>
                    </w:txbxContent>
                  </v:textbox>
                </v:roundrect>
                <v:shape id="文本框 89" o:spid="_x0000_s1026" o:spt="202" type="#_x0000_t202" style="position:absolute;left:2674620;top:2087880;height:284480;width:802640;" filled="f" stroked="f" coordsize="21600,21600" o:gfxdata="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YfsxRNQAAAAG&#10;AQAADwAAAAAAAAABACAAAAAiAAAAZHJzL2Rvd25yZXYueG1sUEsBAhQAFAAAAAgAh07iQNf6S60g&#10;AgAAIwQAAA4AAAAAAAAAAQAgAAAAIwEAAGRycy9lMm9Eb2MueG1sUEsFBgAAAAAGAAYAWQEAALUF&#10;AAAAAA==&#10;">
                  <v:fill on="f" focussize="0,0"/>
                  <v:stroke on="f"/>
                  <v:imagedata o:title=""/>
                  <o:lock v:ext="edit" aspectratio="f"/>
                  <v:textbox>
                    <w:txbxContent>
                      <w:p>
                        <w:pPr>
                          <w:rPr>
                            <w:sz w:val="18"/>
                            <w:szCs w:val="18"/>
                          </w:rPr>
                        </w:pPr>
                        <w:r>
                          <w:rPr>
                            <w:rFonts w:hint="eastAsia"/>
                            <w:sz w:val="18"/>
                            <w:szCs w:val="18"/>
                          </w:rPr>
                          <w:t>1.83</w:t>
                        </w:r>
                        <w:r>
                          <w:rPr>
                            <w:sz w:val="18"/>
                            <w:szCs w:val="18"/>
                          </w:rPr>
                          <w:t>万m</w:t>
                        </w:r>
                        <w:r>
                          <w:rPr>
                            <w:sz w:val="18"/>
                            <w:szCs w:val="18"/>
                            <w:vertAlign w:val="superscript"/>
                          </w:rPr>
                          <w:t>3</w:t>
                        </w:r>
                      </w:p>
                    </w:txbxContent>
                  </v:textbox>
                </v:shape>
                <v:roundrect id="自选图形 11892" o:spid="_x0000_s1026" o:spt="2" style="position:absolute;left:1765300;top:137160;height:477520;width:86677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jBucq0wAAAAYBAAAPAAAAAAAAAAEAIAAAACIAAABkcnMvZG93bnJldi54bWxQSwECFAAUAAAA&#10;CACHTuJAPlThsmUCAAC0BAAADgAAAAAAAAABACAAAAAiAQAAZHJzL2Uyb0RvYy54bWxQSwUGAAAA&#10;AAYABgBZAQAA+QUAAAAA&#10;">
                  <v:fill on="t" focussize="0,0"/>
                  <v:stroke color="#000000" joinstyle="round"/>
                  <v:imagedata o:title=""/>
                  <o:lock v:ext="edit" aspectratio="f"/>
                  <v:textbox>
                    <w:txbxContent>
                      <w:p>
                        <w:pPr>
                          <w:jc w:val="center"/>
                          <w:rPr>
                            <w:rFonts w:eastAsia="仿宋"/>
                            <w:b/>
                            <w:sz w:val="18"/>
                            <w:szCs w:val="18"/>
                          </w:rPr>
                        </w:pPr>
                        <w:r>
                          <w:rPr>
                            <w:rFonts w:hint="eastAsia" w:eastAsia="仿宋"/>
                            <w:b/>
                            <w:sz w:val="18"/>
                            <w:szCs w:val="18"/>
                          </w:rPr>
                          <w:t>填方</w:t>
                        </w:r>
                      </w:p>
                      <w:p>
                        <w:pPr>
                          <w:jc w:val="center"/>
                          <w:rPr>
                            <w:rFonts w:eastAsia="仿宋"/>
                            <w:sz w:val="18"/>
                            <w:szCs w:val="18"/>
                          </w:rPr>
                        </w:pPr>
                        <w:r>
                          <w:rPr>
                            <w:rFonts w:hint="eastAsia" w:eastAsia="仿宋"/>
                            <w:sz w:val="18"/>
                            <w:szCs w:val="18"/>
                          </w:rPr>
                          <w:t>5.83</w:t>
                        </w:r>
                        <w:r>
                          <w:rPr>
                            <w:rFonts w:eastAsia="仿宋"/>
                            <w:sz w:val="18"/>
                            <w:szCs w:val="18"/>
                          </w:rPr>
                          <w:t>万</w:t>
                        </w:r>
                        <w:r>
                          <w:rPr>
                            <w:rFonts w:hint="eastAsia" w:eastAsia="仿宋"/>
                            <w:sz w:val="18"/>
                            <w:szCs w:val="18"/>
                          </w:rPr>
                          <w:t>m</w:t>
                        </w:r>
                        <w:r>
                          <w:rPr>
                            <w:rFonts w:eastAsia="仿宋"/>
                            <w:sz w:val="18"/>
                            <w:szCs w:val="18"/>
                            <w:vertAlign w:val="superscript"/>
                          </w:rPr>
                          <w:t>3</w:t>
                        </w:r>
                      </w:p>
                    </w:txbxContent>
                  </v:textbox>
                </v:roundrect>
                <v:roundrect id="自选图形 11895" o:spid="_x0000_s1026" o:spt="2" style="position:absolute;left:1744345;top:1033145;height:288290;width:90360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MG5yrTAAAABgEAAA8AAAAAAAAAAQAgAAAAIgAAAGRycy9kb3ducmV2LnhtbFBLAQIUABQA&#10;AAAIAIdO4kDxcvqHZwIAALUEAAAOAAAAAAAAAAEAIAAAACIBAABkcnMvZTJvRG9jLnhtbFBLBQYA&#10;AAAABgAGAFkBAAD7BQAAAAA=&#10;">
                  <v:fill on="t" focussize="0,0"/>
                  <v:stroke color="#000000" joinstyle="round"/>
                  <v:imagedata o:title=""/>
                  <o:lock v:ext="edit" aspectratio="f"/>
                  <v:textbox>
                    <w:txbxContent>
                      <w:p>
                        <w:pPr>
                          <w:jc w:val="center"/>
                          <w:rPr>
                            <w:sz w:val="18"/>
                            <w:szCs w:val="18"/>
                          </w:rPr>
                        </w:pPr>
                        <w:r>
                          <w:rPr>
                            <w:sz w:val="18"/>
                            <w:szCs w:val="18"/>
                          </w:rPr>
                          <w:t>3.16万m</w:t>
                        </w:r>
                        <w:r>
                          <w:rPr>
                            <w:sz w:val="18"/>
                            <w:szCs w:val="18"/>
                            <w:vertAlign w:val="superscript"/>
                          </w:rPr>
                          <w:t>3</w:t>
                        </w:r>
                      </w:p>
                    </w:txbxContent>
                  </v:textbox>
                </v:roundrect>
                <v:roundrect id="自选图形 11895" o:spid="_x0000_s1026" o:spt="2" style="position:absolute;left:6417945;top:1592580;height:288290;width:1160145;"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jBucq0wAAAAYBAAAPAAAAAAAAAAEAIAAAACIAAABkcnMvZG93bnJldi54bWxQSwECFAAU&#10;AAAACACHTuJAn10zrGgCAAC2BAAADgAAAAAAAAABACAAAAAiAQAAZHJzL2Uyb0RvYy54bWxQSwUG&#10;AAAAAAYABgBZAQAA/AUAAAAA&#10;">
                  <v:fill on="t" focussize="0,0"/>
                  <v:stroke color="#000000" joinstyle="round"/>
                  <v:imagedata o:title=""/>
                  <o:lock v:ext="edit" aspectratio="f"/>
                  <v:textbox>
                    <w:txbxContent>
                      <w:p>
                        <w:pPr>
                          <w:jc w:val="center"/>
                          <w:rPr>
                            <w:sz w:val="18"/>
                            <w:szCs w:val="18"/>
                          </w:rPr>
                        </w:pPr>
                        <w:r>
                          <w:rPr>
                            <w:sz w:val="18"/>
                            <w:szCs w:val="18"/>
                          </w:rPr>
                          <w:t>董家堰临时堆土场</w:t>
                        </w:r>
                      </w:p>
                    </w:txbxContent>
                  </v:textbox>
                </v:roundrect>
                <v:group id="组合 1637057582" o:spid="_x0000_s1026" o:spt="203" style="position:absolute;left:404495;top:2188210;height:299720;width:3853180;" coordorigin="506534,3666595" coordsize="3852817,299662" o:gfxdata="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">
                  <o:lock v:ext="edit" aspectratio="f"/>
                  <v:shape id="AutoShape 1958" o:spid="_x0000_s1026" o:spt="32" type="#_x0000_t32" style="position:absolute;left:2734708;top:3825920;flip:x;height:11352;width:665881;" filled="f" stroked="t" coordsize="21600,21600" o:gfxdata="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ccyb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group id="组合 1637057564" o:spid="_x0000_s1026" o:spt="203" style="position:absolute;left:506534;top:3666595;height:299662;width:3852817;" coordorigin="483043,3500815" coordsize="3852817,299662" o:gfxdata="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jtPQHvwAAANwAAAAPAAAAAAAAAAEAIAAAACIAAABkcnMvZG93bnJldi54&#10;bWxQSwECFAAUAAAACACHTuJAMy8FnjsAAAA5AAAAFQAAAAAAAAABACAAAAAOAQAAZHJzL2dyb3Vw&#10;c2hhcGV4bWwueG1sUEsFBgAAAAAGAAYAYAEAAMsDAAAAAA==&#10;">
                    <o:lock v:ext="edit" aspectratio="f"/>
                    <v:roundrect id="自选图形 11893" o:spid="_x0000_s1026" o:spt="2" style="position:absolute;left:483043;top:3500815;height:299662;width:1031206;" fillcolor="#FFFFFF" filled="t" stroked="t" coordsize="21600,21600" arcsize="0.166666666666667" o:gfxdata="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6cIi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rPr>
                            </w:pPr>
                            <w:r>
                              <w:rPr>
                                <w:rFonts w:hint="eastAsia" w:eastAsia="仿宋"/>
                                <w:sz w:val="18"/>
                                <w:szCs w:val="18"/>
                              </w:rPr>
                              <w:t>临时</w:t>
                            </w:r>
                            <w:r>
                              <w:rPr>
                                <w:rFonts w:eastAsia="仿宋"/>
                                <w:sz w:val="18"/>
                                <w:szCs w:val="18"/>
                              </w:rPr>
                              <w:t>堆土</w:t>
                            </w:r>
                            <w:r>
                              <w:rPr>
                                <w:rFonts w:hint="eastAsia" w:eastAsia="仿宋"/>
                                <w:sz w:val="18"/>
                                <w:szCs w:val="18"/>
                              </w:rPr>
                              <w:t>场</w:t>
                            </w:r>
                          </w:p>
                        </w:txbxContent>
                      </v:textbox>
                    </v:roundrect>
                    <v:roundrect id="自选图形 11895" o:spid="_x0000_s1026" o:spt="2" style="position:absolute;left:3383945;top:3500815;height:288260;width:951915;" fillcolor="#FFFFFF" filled="t" stroked="t" coordsize="21600,21600" arcsize="0.166666666666667" o:gfxdata="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pWe5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rPr>
                            </w:pPr>
                            <w:r>
                              <w:rPr>
                                <w:rFonts w:hint="eastAsia" w:eastAsia="仿宋"/>
                                <w:sz w:val="18"/>
                                <w:szCs w:val="18"/>
                              </w:rPr>
                              <w:t>1.83</w:t>
                            </w:r>
                            <w:r>
                              <w:rPr>
                                <w:rFonts w:eastAsia="仿宋"/>
                                <w:sz w:val="18"/>
                                <w:szCs w:val="18"/>
                              </w:rPr>
                              <w:t>万m</w:t>
                            </w:r>
                            <w:r>
                              <w:rPr>
                                <w:rFonts w:eastAsia="仿宋"/>
                                <w:sz w:val="18"/>
                                <w:szCs w:val="18"/>
                                <w:vertAlign w:val="superscript"/>
                              </w:rPr>
                              <w:t>3</w:t>
                            </w:r>
                          </w:p>
                        </w:txbxContent>
                      </v:textbox>
                    </v:roundrect>
                    <v:roundrect id="自选图形 11895" o:spid="_x0000_s1026" o:spt="2" style="position:absolute;left:1770459;top:3512117;height:288360;width:947605;" fillcolor="#FFFFFF" filled="t" stroked="t" coordsize="21600,21600" arcsize="0.166666666666667" o:gfxdata="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d/nO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rPr>
                            </w:pPr>
                            <w:r>
                              <w:rPr>
                                <w:rFonts w:hint="eastAsia" w:eastAsia="仿宋"/>
                                <w:sz w:val="18"/>
                                <w:szCs w:val="18"/>
                              </w:rPr>
                              <w:t>1.83</w:t>
                            </w:r>
                            <w:r>
                              <w:rPr>
                                <w:rFonts w:eastAsia="仿宋"/>
                                <w:sz w:val="18"/>
                                <w:szCs w:val="18"/>
                              </w:rPr>
                              <w:t>万m</w:t>
                            </w:r>
                            <w:r>
                              <w:rPr>
                                <w:rFonts w:eastAsia="仿宋"/>
                                <w:sz w:val="18"/>
                                <w:szCs w:val="18"/>
                                <w:vertAlign w:val="superscript"/>
                              </w:rPr>
                              <w:t>3</w:t>
                            </w:r>
                          </w:p>
                        </w:txbxContent>
                      </v:textbox>
                    </v:roundrect>
                  </v:group>
                </v:group>
                <v:roundrect id="自选图形 11894" o:spid="_x0000_s1026" o:spt="2" style="position:absolute;left:251460;top:120015;height:526415;width:1283970;" fillcolor="#FFFFFF" filled="t" stroked="t" coordsize="21600,21600" arcsize="0.166666666666667" o:gfxdata="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wbnKtMAAAAGAQAADwAAAAAAAAABACAAAAAiAAAAZHJzL2Rvd25yZXYueG1sUEsBAhQAFAAA&#10;AAgAh07iQDJViyVmAgAAtAQAAA4AAAAAAAAAAQAgAAAAIgEAAGRycy9lMm9Eb2MueG1sUEsFBgAA&#10;AAAGAAYAWQEAAPoFAAAAAA==&#10;">
                  <v:fill on="t" focussize="0,0"/>
                  <v:stroke color="#000000" joinstyle="round"/>
                  <v:imagedata o:title=""/>
                  <o:lock v:ext="edit" aspectratio="f"/>
                  <v:textbox>
                    <w:txbxContent>
                      <w:p>
                        <w:pPr>
                          <w:jc w:val="center"/>
                          <w:rPr>
                            <w:rFonts w:eastAsia="仿宋"/>
                            <w:b/>
                            <w:sz w:val="18"/>
                            <w:szCs w:val="18"/>
                          </w:rPr>
                        </w:pPr>
                        <w:r>
                          <w:rPr>
                            <w:rFonts w:hint="eastAsia" w:eastAsia="仿宋"/>
                            <w:b/>
                            <w:sz w:val="18"/>
                            <w:szCs w:val="18"/>
                          </w:rPr>
                          <w:t>项目</w:t>
                        </w:r>
                      </w:p>
                    </w:txbxContent>
                  </v:textbox>
                </v:roundrect>
                <v:shape id="文本框 19" o:spid="_x0000_s1026" o:spt="202" type="#_x0000_t202" style="position:absolute;left:2675255;top:951230;height:283845;width:724535;" filled="f" stroked="f" coordsize="21600,21600" o:gfxdata="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H7MUTU&#10;AAAABgEAAA8AAAAAAAAAAQAgAAAAIgAAAGRycy9kb3ducmV2LnhtbFBLAQIUABQAAAAIAIdO4kCH&#10;emmvJAIAACIEAAAOAAAAAAAAAAEAIAAAACMBAABkcnMvZTJvRG9jLnhtbFBLBQYAAAAABgAGAFkB&#10;AAC5BQAAAAA=&#10;">
                  <v:fill on="f" focussize="0,0"/>
                  <v:stroke on="f"/>
                  <v:imagedata o:title=""/>
                  <o:lock v:ext="edit" aspectratio="f"/>
                  <v:textbox>
                    <w:txbxContent>
                      <w:p>
                        <w:pPr>
                          <w:rPr>
                            <w:sz w:val="18"/>
                            <w:szCs w:val="18"/>
                          </w:rPr>
                        </w:pPr>
                        <w:r>
                          <w:rPr>
                            <w:sz w:val="18"/>
                            <w:szCs w:val="18"/>
                          </w:rPr>
                          <w:t>3.16万m</w:t>
                        </w:r>
                        <w:r>
                          <w:rPr>
                            <w:sz w:val="18"/>
                            <w:szCs w:val="18"/>
                            <w:vertAlign w:val="superscript"/>
                          </w:rPr>
                          <w:t>3</w:t>
                        </w:r>
                      </w:p>
                    </w:txbxContent>
                  </v:textbox>
                </v:shape>
                <v:shape id="连接符: 肘形 112" o:spid="_x0000_s1026" o:spt="34" type="#_x0000_t34" style="position:absolute;left:5990590;top:568325;flip:x;height:1811020;width:222250;rotation:5898240f;" filled="f" stroked="t" coordsize="21600,21600" o:gfxdata="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Jf3iZDYAAAABgEAAA8AAAAAAAAAAQAgAAAAIgAAAGRycy9kb3du&#10;cmV2LnhtbFBLAQIUABQAAAAIAIdO4kBJAWb5OAIAADIEAAAOAAAAAAAAAAEAIAAAACcBAABkcnMv&#10;ZTJvRG9jLnhtbFBLBQYAAAAABgAGAFkBAADRBQAAAAA=&#10;" adj="10800">
                  <v:fill on="f" focussize="0,0"/>
                  <v:stroke weight="0.5pt" color="#000000 [3200]" miterlimit="8" joinstyle="miter" dashstyle="dash" endarrow="block"/>
                  <v:imagedata o:title=""/>
                  <o:lock v:ext="edit" aspectratio="f"/>
                </v:shape>
                <v:shape id="连接符: 肘形 113" o:spid="_x0000_s1026" o:spt="34" type="#_x0000_t34" style="position:absolute;left:5779770;top:847725;flip:x;height:1828165;width:661035;rotation:5898240f;" filled="f" stroked="t" coordsize="21600,21600" o:gfxdata="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&#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f9ZLg2AAAAAYBAAAPAAAAAAAAAAEAIAAAACIAAABk&#10;cnMvZG93bnJldi54bWxQSwECFAAUAAAACACHTuJACRHnqz8CAAAyBAAADgAAAAAAAAABACAAAAAn&#10;AQAAZHJzL2Uyb0RvYy54bWxQSwUGAAAAAAYABgBZAQAA2AUAAAAA&#10;" adj="18377">
                  <v:fill on="f" focussize="0,0"/>
                  <v:stroke weight="0.5pt" color="#000000 [3200]" miterlimit="8" joinstyle="miter" dashstyle="dash" endarrow="block"/>
                  <v:imagedata o:title=""/>
                  <o:lock v:ext="edit" aspectratio="f"/>
                </v:shape>
                <v:shape id="文本框 89" o:spid="_x0000_s1026" o:spt="202" type="#_x0000_t202" style="position:absolute;left:5613400;top:1120140;height:291465;width:1781810;" filled="f" stroked="f" coordsize="21600,21600" o:gfxdata="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H7MUTUAAAA&#10;BgEAAA8AAAAAAAAAAQAgAAAAIgAAAGRycy9kb3ducmV2LnhtbFBLAQIUABQAAAAIAIdO4kBKmIrE&#10;IQIAACQEAAAOAAAAAAAAAAEAIAAAACMBAABkcnMvZTJvRG9jLnhtbFBLBQYAAAAABgAGAFkBAAC2&#10;BQAAAAA=&#10;">
                  <v:fill on="f" focussize="0,0"/>
                  <v:stroke on="f"/>
                  <v:imagedata o:title=""/>
                  <o:lock v:ext="edit" aspectratio="f"/>
                  <v:textbox>
                    <w:txbxContent>
                      <w:p>
                        <w:pPr>
                          <w:rPr>
                            <w:sz w:val="18"/>
                            <w:szCs w:val="18"/>
                          </w:rPr>
                        </w:pPr>
                        <w:r>
                          <w:rPr>
                            <w:sz w:val="18"/>
                            <w:szCs w:val="18"/>
                          </w:rPr>
                          <w:t>1.59万m</w:t>
                        </w:r>
                        <w:r>
                          <w:rPr>
                            <w:position w:val="5"/>
                            <w:sz w:val="18"/>
                            <w:szCs w:val="18"/>
                            <w:vertAlign w:val="superscript"/>
                          </w:rPr>
                          <w:t>3</w:t>
                        </w:r>
                        <w:r>
                          <w:rPr>
                            <w:rFonts w:hint="eastAsia"/>
                            <w:sz w:val="18"/>
                            <w:szCs w:val="18"/>
                          </w:rPr>
                          <w:t>（含淤泥0.06万</w:t>
                        </w:r>
                        <w:r>
                          <w:rPr>
                            <w:sz w:val="18"/>
                            <w:szCs w:val="18"/>
                          </w:rPr>
                          <w:t>m</w:t>
                        </w:r>
                        <w:r>
                          <w:rPr>
                            <w:position w:val="5"/>
                            <w:sz w:val="18"/>
                            <w:szCs w:val="18"/>
                            <w:vertAlign w:val="superscript"/>
                          </w:rPr>
                          <w:t>3</w:t>
                        </w:r>
                        <w:r>
                          <w:rPr>
                            <w:rFonts w:hint="eastAsia"/>
                            <w:sz w:val="18"/>
                            <w:szCs w:val="18"/>
                          </w:rPr>
                          <w:t>）</w:t>
                        </w:r>
                      </w:p>
                    </w:txbxContent>
                  </v:textbox>
                </v:shape>
                <v:shape id="文本框 89" o:spid="_x0000_s1026" o:spt="202" type="#_x0000_t202" style="position:absolute;left:5384800;top:1677670;height:291465;width:720090;" filled="f" stroked="f" coordsize="21600,21600" o:gfxdata="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H7MUTUAAAA&#10;BgEAAA8AAAAAAAAAAQAgAAAAIgAAAGRycy9kb3ducmV2LnhtbFBLAQIUABQAAAAIAIdO4kBiN/VN&#10;IQIAACMEAAAOAAAAAAAAAAEAIAAAACMBAABkcnMvZTJvRG9jLnhtbFBLBQYAAAAABgAGAFkBAAC2&#10;BQAAAAA=&#10;">
                  <v:fill on="f" focussize="0,0"/>
                  <v:stroke on="f"/>
                  <v:imagedata o:title=""/>
                  <o:lock v:ext="edit" aspectratio="f"/>
                  <v:textbox>
                    <w:txbxContent>
                      <w:p>
                        <w:pPr>
                          <w:rPr>
                            <w:sz w:val="18"/>
                            <w:szCs w:val="18"/>
                          </w:rPr>
                        </w:pPr>
                        <w:r>
                          <w:rPr>
                            <w:sz w:val="18"/>
                            <w:szCs w:val="18"/>
                          </w:rPr>
                          <w:t>0.86万m</w:t>
                        </w:r>
                        <w:r>
                          <w:rPr>
                            <w:position w:val="5"/>
                            <w:sz w:val="18"/>
                            <w:szCs w:val="18"/>
                            <w:vertAlign w:val="superscript"/>
                          </w:rPr>
                          <w:t>3</w:t>
                        </w:r>
                      </w:p>
                    </w:txbxContent>
                  </v:textbox>
                </v:shape>
                <v:shape id="箭头: 右 116" o:spid="_x0000_s1026" o:spt="13" type="#_x0000_t13" style="position:absolute;left:7647940;top:356235;height:3180080;width:1215390;v-text-anchor:middle;" filled="f" stroked="t" coordsize="21600,21600" o:gfxdata="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L00tD1gAAAAYBAAAPAAAAAAAAAAEAIAAA&#10;ACIAAABkcnMvZG93bnJldi54bWxQSwECFAAUAAAACACHTuJA6CE2L7kCAABjBQAADgAAAAAAAAAB&#10;ACAAAAAlAQAAZHJzL2Uyb0RvYy54bWxQSwUGAAAAAAYABgBZAQAAUAYAAAAA&#10;" adj="12328,5400">
                  <v:fill on="f" focussize="0,0"/>
                  <v:stroke weight="1pt" color="#41719C [3204]" miterlimit="8" joinstyle="miter"/>
                  <v:imagedata o:title=""/>
                  <o:lock v:ext="edit" aspectratio="f"/>
                  <v:textbox>
                    <w:txbxContent>
                      <w:p>
                        <w:pPr>
                          <w:ind w:firstLine="480"/>
                        </w:pPr>
                      </w:p>
                    </w:txbxContent>
                  </v:textbox>
                </v:shape>
                <v:shape id="_x0000_s1026" o:spid="_x0000_s1026" o:spt="202" type="#_x0000_t202" style="position:absolute;left:7630795;top:1420495;height:1491615;width:1009650;" filled="f" stroked="f" coordsize="21600,21600" o:gfxdata="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gdFz7YAAAABgEAAA8AAAAAAAAAAQAg&#10;AAAAIgAAAGRycy9kb3ducmV2LnhtbFBLAQIUABQAAAAIAIdO4kC6iX/9RwIAAHcEAAAOAAAAAAAA&#10;AAEAIAAAACcBAABkcnMvZTJvRG9jLnhtbFBLBQYAAAAABgAGAFkBAADgBQAAAAA=&#10;">
                  <v:fill on="f" focussize="0,0"/>
                  <v:stroke on="f" weight="0.5pt"/>
                  <v:imagedata o:title=""/>
                  <o:lock v:ext="edit" aspectratio="f"/>
                  <v:textbox>
                    <w:txbxContent>
                      <w:p>
                        <w:pPr>
                          <w:jc w:val="center"/>
                          <w:rPr>
                            <w:rFonts w:ascii="仿宋_GB2312"/>
                          </w:rPr>
                        </w:pPr>
                        <w:r>
                          <w:rPr>
                            <w:rFonts w:hint="eastAsia" w:ascii="仿宋_GB2312"/>
                            <w:sz w:val="18"/>
                            <w:szCs w:val="18"/>
                          </w:rPr>
                          <w:t>用作环城生态区农田综合整治及农业灌区设施建设项目农田综合整治等其他工程回填或综合利用</w:t>
                        </w:r>
                      </w:p>
                    </w:txbxContent>
                  </v:textbox>
                </v:shape>
                <v:group id="组合 229" o:spid="_x0000_s1026" o:spt="203" style="position:absolute;left:367665;top:2757805;height:305435;width:3884930;" coordsize="3885863,305675" o:gfxdata="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">
                  <o:lock v:ext="edit" aspectratio="f"/>
                  <v:roundrect id="自选图形 11894" o:spid="_x0000_s1026" o:spt="2" style="position:absolute;left:0;top:0;height:289560;width:1080770;" fillcolor="#FFFFFF" filled="t" stroked="t" coordsize="21600,21600" arcsize="0.166666666666667" o:gfxdata="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JkYN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rPr>
                          </w:pPr>
                          <w:r>
                            <w:rPr>
                              <w:rFonts w:hint="eastAsia" w:eastAsia="仿宋"/>
                              <w:sz w:val="18"/>
                              <w:szCs w:val="18"/>
                            </w:rPr>
                            <w:t>施工</w:t>
                          </w:r>
                          <w:r>
                            <w:rPr>
                              <w:rFonts w:eastAsia="仿宋"/>
                              <w:sz w:val="18"/>
                              <w:szCs w:val="18"/>
                            </w:rPr>
                            <w:t>便道</w:t>
                          </w:r>
                          <w:r>
                            <w:rPr>
                              <w:rFonts w:hint="eastAsia" w:eastAsia="仿宋"/>
                              <w:sz w:val="18"/>
                              <w:szCs w:val="18"/>
                            </w:rPr>
                            <w:t>场</w:t>
                          </w:r>
                        </w:p>
                        <w:p>
                          <w:pPr>
                            <w:pStyle w:val="20"/>
                            <w:jc w:val="center"/>
                          </w:pPr>
                          <w:r>
                            <w:rPr>
                              <w:rFonts w:hint="eastAsia" w:ascii="Times New Roman" w:hAnsi="仿宋" w:eastAsia="仿宋"/>
                              <w:sz w:val="18"/>
                              <w:szCs w:val="18"/>
                            </w:rPr>
                            <w:t>时生产生活区</w:t>
                          </w:r>
                        </w:p>
                      </w:txbxContent>
                    </v:textbox>
                  </v:roundrect>
                  <v:roundrect id="自选图形 11895" o:spid="_x0000_s1026" o:spt="2" style="position:absolute;left:1389388;top:1845;height:287655;width:882015;" fillcolor="#FFFFFF" filled="t" stroked="t" coordsize="21600,21600" arcsize="0.166666666666667" o:gfxdata="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auOW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rPr>
                          </w:pPr>
                          <w:r>
                            <w:rPr>
                              <w:rFonts w:eastAsia="仿宋"/>
                              <w:sz w:val="18"/>
                              <w:szCs w:val="18"/>
                            </w:rPr>
                            <w:t>0.72</w:t>
                          </w:r>
                          <w:r>
                            <w:rPr>
                              <w:rFonts w:hint="eastAsia" w:eastAsia="仿宋"/>
                              <w:sz w:val="18"/>
                              <w:szCs w:val="18"/>
                            </w:rPr>
                            <w:t>万</w:t>
                          </w:r>
                          <w:r>
                            <w:rPr>
                              <w:rFonts w:eastAsia="仿宋"/>
                              <w:sz w:val="18"/>
                              <w:szCs w:val="18"/>
                            </w:rPr>
                            <w:t>m</w:t>
                          </w:r>
                          <w:r>
                            <w:rPr>
                              <w:rFonts w:eastAsia="仿宋"/>
                              <w:sz w:val="18"/>
                              <w:szCs w:val="18"/>
                              <w:vertAlign w:val="superscript"/>
                            </w:rPr>
                            <w:t>3</w:t>
                          </w:r>
                        </w:p>
                      </w:txbxContent>
                    </v:textbox>
                  </v:roundrect>
                  <v:roundrect id="自选图形 11895" o:spid="_x0000_s1026" o:spt="2" style="position:absolute;left:2906333;top:20025;height:285650;width:979530;" fillcolor="#FFFFFF" filled="t" stroked="t" coordsize="21600,21600" arcsize="0.166666666666667" o:gfxdata="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g3vi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rPr>
                          </w:pPr>
                          <w:r>
                            <w:rPr>
                              <w:rFonts w:eastAsia="仿宋"/>
                              <w:sz w:val="18"/>
                              <w:szCs w:val="18"/>
                            </w:rPr>
                            <w:t>0.72</w:t>
                          </w:r>
                          <w:r>
                            <w:rPr>
                              <w:rFonts w:hint="eastAsia" w:eastAsia="仿宋"/>
                              <w:sz w:val="18"/>
                              <w:szCs w:val="18"/>
                            </w:rPr>
                            <w:t>万</w:t>
                          </w:r>
                          <w:r>
                            <w:rPr>
                              <w:rFonts w:eastAsia="仿宋"/>
                              <w:sz w:val="18"/>
                              <w:szCs w:val="18"/>
                            </w:rPr>
                            <w:t>m</w:t>
                          </w:r>
                          <w:r>
                            <w:rPr>
                              <w:rFonts w:eastAsia="仿宋"/>
                              <w:sz w:val="18"/>
                              <w:szCs w:val="18"/>
                              <w:vertAlign w:val="superscript"/>
                            </w:rPr>
                            <w:t>3</w:t>
                          </w:r>
                        </w:p>
                      </w:txbxContent>
                    </v:textbox>
                  </v:roundrect>
                  <v:shape id="直接箭头连接符 233" o:spid="_x0000_s1026" o:spt="32" type="#_x0000_t32" style="position:absolute;left:2271403;top:145499;flip:x;height:87;width:634930;" filled="f" stroked="t" coordsize="21600,21600" o:gfxdata="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7DanrsAAADc&#10;AAAADwAAAAAAAAABACAAAAAiAAAAZHJzL2Rvd25yZXYueG1sUEsBAhQAFAAAAAgAh07iQDMvBZ47&#10;AAAAOQAAABAAAAAAAAAAAQAgAAAACgEAAGRycy9zaGFwZXhtbC54bWxQSwUGAAAAAAYABgBbAQAA&#10;tAMAAAAA&#10;">
                    <v:fill on="f" focussize="0,0"/>
                    <v:stroke weight="1.5pt" color="#000000 [3213]" miterlimit="8" joinstyle="miter" endarrow="block"/>
                    <v:imagedata o:title=""/>
                    <o:lock v:ext="edit" aspectratio="f"/>
                  </v:shape>
                </v:group>
                <v:group id="组合 268" o:spid="_x0000_s1026" o:spt="203" style="position:absolute;left:373380;top:1599565;height:305435;width:3884930;" coordsize="3885863,305675" o:gfxdata="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">
                  <o:lock v:ext="edit" aspectratio="f"/>
                  <v:roundrect id="自选图形 11894" o:spid="_x0000_s1026" o:spt="2" style="position:absolute;left:0;top:0;height:289560;width:1080770;" fillcolor="#FFFFFF" filled="t" stroked="t" coordsize="21600,21600" arcsize="0.166666666666667" o:gfxdata="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eoIZ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rPr>
                          </w:pPr>
                          <w:r>
                            <w:rPr>
                              <w:rFonts w:hint="eastAsia" w:eastAsia="仿宋"/>
                              <w:sz w:val="18"/>
                              <w:szCs w:val="18"/>
                            </w:rPr>
                            <w:t>施工工区</w:t>
                          </w:r>
                        </w:p>
                        <w:p>
                          <w:pPr>
                            <w:pStyle w:val="34"/>
                            <w:spacing w:before="0" w:beforeAutospacing="0" w:after="0" w:afterAutospacing="0"/>
                            <w:ind w:left="3355" w:firstLine="360"/>
                            <w:jc w:val="center"/>
                          </w:pPr>
                          <w:r>
                            <w:rPr>
                              <w:rFonts w:hint="eastAsia" w:hAnsi="仿宋" w:eastAsia="仿宋"/>
                              <w:sz w:val="18"/>
                              <w:szCs w:val="18"/>
                            </w:rPr>
                            <w:t>时生产生活区</w:t>
                          </w:r>
                        </w:p>
                      </w:txbxContent>
                    </v:textbox>
                  </v:roundrect>
                  <v:roundrect id="自选图形 11895" o:spid="_x0000_s1026" o:spt="2" style="position:absolute;left:1389388;top:1845;height:287655;width:882015;" fillcolor="#FFFFFF" filled="t" stroked="t" coordsize="21600,21600" arcsize="0.166666666666667" o:gfxdata="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qBxu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eastAsia="仿宋"/>
                              <w:sz w:val="18"/>
                              <w:szCs w:val="18"/>
                              <w:vertAlign w:val="superscript"/>
                            </w:rPr>
                          </w:pPr>
                          <w:r>
                            <w:rPr>
                              <w:rFonts w:eastAsia="仿宋"/>
                              <w:sz w:val="18"/>
                              <w:szCs w:val="18"/>
                            </w:rPr>
                            <w:t>0.12</w:t>
                          </w:r>
                          <w:r>
                            <w:rPr>
                              <w:rFonts w:hint="eastAsia" w:eastAsia="仿宋"/>
                              <w:sz w:val="18"/>
                              <w:szCs w:val="18"/>
                            </w:rPr>
                            <w:t>万</w:t>
                          </w:r>
                          <w:r>
                            <w:rPr>
                              <w:rFonts w:eastAsia="仿宋"/>
                              <w:sz w:val="18"/>
                              <w:szCs w:val="18"/>
                            </w:rPr>
                            <w:t>m</w:t>
                          </w:r>
                          <w:r>
                            <w:rPr>
                              <w:rFonts w:eastAsia="仿宋"/>
                              <w:sz w:val="18"/>
                              <w:szCs w:val="18"/>
                              <w:vertAlign w:val="superscript"/>
                            </w:rPr>
                            <w:t>3</w:t>
                          </w:r>
                        </w:p>
                      </w:txbxContent>
                    </v:textbox>
                  </v:roundrect>
                  <v:roundrect id="自选图形 11895" o:spid="_x0000_s1026" o:spt="2" style="position:absolute;left:2906333;top:20025;height:285650;width:979530;" fillcolor="#FFFFFF" filled="t" stroked="t" coordsize="21600,21600" arcsize="0.166666666666667" o:gfxdata="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5Ln1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pStyle w:val="34"/>
                            <w:spacing w:before="0" w:beforeAutospacing="0" w:after="0" w:afterAutospacing="0"/>
                            <w:jc w:val="center"/>
                          </w:pPr>
                          <w:r>
                            <w:rPr>
                              <w:rFonts w:eastAsia="仿宋"/>
                              <w:sz w:val="18"/>
                              <w:szCs w:val="18"/>
                            </w:rPr>
                            <w:t>0.12</w:t>
                          </w:r>
                          <w:r>
                            <w:rPr>
                              <w:rFonts w:hint="eastAsia" w:hAnsi="仿宋" w:eastAsia="仿宋"/>
                              <w:sz w:val="18"/>
                              <w:szCs w:val="18"/>
                            </w:rPr>
                            <w:t>万</w:t>
                          </w:r>
                          <w:r>
                            <w:rPr>
                              <w:rFonts w:eastAsia="仿宋"/>
                              <w:sz w:val="18"/>
                              <w:szCs w:val="18"/>
                            </w:rPr>
                            <w:t>m</w:t>
                          </w:r>
                          <w:r>
                            <w:rPr>
                              <w:rFonts w:eastAsia="仿宋"/>
                              <w:position w:val="5"/>
                              <w:sz w:val="18"/>
                              <w:szCs w:val="18"/>
                              <w:vertAlign w:val="superscript"/>
                            </w:rPr>
                            <w:t>3</w:t>
                          </w:r>
                        </w:p>
                      </w:txbxContent>
                    </v:textbox>
                  </v:roundrect>
                  <v:shape id="直接箭头连接符 272" o:spid="_x0000_s1026" o:spt="32" type="#_x0000_t32" style="position:absolute;left:2271403;top:145499;flip:x;height:87;width:634930;" filled="f" stroked="t" coordsize="21600,21600" o:gfxdata="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PRWUe5AAAA3AAA&#10;AA8AAAAAAAAAAQAgAAAAIgAAAGRycy9kb3ducmV2LnhtbFBLAQIUABQAAAAIAIdO4kAzLwWeOwAA&#10;ADkAAAAQAAAAAAAAAAEAIAAAAAgBAABkcnMvc2hhcGV4bWwueG1sUEsFBgAAAAAGAAYAWwEAALID&#10;AAAAAA==&#10;">
                    <v:fill on="f" focussize="0,0"/>
                    <v:stroke weight="1.5pt" color="#000000 [3213]" miterlimit="8" joinstyle="miter" endarrow="block"/>
                    <v:imagedata o:title=""/>
                    <o:lock v:ext="edit" aspectratio="f"/>
                  </v:shape>
                </v:group>
                <v:shape id="文本框 19" o:spid="_x0000_s1026" o:spt="202" type="#_x0000_t202" style="position:absolute;left:1713230;top:2208530;height:283210;width:845185;" filled="f" stroked="f" coordsize="21600,21600" o:gfxdata="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fsxRNQA&#10;AAAGAQAADwAAAAAAAAABACAAAAAiAAAAZHJzL2Rvd25yZXYueG1sUEsBAhQAFAAAAAgAh07iQHsh&#10;Yl4jAgAAIwQAAA4AAAAAAAAAAQAgAAAAIwEAAGRycy9lMm9Eb2MueG1sUEsFBgAAAAAGAAYAWQEA&#10;ALgFAAAAAA==&#10;">
                  <v:fill on="f" focussize="0,0"/>
                  <v:stroke on="f"/>
                  <v:imagedata o:title=""/>
                  <o:lock v:ext="edit" aspectratio="f"/>
                  <v:textbox>
                    <w:txbxContent>
                      <w:p>
                        <w:pPr>
                          <w:pStyle w:val="34"/>
                          <w:spacing w:before="0" w:beforeAutospacing="0" w:after="0" w:afterAutospacing="0"/>
                          <w:ind w:left="3355" w:firstLine="360"/>
                          <w:jc w:val="both"/>
                          <w:rPr>
                            <w:rFonts w:eastAsia="仿宋_GB2312"/>
                          </w:rPr>
                        </w:pPr>
                        <w:r>
                          <w:rPr>
                            <w:rFonts w:eastAsia="仿宋_GB2312"/>
                            <w:sz w:val="18"/>
                            <w:szCs w:val="18"/>
                          </w:rPr>
                          <w:t>0.09万m</w:t>
                        </w:r>
                        <w:r>
                          <w:rPr>
                            <w:rFonts w:eastAsia="仿宋_GB2312"/>
                            <w:position w:val="5"/>
                            <w:sz w:val="18"/>
                            <w:szCs w:val="18"/>
                            <w:vertAlign w:val="superscript"/>
                          </w:rPr>
                          <w:t>3</w:t>
                        </w:r>
                      </w:p>
                    </w:txbxContent>
                  </v:textbox>
                </v:shape>
                <v:shape id="文本框 19" o:spid="_x0000_s1026" o:spt="202" type="#_x0000_t202" style="position:absolute;left:2675255;top:1449705;height:283845;width:723900;" filled="f" stroked="f" coordsize="21600,21600" o:gfxdata="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H7MUTU&#10;AAAABgEAAA8AAAAAAAAAAQAgAAAAIgAAAGRycy9kb3ducmV2LnhtbFBLAQIUABQAAAAIAIdO4kCl&#10;gAv9JAIAACMEAAAOAAAAAAAAAAEAIAAAACMBAABkcnMvZTJvRG9jLnhtbFBLBQYAAAAABgAGAFkB&#10;AAC5BQAAAAA=&#10;">
                  <v:fill on="f" focussize="0,0"/>
                  <v:stroke on="f"/>
                  <v:imagedata o:title=""/>
                  <o:lock v:ext="edit" aspectratio="f"/>
                  <v:textbox>
                    <w:txbxContent>
                      <w:p>
                        <w:pPr>
                          <w:pStyle w:val="34"/>
                          <w:spacing w:before="0" w:beforeAutospacing="0" w:after="0" w:afterAutospacing="0"/>
                          <w:jc w:val="both"/>
                          <w:rPr>
                            <w:rFonts w:eastAsia="仿宋_GB2312"/>
                          </w:rPr>
                        </w:pPr>
                        <w:r>
                          <w:rPr>
                            <w:rFonts w:eastAsia="仿宋_GB2312"/>
                            <w:sz w:val="18"/>
                            <w:szCs w:val="18"/>
                          </w:rPr>
                          <w:t>0.12万m</w:t>
                        </w:r>
                        <w:r>
                          <w:rPr>
                            <w:rFonts w:eastAsia="仿宋_GB2312"/>
                            <w:position w:val="5"/>
                            <w:sz w:val="18"/>
                            <w:szCs w:val="18"/>
                            <w:vertAlign w:val="superscript"/>
                          </w:rPr>
                          <w:t>3</w:t>
                        </w:r>
                      </w:p>
                    </w:txbxContent>
                  </v:textbox>
                </v:shape>
                <v:shape id="文本框 19" o:spid="_x0000_s1026" o:spt="202" type="#_x0000_t202" style="position:absolute;left:2642870;top:2585085;height:283845;width:859790;" filled="f" stroked="f" coordsize="21600,21600" o:gfxdata="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H7MUTU&#10;AAAABgEAAA8AAAAAAAAAAQAgAAAAIgAAAGRycy9kb3ducmV2LnhtbFBLAQIUABQAAAAIAIdO4kCO&#10;ZrTiJAIAACMEAAAOAAAAAAAAAAEAIAAAACMBAABkcnMvZTJvRG9jLnhtbFBLBQYAAAAABgAGAFkB&#10;AAC5BQAAAAA=&#10;">
                  <v:fill on="f" focussize="0,0"/>
                  <v:stroke on="f"/>
                  <v:imagedata o:title=""/>
                  <o:lock v:ext="edit" aspectratio="f"/>
                  <v:textbox>
                    <w:txbxContent>
                      <w:p>
                        <w:pPr>
                          <w:pStyle w:val="34"/>
                          <w:spacing w:before="0" w:beforeAutospacing="0" w:after="0" w:afterAutospacing="0"/>
                          <w:jc w:val="both"/>
                        </w:pPr>
                        <w:r>
                          <w:rPr>
                            <w:rFonts w:eastAsia="仿宋"/>
                            <w:sz w:val="18"/>
                            <w:szCs w:val="18"/>
                          </w:rPr>
                          <w:t>0.72</w:t>
                        </w:r>
                        <w:r>
                          <w:rPr>
                            <w:rFonts w:hint="eastAsia" w:hAnsi="仿宋" w:eastAsia="仿宋"/>
                            <w:sz w:val="18"/>
                            <w:szCs w:val="18"/>
                          </w:rPr>
                          <w:t>万</w:t>
                        </w:r>
                        <w:r>
                          <w:rPr>
                            <w:rFonts w:eastAsia="仿宋"/>
                            <w:sz w:val="18"/>
                            <w:szCs w:val="18"/>
                          </w:rPr>
                          <w:t>m</w:t>
                        </w:r>
                        <w:r>
                          <w:rPr>
                            <w:rFonts w:eastAsia="仿宋"/>
                            <w:position w:val="5"/>
                            <w:sz w:val="18"/>
                            <w:szCs w:val="18"/>
                            <w:vertAlign w:val="superscript"/>
                          </w:rPr>
                          <w:t>3</w:t>
                        </w:r>
                      </w:p>
                    </w:txbxContent>
                  </v:textbox>
                </v:shape>
                <w10:wrap type="none"/>
                <w10:anchorlock/>
              </v:group>
            </w:pict>
          </mc:Fallback>
        </mc:AlternateContent>
      </w:r>
    </w:p>
    <w:p>
      <w:pPr>
        <w:autoSpaceDE/>
        <w:autoSpaceDN/>
        <w:adjustRightInd w:val="0"/>
        <w:snapToGrid w:val="0"/>
        <w:ind w:firstLine="480" w:firstLineChars="200"/>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图2.4-2土石方平衡及流向框图（自然方，万m</w:t>
      </w:r>
      <w:r>
        <w:rPr>
          <w:rFonts w:hint="eastAsia" w:eastAsia="黑体"/>
          <w:color w:val="000000" w:themeColor="text1"/>
          <w:kern w:val="0"/>
          <w:sz w:val="24"/>
          <w:szCs w:val="24"/>
          <w:vertAlign w:val="superscript"/>
          <w14:textFill>
            <w14:solidFill>
              <w14:schemeClr w14:val="tx1"/>
            </w14:solidFill>
          </w14:textFill>
        </w:rPr>
        <w:t>3</w:t>
      </w:r>
      <w:r>
        <w:rPr>
          <w:rFonts w:hint="eastAsia" w:eastAsia="黑体"/>
          <w:color w:val="000000" w:themeColor="text1"/>
          <w:kern w:val="0"/>
          <w:sz w:val="24"/>
          <w:szCs w:val="24"/>
          <w14:textFill>
            <w14:solidFill>
              <w14:schemeClr w14:val="tx1"/>
            </w14:solidFill>
          </w14:textFill>
        </w:rPr>
        <w:t>）</w:t>
      </w:r>
    </w:p>
    <w:p>
      <w:pPr>
        <w:pStyle w:val="37"/>
        <w:ind w:left="0" w:leftChars="0" w:firstLine="0" w:firstLineChars="0"/>
        <w:rPr>
          <w:color w:val="000000" w:themeColor="text1"/>
          <w14:textFill>
            <w14:solidFill>
              <w14:schemeClr w14:val="tx1"/>
            </w14:solidFill>
          </w14:textFill>
        </w:rPr>
      </w:pPr>
    </w:p>
    <w:p>
      <w:pPr>
        <w:pStyle w:val="37"/>
        <w:ind w:firstLine="480"/>
        <w:rPr>
          <w:color w:val="000000" w:themeColor="text1"/>
          <w14:textFill>
            <w14:solidFill>
              <w14:schemeClr w14:val="tx1"/>
            </w14:solidFill>
          </w14:textFill>
        </w:rPr>
      </w:pPr>
    </w:p>
    <w:p>
      <w:pPr>
        <w:pStyle w:val="37"/>
        <w:ind w:firstLine="480"/>
        <w:rPr>
          <w:color w:val="000000" w:themeColor="text1"/>
          <w14:textFill>
            <w14:solidFill>
              <w14:schemeClr w14:val="tx1"/>
            </w14:solidFill>
          </w14:textFill>
        </w:rPr>
      </w:pPr>
    </w:p>
    <w:p>
      <w:pPr>
        <w:pStyle w:val="37"/>
        <w:ind w:firstLine="480"/>
        <w:rPr>
          <w:color w:val="000000" w:themeColor="text1"/>
          <w14:textFill>
            <w14:solidFill>
              <w14:schemeClr w14:val="tx1"/>
            </w14:solidFill>
          </w14:textFill>
        </w:rPr>
        <w:sectPr>
          <w:pgSz w:w="16840" w:h="11910" w:orient="landscape"/>
          <w:pgMar w:top="1440" w:right="1340" w:bottom="1180" w:left="1280" w:header="882" w:footer="1097" w:gutter="0"/>
          <w:pgBorders>
            <w:top w:val="none" w:sz="0" w:space="0"/>
            <w:left w:val="none" w:sz="0" w:space="0"/>
            <w:bottom w:val="none" w:sz="0" w:space="0"/>
            <w:right w:val="none" w:sz="0" w:space="0"/>
          </w:pgBorders>
          <w:pgNumType w:fmt="decimal"/>
          <w:cols w:space="720" w:num="1"/>
        </w:sectPr>
      </w:pPr>
    </w:p>
    <w:p>
      <w:pPr>
        <w:adjustRightInd w:val="0"/>
        <w:snapToGrid w:val="0"/>
        <w:spacing w:line="360" w:lineRule="auto"/>
        <w:ind w:firstLine="482" w:firstLineChars="20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2、临时堆土场设置</w:t>
      </w:r>
    </w:p>
    <w:p>
      <w:pPr>
        <w:pStyle w:val="37"/>
        <w:spacing w:after="0"/>
        <w:ind w:left="0" w:leftChars="0" w:firstLine="48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设置1个临时堆土场，依托成都市环城生态区农田综合整治及农业灌区设施建设项目1个余土摊平处理区。北支一渠、董家堰临时堆土场位于北支一渠（上）南侧，桩号K0+445；南五、南六余土摊平处理区位于螺狮坝立交西北，东风路北侧低洼地。</w:t>
      </w:r>
    </w:p>
    <w:p>
      <w:pPr>
        <w:pStyle w:val="37"/>
        <w:spacing w:after="0"/>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临时堆土场典型设计图如下：</w:t>
      </w:r>
    </w:p>
    <w:p>
      <w:pPr>
        <w:autoSpaceDE/>
        <w:autoSpaceDN/>
        <w:adjustRightInd w:val="0"/>
        <w:snapToGrid w:val="0"/>
        <w:jc w:val="both"/>
        <w:rPr>
          <w:rFonts w:eastAsia="黑体"/>
          <w:color w:val="000000" w:themeColor="text1"/>
          <w:kern w:val="0"/>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310505" cy="3206115"/>
            <wp:effectExtent l="0" t="0" r="4445" b="13335"/>
            <wp:docPr id="2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
                    <pic:cNvPicPr>
                      <a:picLocks noChangeAspect="1"/>
                    </pic:cNvPicPr>
                  </pic:nvPicPr>
                  <pic:blipFill>
                    <a:blip r:embed="rId54"/>
                    <a:srcRect l="883" t="9355" r="1018" b="4411"/>
                    <a:stretch>
                      <a:fillRect/>
                    </a:stretch>
                  </pic:blipFill>
                  <pic:spPr>
                    <a:xfrm>
                      <a:off x="0" y="0"/>
                      <a:ext cx="5310505" cy="3206115"/>
                    </a:xfrm>
                    <a:prstGeom prst="rect">
                      <a:avLst/>
                    </a:prstGeom>
                    <a:noFill/>
                    <a:ln>
                      <a:noFill/>
                    </a:ln>
                  </pic:spPr>
                </pic:pic>
              </a:graphicData>
            </a:graphic>
          </wp:inline>
        </w:drawing>
      </w:r>
    </w:p>
    <w:p>
      <w:pPr>
        <w:autoSpaceDE/>
        <w:autoSpaceDN/>
        <w:adjustRightInd w:val="0"/>
        <w:snapToGrid w:val="0"/>
        <w:spacing w:line="360" w:lineRule="auto"/>
        <w:ind w:firstLine="480" w:firstLineChars="200"/>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图2.4-3临时堆土场典型设计图</w:t>
      </w:r>
    </w:p>
    <w:p>
      <w:pPr>
        <w:autoSpaceDE/>
        <w:autoSpaceDN/>
        <w:spacing w:line="360" w:lineRule="auto"/>
        <w:ind w:firstLine="482" w:firstLineChars="200"/>
        <w:jc w:val="both"/>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合理性分析：</w:t>
      </w:r>
    </w:p>
    <w:p>
      <w:pPr>
        <w:pStyle w:val="14"/>
        <w:adjustRightInd w:val="0"/>
        <w:snapToGrid w:val="0"/>
        <w:spacing w:line="360" w:lineRule="auto"/>
        <w:ind w:firstLine="480" w:firstLineChars="200"/>
        <w:jc w:val="both"/>
        <w:rPr>
          <w:color w:val="000000" w:themeColor="text1"/>
          <w:kern w:val="0"/>
          <w:vertAlign w:val="superscript"/>
          <w:lang w:bidi="ar"/>
          <w14:textFill>
            <w14:solidFill>
              <w14:schemeClr w14:val="tx1"/>
            </w14:solidFill>
          </w14:textFill>
        </w:rPr>
      </w:pPr>
      <w:r>
        <w:rPr>
          <w:rFonts w:hint="eastAsia"/>
          <w:color w:val="000000" w:themeColor="text1"/>
          <w14:textFill>
            <w14:solidFill>
              <w14:schemeClr w14:val="tx1"/>
            </w14:solidFill>
          </w14:textFill>
        </w:rPr>
        <w:t>本工程</w:t>
      </w:r>
      <w:r>
        <w:rPr>
          <w:color w:val="000000" w:themeColor="text1"/>
          <w14:textFill>
            <w14:solidFill>
              <w14:schemeClr w14:val="tx1"/>
            </w14:solidFill>
          </w14:textFill>
        </w:rPr>
        <w:t>开挖总量8.28万m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含表土剥离4.55万m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；回填总量5.83万m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含表土回覆4.55万m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，无借方，余方2.45万m</w:t>
      </w:r>
      <w:r>
        <w:rPr>
          <w:color w:val="000000" w:themeColor="text1"/>
          <w:vertAlign w:val="superscript"/>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w:t>
      </w:r>
      <w:r>
        <w:rPr>
          <w:color w:val="000000" w:themeColor="text1"/>
          <w14:textFill>
            <w14:solidFill>
              <w14:schemeClr w14:val="tx1"/>
            </w14:solidFill>
          </w14:textFill>
        </w:rPr>
        <w:t>余方主要为灌排渠道工程开挖土石方</w:t>
      </w:r>
      <w:r>
        <w:rPr>
          <w:rFonts w:hint="eastAsia"/>
          <w:color w:val="000000" w:themeColor="text1"/>
          <w14:textFill>
            <w14:solidFill>
              <w14:schemeClr w14:val="tx1"/>
            </w14:solidFill>
          </w14:textFill>
        </w:rPr>
        <w:t>及渠道内清除淤泥</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其中约1.53万</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lang w:val="en-US" w:eastAsia="zh-CN"/>
          <w14:textFill>
            <w14:solidFill>
              <w14:schemeClr w14:val="tx1"/>
            </w14:solidFill>
          </w14:textFill>
        </w:rPr>
        <w:t>开挖土石及0.06万</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淤泥</w:t>
      </w:r>
      <w:r>
        <w:rPr>
          <w:color w:val="000000" w:themeColor="text1"/>
          <w14:textFill>
            <w14:solidFill>
              <w14:schemeClr w14:val="tx1"/>
            </w14:solidFill>
          </w14:textFill>
        </w:rPr>
        <w:t>运往</w:t>
      </w:r>
      <w:r>
        <w:rPr>
          <w:rFonts w:hint="eastAsia"/>
          <w:color w:val="000000" w:themeColor="text1"/>
          <w14:textFill>
            <w14:solidFill>
              <w14:schemeClr w14:val="tx1"/>
            </w14:solidFill>
          </w14:textFill>
        </w:rPr>
        <w:t>临时堆土场暂存（约1年），后期</w:t>
      </w:r>
      <w:r>
        <w:rPr>
          <w:color w:val="000000" w:themeColor="text1"/>
          <w14:textFill>
            <w14:solidFill>
              <w14:schemeClr w14:val="tx1"/>
            </w14:solidFill>
          </w14:textFill>
        </w:rPr>
        <w:t>用作成都市环城生态区农田综合整治及农业灌区设施建设项目农田综合整治工程回填</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剩余0.86万</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运至</w:t>
      </w:r>
      <w:r>
        <w:rPr>
          <w:rFonts w:hint="eastAsia"/>
          <w:color w:val="000000" w:themeColor="text1"/>
          <w14:textFill>
            <w14:solidFill>
              <w14:schemeClr w14:val="tx1"/>
            </w14:solidFill>
          </w14:textFill>
        </w:rPr>
        <w:t>余土摊平处理区</w:t>
      </w:r>
      <w:r>
        <w:rPr>
          <w:color w:val="000000" w:themeColor="text1"/>
          <w14:textFill>
            <w14:solidFill>
              <w14:schemeClr w14:val="tx1"/>
            </w14:solidFill>
          </w14:textFill>
        </w:rPr>
        <w:t>进行综合利用</w:t>
      </w:r>
      <w:r>
        <w:rPr>
          <w:rFonts w:hint="eastAsia"/>
          <w:color w:val="000000" w:themeColor="text1"/>
          <w14:textFill>
            <w14:solidFill>
              <w14:schemeClr w14:val="tx1"/>
            </w14:solidFill>
          </w14:textFill>
        </w:rPr>
        <w:t>，可满足项目弃土处置要求。</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董家堰临时堆土场紧邻北一支渠南侧，周边交通便利，综合运距较短，且堆场占地为一般耕地，周边50m范围内无环境敏感点，能满足临时堆土要求。</w:t>
      </w:r>
      <w:r>
        <w:rPr>
          <w:color w:val="000000" w:themeColor="text1"/>
          <w:sz w:val="24"/>
          <w:szCs w:val="24"/>
          <w14:textFill>
            <w14:solidFill>
              <w14:schemeClr w14:val="tx1"/>
            </w14:solidFill>
          </w14:textFill>
        </w:rPr>
        <w:t>南五、南六</w:t>
      </w:r>
      <w:r>
        <w:rPr>
          <w:rFonts w:hint="eastAsia"/>
          <w:color w:val="000000" w:themeColor="text1"/>
          <w:sz w:val="24"/>
          <w:szCs w:val="24"/>
          <w14:textFill>
            <w14:solidFill>
              <w14:schemeClr w14:val="tx1"/>
            </w14:solidFill>
          </w14:textFill>
        </w:rPr>
        <w:t>余土摊平处理区位于南五支渠北侧约3.5km，花果山风景名胜区（十陵景区）三级保护区范围外约3.1km，周边50m范围内不涉及环境敏感点。堆场现状为洼地，为绿道公司农田整治项目用地，用地合理；余土摊平处理区距离</w:t>
      </w:r>
      <w:r>
        <w:rPr>
          <w:rFonts w:hint="eastAsia"/>
          <w:color w:val="000000" w:themeColor="text1"/>
          <w:sz w:val="24"/>
          <w:szCs w:val="24"/>
          <w:lang w:val="en-US" w:eastAsia="zh-CN"/>
          <w14:textFill>
            <w14:solidFill>
              <w14:schemeClr w14:val="tx1"/>
            </w14:solidFill>
          </w14:textFill>
        </w:rPr>
        <w:t>花果山风景名胜区</w:t>
      </w:r>
      <w:r>
        <w:rPr>
          <w:rFonts w:hint="eastAsia"/>
          <w:color w:val="000000" w:themeColor="text1"/>
          <w:sz w:val="24"/>
          <w:szCs w:val="24"/>
          <w14:textFill>
            <w14:solidFill>
              <w14:schemeClr w14:val="tx1"/>
            </w14:solidFill>
          </w14:textFill>
        </w:rPr>
        <w:t>距离较远，不会对</w:t>
      </w:r>
      <w:r>
        <w:rPr>
          <w:rFonts w:hint="eastAsia"/>
          <w:color w:val="000000" w:themeColor="text1"/>
          <w:sz w:val="24"/>
          <w:szCs w:val="24"/>
          <w:lang w:val="en-US" w:eastAsia="zh-CN"/>
          <w14:textFill>
            <w14:solidFill>
              <w14:schemeClr w14:val="tx1"/>
            </w14:solidFill>
          </w14:textFill>
        </w:rPr>
        <w:t>风景名胜区</w:t>
      </w:r>
      <w:r>
        <w:rPr>
          <w:rFonts w:hint="eastAsia"/>
          <w:color w:val="000000" w:themeColor="text1"/>
          <w:sz w:val="24"/>
          <w:szCs w:val="24"/>
          <w14:textFill>
            <w14:solidFill>
              <w14:schemeClr w14:val="tx1"/>
            </w14:solidFill>
          </w14:textFill>
        </w:rPr>
        <w:t>造成影响。</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由于项目弃土主要为渠道开挖土石方，可回填利用，且环城生态区农田综合整治及农业灌区设施建设项目目前正在进行，能够在一年之内消纳本项目产生的弃土，临时堆土场及余土摊平处理区容量也能满足本项目弃土需求，故本项目弃土处置方式可行。</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综上，本项目临时堆土场设置合理，依托南五、南六余土摊平处理区消纳弃方可行。</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41" w:name="_Toc11005"/>
      <w:bookmarkStart w:id="342" w:name="_Toc70496273"/>
      <w:bookmarkStart w:id="343" w:name="_Toc31251"/>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4</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6</w:t>
      </w:r>
      <w:r>
        <w:rPr>
          <w:rFonts w:eastAsia="黑体"/>
          <w:b/>
          <w:color w:val="000000" w:themeColor="text1"/>
          <w:kern w:val="0"/>
          <w:sz w:val="28"/>
          <w:szCs w:val="24"/>
          <w14:textFill>
            <w14:solidFill>
              <w14:schemeClr w14:val="tx1"/>
            </w14:solidFill>
          </w14:textFill>
        </w:rPr>
        <w:t>施工</w:t>
      </w:r>
      <w:bookmarkEnd w:id="341"/>
      <w:bookmarkEnd w:id="342"/>
      <w:r>
        <w:rPr>
          <w:rFonts w:hint="eastAsia" w:eastAsia="黑体"/>
          <w:b/>
          <w:color w:val="000000" w:themeColor="text1"/>
          <w:kern w:val="0"/>
          <w:sz w:val="28"/>
          <w:szCs w:val="24"/>
          <w14:textFill>
            <w14:solidFill>
              <w14:schemeClr w14:val="tx1"/>
            </w14:solidFill>
          </w14:textFill>
        </w:rPr>
        <w:t>总进度</w:t>
      </w:r>
      <w:bookmarkEnd w:id="343"/>
    </w:p>
    <w:p>
      <w:pPr>
        <w:widowControl/>
        <w:autoSpaceDE/>
        <w:autoSpaceDN/>
        <w:adjustRightInd w:val="0"/>
        <w:snapToGrid w:val="0"/>
        <w:spacing w:line="360" w:lineRule="auto"/>
        <w:ind w:firstLine="482" w:firstLineChars="200"/>
        <w:rPr>
          <w:b/>
          <w:bCs/>
          <w:color w:val="000000" w:themeColor="text1"/>
          <w:kern w:val="0"/>
          <w:sz w:val="24"/>
          <w:szCs w:val="24"/>
          <w:lang w:bidi="ar"/>
          <w14:textFill>
            <w14:solidFill>
              <w14:schemeClr w14:val="tx1"/>
            </w14:solidFill>
          </w14:textFill>
        </w:rPr>
      </w:pPr>
      <w:bookmarkStart w:id="344" w:name="_Toc476909678"/>
      <w:bookmarkStart w:id="345" w:name="_Toc29460"/>
      <w:r>
        <w:rPr>
          <w:rFonts w:hint="eastAsia"/>
          <w:b/>
          <w:bCs/>
          <w:color w:val="000000" w:themeColor="text1"/>
          <w:kern w:val="0"/>
          <w:sz w:val="24"/>
          <w:szCs w:val="24"/>
          <w:lang w:bidi="ar"/>
          <w14:textFill>
            <w14:solidFill>
              <w14:schemeClr w14:val="tx1"/>
            </w14:solidFill>
          </w14:textFill>
        </w:rPr>
        <w:t>1、施工总工期</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施工建设包括工程准备期、主体工程施工期和工程完建期。施工总工期为三项工期之和，相邻两个阶段工作也可交错进行。</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本工程施工总工期拟为</w:t>
      </w:r>
      <w:r>
        <w:rPr>
          <w:color w:val="000000" w:themeColor="text1"/>
          <w:kern w:val="0"/>
          <w:sz w:val="24"/>
          <w:szCs w:val="24"/>
          <w:lang w:bidi="ar"/>
          <w14:textFill>
            <w14:solidFill>
              <w14:schemeClr w14:val="tx1"/>
            </w14:solidFill>
          </w14:textFill>
        </w:rPr>
        <w:t>7</w:t>
      </w:r>
      <w:r>
        <w:rPr>
          <w:rFonts w:hint="eastAsia"/>
          <w:color w:val="000000" w:themeColor="text1"/>
          <w:kern w:val="0"/>
          <w:sz w:val="24"/>
          <w:szCs w:val="24"/>
          <w:lang w:bidi="ar"/>
          <w14:textFill>
            <w14:solidFill>
              <w14:schemeClr w14:val="tx1"/>
            </w14:solidFill>
          </w14:textFill>
        </w:rPr>
        <w:t>个月（</w:t>
      </w:r>
      <w:r>
        <w:rPr>
          <w:color w:val="000000" w:themeColor="text1"/>
          <w:kern w:val="0"/>
          <w:sz w:val="24"/>
          <w:szCs w:val="24"/>
          <w:lang w:bidi="ar"/>
          <w14:textFill>
            <w14:solidFill>
              <w14:schemeClr w14:val="tx1"/>
            </w14:solidFill>
          </w14:textFill>
        </w:rPr>
        <w:t>210d</w:t>
      </w:r>
      <w:r>
        <w:rPr>
          <w:rFonts w:hint="eastAsia"/>
          <w:color w:val="000000" w:themeColor="text1"/>
          <w:kern w:val="0"/>
          <w:sz w:val="24"/>
          <w:szCs w:val="24"/>
          <w:lang w:bidi="ar"/>
          <w14:textFill>
            <w14:solidFill>
              <w14:schemeClr w14:val="tx1"/>
            </w14:solidFill>
          </w14:textFill>
        </w:rPr>
        <w:t>），从第一年</w:t>
      </w:r>
      <w:r>
        <w:rPr>
          <w:color w:val="000000" w:themeColor="text1"/>
          <w:kern w:val="0"/>
          <w:sz w:val="24"/>
          <w:szCs w:val="24"/>
          <w:lang w:bidi="ar"/>
          <w14:textFill>
            <w14:solidFill>
              <w14:schemeClr w14:val="tx1"/>
            </w14:solidFill>
          </w14:textFill>
        </w:rPr>
        <w:t>7</w:t>
      </w:r>
      <w:r>
        <w:rPr>
          <w:rFonts w:hint="eastAsia"/>
          <w:color w:val="000000" w:themeColor="text1"/>
          <w:kern w:val="0"/>
          <w:sz w:val="24"/>
          <w:szCs w:val="24"/>
          <w:lang w:bidi="ar"/>
          <w14:textFill>
            <w14:solidFill>
              <w14:schemeClr w14:val="tx1"/>
            </w14:solidFill>
          </w14:textFill>
        </w:rPr>
        <w:t>月初至第二年</w:t>
      </w:r>
      <w:r>
        <w:rPr>
          <w:color w:val="000000" w:themeColor="text1"/>
          <w:kern w:val="0"/>
          <w:sz w:val="24"/>
          <w:szCs w:val="24"/>
          <w:lang w:bidi="ar"/>
          <w14:textFill>
            <w14:solidFill>
              <w14:schemeClr w14:val="tx1"/>
            </w14:solidFill>
          </w14:textFill>
        </w:rPr>
        <w:t>1</w:t>
      </w:r>
      <w:r>
        <w:rPr>
          <w:rFonts w:hint="eastAsia"/>
          <w:color w:val="000000" w:themeColor="text1"/>
          <w:kern w:val="0"/>
          <w:sz w:val="24"/>
          <w:szCs w:val="24"/>
          <w:lang w:bidi="ar"/>
          <w14:textFill>
            <w14:solidFill>
              <w14:schemeClr w14:val="tx1"/>
            </w14:solidFill>
          </w14:textFill>
        </w:rPr>
        <w:t>月底。准备期工程工期</w:t>
      </w:r>
      <w:r>
        <w:rPr>
          <w:color w:val="000000" w:themeColor="text1"/>
          <w:kern w:val="0"/>
          <w:sz w:val="24"/>
          <w:szCs w:val="24"/>
          <w:lang w:bidi="ar"/>
          <w14:textFill>
            <w14:solidFill>
              <w14:schemeClr w14:val="tx1"/>
            </w14:solidFill>
          </w14:textFill>
        </w:rPr>
        <w:t>1</w:t>
      </w:r>
      <w:r>
        <w:rPr>
          <w:rFonts w:hint="eastAsia"/>
          <w:color w:val="000000" w:themeColor="text1"/>
          <w:kern w:val="0"/>
          <w:sz w:val="24"/>
          <w:szCs w:val="24"/>
          <w:lang w:bidi="ar"/>
          <w14:textFill>
            <w14:solidFill>
              <w14:schemeClr w14:val="tx1"/>
            </w14:solidFill>
          </w14:textFill>
        </w:rPr>
        <w:t>个月，主体工程工期</w:t>
      </w:r>
      <w:r>
        <w:rPr>
          <w:color w:val="000000" w:themeColor="text1"/>
          <w:kern w:val="0"/>
          <w:sz w:val="24"/>
          <w:szCs w:val="24"/>
          <w:lang w:bidi="ar"/>
          <w14:textFill>
            <w14:solidFill>
              <w14:schemeClr w14:val="tx1"/>
            </w14:solidFill>
          </w14:textFill>
        </w:rPr>
        <w:t>5.5</w:t>
      </w:r>
      <w:r>
        <w:rPr>
          <w:rFonts w:hint="eastAsia"/>
          <w:color w:val="000000" w:themeColor="text1"/>
          <w:kern w:val="0"/>
          <w:sz w:val="24"/>
          <w:szCs w:val="24"/>
          <w:lang w:bidi="ar"/>
          <w14:textFill>
            <w14:solidFill>
              <w14:schemeClr w14:val="tx1"/>
            </w14:solidFill>
          </w14:textFill>
        </w:rPr>
        <w:t>个月，完建期</w:t>
      </w:r>
      <w:r>
        <w:rPr>
          <w:color w:val="000000" w:themeColor="text1"/>
          <w:kern w:val="0"/>
          <w:sz w:val="24"/>
          <w:szCs w:val="24"/>
          <w:lang w:bidi="ar"/>
          <w14:textFill>
            <w14:solidFill>
              <w14:schemeClr w14:val="tx1"/>
            </w14:solidFill>
          </w14:textFill>
        </w:rPr>
        <w:t>0.5</w:t>
      </w:r>
      <w:r>
        <w:rPr>
          <w:rFonts w:hint="eastAsia"/>
          <w:color w:val="000000" w:themeColor="text1"/>
          <w:kern w:val="0"/>
          <w:sz w:val="24"/>
          <w:szCs w:val="24"/>
          <w:lang w:bidi="ar"/>
          <w14:textFill>
            <w14:solidFill>
              <w14:schemeClr w14:val="tx1"/>
            </w14:solidFill>
          </w14:textFill>
        </w:rPr>
        <w:t>个月，具体的施工时间和进度按照后续施工方案进行。</w:t>
      </w:r>
    </w:p>
    <w:p>
      <w:pPr>
        <w:pStyle w:val="14"/>
        <w:widowControl/>
        <w:autoSpaceDE/>
        <w:autoSpaceDN/>
        <w:adjustRightInd w:val="0"/>
        <w:snapToGrid w:val="0"/>
        <w:spacing w:line="360" w:lineRule="auto"/>
        <w:ind w:firstLine="482" w:firstLineChars="200"/>
        <w:rPr>
          <w:rFonts w:eastAsia="宋"/>
          <w:b/>
          <w:bCs/>
          <w:color w:val="000000" w:themeColor="text1"/>
          <w14:textFill>
            <w14:solidFill>
              <w14:schemeClr w14:val="tx1"/>
            </w14:solidFill>
          </w14:textFill>
        </w:rPr>
      </w:pPr>
      <w:r>
        <w:rPr>
          <w:rFonts w:hint="eastAsia" w:eastAsia="宋"/>
          <w:b/>
          <w:bCs/>
          <w:color w:val="000000" w:themeColor="text1"/>
          <w14:textFill>
            <w14:solidFill>
              <w14:schemeClr w14:val="tx1"/>
            </w14:solidFill>
          </w14:textFill>
        </w:rPr>
        <w:t>2、施工进度计划</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根据工程的建设内容、特性及水文条件，施工进度按以下原则进行。</w:t>
      </w:r>
    </w:p>
    <w:p>
      <w:pPr>
        <w:widowControl/>
        <w:autoSpaceDE/>
        <w:autoSpaceDN/>
        <w:adjustRightInd w:val="0"/>
        <w:snapToGrid w:val="0"/>
        <w:spacing w:line="360" w:lineRule="auto"/>
        <w:ind w:firstLine="480" w:firstLineChars="200"/>
        <w:rPr>
          <w:color w:val="000000" w:themeColor="text1"/>
          <w:kern w:val="0"/>
          <w:sz w:val="24"/>
          <w:szCs w:val="24"/>
          <w:lang w:bidi="ar"/>
          <w14:textFill>
            <w14:solidFill>
              <w14:schemeClr w14:val="tx1"/>
            </w14:solidFill>
          </w14:textFill>
        </w:rPr>
      </w:pPr>
      <w:r>
        <w:rPr>
          <w:rFonts w:hint="eastAsia"/>
          <w:color w:val="000000" w:themeColor="text1"/>
          <w:kern w:val="0"/>
          <w:sz w:val="24"/>
          <w:szCs w:val="24"/>
          <w:lang w:bidi="ar"/>
          <w14:textFill>
            <w14:solidFill>
              <w14:schemeClr w14:val="tx1"/>
            </w14:solidFill>
          </w14:textFill>
        </w:rPr>
        <w:t>（1）河渠工程施工与建筑物工程施工应互相协调，以避免相互干扰，影响施工总进度。</w:t>
      </w:r>
    </w:p>
    <w:p>
      <w:pPr>
        <w:widowControl/>
        <w:autoSpaceDE/>
        <w:autoSpaceDN/>
        <w:adjustRightInd w:val="0"/>
        <w:snapToGrid w:val="0"/>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（2）建筑物工程数量多，工程地点分散，不利于施工管理，但互相干扰小，针对工程的这一特点，可组织多家施工队伍同时施工，为保证工程质量，可由业主组织专门人员监督各工程施工质量。</w:t>
      </w:r>
    </w:p>
    <w:p>
      <w:pPr>
        <w:widowControl/>
        <w:autoSpaceDE/>
        <w:autoSpaceDN/>
        <w:adjustRightInd w:val="0"/>
        <w:snapToGrid w:val="0"/>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（3）建筑物工程安排在非灌溉时段进行，施工期短，各施工单位应合理组织施工，确保工程按时保质保量完成。</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eastAsia="宋"/>
          <w:color w:val="000000" w:themeColor="text1"/>
          <w:sz w:val="24"/>
          <w:szCs w:val="24"/>
          <w14:textFill>
            <w14:solidFill>
              <w14:schemeClr w14:val="tx1"/>
            </w14:solidFill>
          </w14:textFill>
        </w:rPr>
        <w:t>1</w:t>
      </w:r>
      <w:r>
        <w:rPr>
          <w:rFonts w:hint="eastAsia" w:eastAsia="宋"/>
          <w:color w:val="000000" w:themeColor="text1"/>
          <w:sz w:val="24"/>
          <w:szCs w:val="24"/>
          <w14:textFill>
            <w14:solidFill>
              <w14:schemeClr w14:val="tx1"/>
            </w14:solidFill>
          </w14:textFill>
        </w:rPr>
        <w:t>）工程准备期</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工程准备期是指准备工程开工至主体工程开工前的工期。主要完成场内主要交通道路建设、场地平整、施工单位生产用房建设、施工工程建设等工作，建设完成生产施工区等处的风、水、电、通信系统等，为主体工程顺利进行施工创造条件。时间安排在第一年</w:t>
      </w:r>
      <w:r>
        <w:rPr>
          <w:rFonts w:eastAsia="宋"/>
          <w:color w:val="000000" w:themeColor="text1"/>
          <w:sz w:val="24"/>
          <w:szCs w:val="24"/>
          <w14:textFill>
            <w14:solidFill>
              <w14:schemeClr w14:val="tx1"/>
            </w14:solidFill>
          </w14:textFill>
        </w:rPr>
        <w:t>7</w:t>
      </w:r>
      <w:r>
        <w:rPr>
          <w:rFonts w:hint="eastAsia" w:eastAsia="宋"/>
          <w:color w:val="000000" w:themeColor="text1"/>
          <w:sz w:val="24"/>
          <w:szCs w:val="24"/>
          <w14:textFill>
            <w14:solidFill>
              <w14:schemeClr w14:val="tx1"/>
            </w14:solidFill>
          </w14:textFill>
        </w:rPr>
        <w:t>月初至</w:t>
      </w:r>
      <w:r>
        <w:rPr>
          <w:rFonts w:eastAsia="宋"/>
          <w:color w:val="000000" w:themeColor="text1"/>
          <w:sz w:val="24"/>
          <w:szCs w:val="24"/>
          <w14:textFill>
            <w14:solidFill>
              <w14:schemeClr w14:val="tx1"/>
            </w14:solidFill>
          </w14:textFill>
        </w:rPr>
        <w:t>7</w:t>
      </w:r>
      <w:r>
        <w:rPr>
          <w:rFonts w:hint="eastAsia" w:eastAsia="宋"/>
          <w:color w:val="000000" w:themeColor="text1"/>
          <w:sz w:val="24"/>
          <w:szCs w:val="24"/>
          <w14:textFill>
            <w14:solidFill>
              <w14:schemeClr w14:val="tx1"/>
            </w14:solidFill>
          </w14:textFill>
        </w:rPr>
        <w:t>月底，工期</w:t>
      </w:r>
      <w:r>
        <w:rPr>
          <w:rFonts w:eastAsia="宋"/>
          <w:color w:val="000000" w:themeColor="text1"/>
          <w:sz w:val="24"/>
          <w:szCs w:val="24"/>
          <w14:textFill>
            <w14:solidFill>
              <w14:schemeClr w14:val="tx1"/>
            </w14:solidFill>
          </w14:textFill>
        </w:rPr>
        <w:t>1</w:t>
      </w:r>
      <w:r>
        <w:rPr>
          <w:rFonts w:hint="eastAsia" w:eastAsia="宋"/>
          <w:color w:val="000000" w:themeColor="text1"/>
          <w:sz w:val="24"/>
          <w:szCs w:val="24"/>
          <w14:textFill>
            <w14:solidFill>
              <w14:schemeClr w14:val="tx1"/>
            </w14:solidFill>
          </w14:textFill>
        </w:rPr>
        <w:t>个月。</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eastAsia="宋"/>
          <w:color w:val="000000" w:themeColor="text1"/>
          <w:sz w:val="24"/>
          <w:szCs w:val="24"/>
          <w14:textFill>
            <w14:solidFill>
              <w14:schemeClr w14:val="tx1"/>
            </w14:solidFill>
          </w14:textFill>
        </w:rPr>
        <w:t>2</w:t>
      </w:r>
      <w:r>
        <w:rPr>
          <w:rFonts w:hint="eastAsia" w:eastAsia="宋"/>
          <w:color w:val="000000" w:themeColor="text1"/>
          <w:sz w:val="24"/>
          <w:szCs w:val="24"/>
          <w14:textFill>
            <w14:solidFill>
              <w14:schemeClr w14:val="tx1"/>
            </w14:solidFill>
          </w14:textFill>
        </w:rPr>
        <w:t>）主体工程施工期</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主体工程施工期是指从主体工程开挖开始至工程开始受益为止的期限。本工程主要包括河渠工程和建筑物工程。根据各类工程的施工总体部署及控制性进度的要求，结合</w:t>
      </w:r>
    </w:p>
    <w:p>
      <w:pPr>
        <w:widowControl/>
        <w:spacing w:line="360" w:lineRule="auto"/>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分年度投资计划和可能的施工分标方案，合理施工分段，并考虑各项工程的协调衔接和工程总体施工强度和资源均衡。各项工程的控制性进度计划如下：</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eastAsia="宋"/>
          <w:color w:val="000000" w:themeColor="text1"/>
          <w:sz w:val="24"/>
          <w:szCs w:val="24"/>
          <w14:textFill>
            <w14:solidFill>
              <w14:schemeClr w14:val="tx1"/>
            </w14:solidFill>
          </w14:textFill>
        </w:rPr>
        <w:t>①</w:t>
      </w:r>
      <w:r>
        <w:rPr>
          <w:rFonts w:hint="eastAsia" w:eastAsia="宋"/>
          <w:color w:val="000000" w:themeColor="text1"/>
          <w:sz w:val="24"/>
          <w:szCs w:val="24"/>
          <w14:textFill>
            <w14:solidFill>
              <w14:schemeClr w14:val="tx1"/>
            </w14:solidFill>
          </w14:textFill>
        </w:rPr>
        <w:t>河渠工程施工包括土石方开挖、混凝土浇筑、土方回填、饰面施工等项目，由于本次工程河渠道不涉及排洪河道，所以河渠工程可安排在</w:t>
      </w:r>
      <w:r>
        <w:rPr>
          <w:rFonts w:eastAsia="宋"/>
          <w:color w:val="000000" w:themeColor="text1"/>
          <w:sz w:val="24"/>
          <w:szCs w:val="24"/>
          <w14:textFill>
            <w14:solidFill>
              <w14:schemeClr w14:val="tx1"/>
            </w14:solidFill>
          </w14:textFill>
        </w:rPr>
        <w:t>8</w:t>
      </w:r>
      <w:r>
        <w:rPr>
          <w:rFonts w:hint="eastAsia" w:eastAsia="宋"/>
          <w:color w:val="000000" w:themeColor="text1"/>
          <w:sz w:val="24"/>
          <w:szCs w:val="24"/>
          <w14:textFill>
            <w14:solidFill>
              <w14:schemeClr w14:val="tx1"/>
            </w14:solidFill>
          </w14:textFill>
        </w:rPr>
        <w:t>月初至</w:t>
      </w:r>
      <w:r>
        <w:rPr>
          <w:rFonts w:eastAsia="宋"/>
          <w:color w:val="000000" w:themeColor="text1"/>
          <w:sz w:val="24"/>
          <w:szCs w:val="24"/>
          <w14:textFill>
            <w14:solidFill>
              <w14:schemeClr w14:val="tx1"/>
            </w14:solidFill>
          </w14:textFill>
        </w:rPr>
        <w:t>12</w:t>
      </w:r>
      <w:r>
        <w:rPr>
          <w:rFonts w:hint="eastAsia" w:eastAsia="宋"/>
          <w:color w:val="000000" w:themeColor="text1"/>
          <w:sz w:val="24"/>
          <w:szCs w:val="24"/>
          <w14:textFill>
            <w14:solidFill>
              <w14:schemeClr w14:val="tx1"/>
            </w14:solidFill>
          </w14:textFill>
        </w:rPr>
        <w:t>月底的非灌溉时段施工，净工期</w:t>
      </w:r>
      <w:r>
        <w:rPr>
          <w:rFonts w:eastAsia="宋"/>
          <w:color w:val="000000" w:themeColor="text1"/>
          <w:sz w:val="24"/>
          <w:szCs w:val="24"/>
          <w14:textFill>
            <w14:solidFill>
              <w14:schemeClr w14:val="tx1"/>
            </w14:solidFill>
          </w14:textFill>
        </w:rPr>
        <w:t>5</w:t>
      </w:r>
      <w:r>
        <w:rPr>
          <w:rFonts w:hint="eastAsia" w:eastAsia="宋"/>
          <w:color w:val="000000" w:themeColor="text1"/>
          <w:sz w:val="24"/>
          <w:szCs w:val="24"/>
          <w14:textFill>
            <w14:solidFill>
              <w14:schemeClr w14:val="tx1"/>
            </w14:solidFill>
          </w14:textFill>
        </w:rPr>
        <w:t>个月。</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eastAsia="宋"/>
          <w:color w:val="000000" w:themeColor="text1"/>
          <w:sz w:val="24"/>
          <w:szCs w:val="24"/>
          <w14:textFill>
            <w14:solidFill>
              <w14:schemeClr w14:val="tx1"/>
            </w14:solidFill>
          </w14:textFill>
        </w:rPr>
        <w:t>②</w:t>
      </w:r>
      <w:r>
        <w:rPr>
          <w:rFonts w:hint="eastAsia" w:eastAsia="宋"/>
          <w:color w:val="000000" w:themeColor="text1"/>
          <w:sz w:val="24"/>
          <w:szCs w:val="24"/>
          <w14:textFill>
            <w14:solidFill>
              <w14:schemeClr w14:val="tx1"/>
            </w14:solidFill>
          </w14:textFill>
        </w:rPr>
        <w:t>建筑物工程主要包括节制闸、分水闸。一般节制闸及分水闸施工包括土方开挖、垫层施工、混凝土浇筑、土方回填、闸门及电气设备安装等项目，安排在第一年</w:t>
      </w:r>
      <w:r>
        <w:rPr>
          <w:rFonts w:eastAsia="宋"/>
          <w:color w:val="000000" w:themeColor="text1"/>
          <w:sz w:val="24"/>
          <w:szCs w:val="24"/>
          <w14:textFill>
            <w14:solidFill>
              <w14:schemeClr w14:val="tx1"/>
            </w14:solidFill>
          </w14:textFill>
        </w:rPr>
        <w:t>9</w:t>
      </w:r>
      <w:r>
        <w:rPr>
          <w:rFonts w:hint="eastAsia" w:eastAsia="宋"/>
          <w:color w:val="000000" w:themeColor="text1"/>
          <w:sz w:val="24"/>
          <w:szCs w:val="24"/>
          <w14:textFill>
            <w14:solidFill>
              <w14:schemeClr w14:val="tx1"/>
            </w14:solidFill>
          </w14:textFill>
        </w:rPr>
        <w:t>月初至第二年</w:t>
      </w:r>
      <w:r>
        <w:rPr>
          <w:rFonts w:eastAsia="宋"/>
          <w:color w:val="000000" w:themeColor="text1"/>
          <w:sz w:val="24"/>
          <w:szCs w:val="24"/>
          <w14:textFill>
            <w14:solidFill>
              <w14:schemeClr w14:val="tx1"/>
            </w14:solidFill>
          </w14:textFill>
        </w:rPr>
        <w:t>1</w:t>
      </w:r>
      <w:r>
        <w:rPr>
          <w:rFonts w:hint="eastAsia" w:eastAsia="宋"/>
          <w:color w:val="000000" w:themeColor="text1"/>
          <w:sz w:val="24"/>
          <w:szCs w:val="24"/>
          <w14:textFill>
            <w14:solidFill>
              <w14:schemeClr w14:val="tx1"/>
            </w14:solidFill>
          </w14:textFill>
        </w:rPr>
        <w:t>月中旬施工，净工期</w:t>
      </w:r>
      <w:r>
        <w:rPr>
          <w:rFonts w:eastAsia="宋"/>
          <w:color w:val="000000" w:themeColor="text1"/>
          <w:sz w:val="24"/>
          <w:szCs w:val="24"/>
          <w14:textFill>
            <w14:solidFill>
              <w14:schemeClr w14:val="tx1"/>
            </w14:solidFill>
          </w14:textFill>
        </w:rPr>
        <w:t>4.5</w:t>
      </w:r>
      <w:r>
        <w:rPr>
          <w:rFonts w:hint="eastAsia" w:eastAsia="宋"/>
          <w:color w:val="000000" w:themeColor="text1"/>
          <w:sz w:val="24"/>
          <w:szCs w:val="24"/>
          <w14:textFill>
            <w14:solidFill>
              <w14:schemeClr w14:val="tx1"/>
            </w14:solidFill>
          </w14:textFill>
        </w:rPr>
        <w:t>个月。</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eastAsia="宋"/>
          <w:color w:val="000000" w:themeColor="text1"/>
          <w:sz w:val="24"/>
          <w:szCs w:val="24"/>
          <w14:textFill>
            <w14:solidFill>
              <w14:schemeClr w14:val="tx1"/>
            </w14:solidFill>
          </w14:textFill>
        </w:rPr>
        <w:t>3</w:t>
      </w:r>
      <w:r>
        <w:rPr>
          <w:rFonts w:hint="eastAsia" w:eastAsia="宋"/>
          <w:color w:val="000000" w:themeColor="text1"/>
          <w:sz w:val="24"/>
          <w:szCs w:val="24"/>
          <w14:textFill>
            <w14:solidFill>
              <w14:schemeClr w14:val="tx1"/>
            </w14:solidFill>
          </w14:textFill>
        </w:rPr>
        <w:t>）工程完建期</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工程完建期主要完成工程尾工、验收等工作，安排在第二年</w:t>
      </w:r>
      <w:r>
        <w:rPr>
          <w:rFonts w:eastAsia="宋"/>
          <w:color w:val="000000" w:themeColor="text1"/>
          <w:sz w:val="24"/>
          <w:szCs w:val="24"/>
          <w14:textFill>
            <w14:solidFill>
              <w14:schemeClr w14:val="tx1"/>
            </w14:solidFill>
          </w14:textFill>
        </w:rPr>
        <w:t>1</w:t>
      </w:r>
      <w:r>
        <w:rPr>
          <w:rFonts w:hint="eastAsia" w:eastAsia="宋"/>
          <w:color w:val="000000" w:themeColor="text1"/>
          <w:sz w:val="24"/>
          <w:szCs w:val="24"/>
          <w14:textFill>
            <w14:solidFill>
              <w14:schemeClr w14:val="tx1"/>
            </w14:solidFill>
          </w14:textFill>
        </w:rPr>
        <w:t>月中旬至</w:t>
      </w:r>
      <w:r>
        <w:rPr>
          <w:rFonts w:eastAsia="宋"/>
          <w:color w:val="000000" w:themeColor="text1"/>
          <w:sz w:val="24"/>
          <w:szCs w:val="24"/>
          <w14:textFill>
            <w14:solidFill>
              <w14:schemeClr w14:val="tx1"/>
            </w14:solidFill>
          </w14:textFill>
        </w:rPr>
        <w:t>1</w:t>
      </w:r>
      <w:r>
        <w:rPr>
          <w:rFonts w:hint="eastAsia" w:eastAsia="宋"/>
          <w:color w:val="000000" w:themeColor="text1"/>
          <w:sz w:val="24"/>
          <w:szCs w:val="24"/>
          <w14:textFill>
            <w14:solidFill>
              <w14:schemeClr w14:val="tx1"/>
            </w14:solidFill>
          </w14:textFill>
        </w:rPr>
        <w:t>月底，工期</w:t>
      </w:r>
      <w:r>
        <w:rPr>
          <w:rFonts w:eastAsia="宋"/>
          <w:color w:val="000000" w:themeColor="text1"/>
          <w:sz w:val="24"/>
          <w:szCs w:val="24"/>
          <w14:textFill>
            <w14:solidFill>
              <w14:schemeClr w14:val="tx1"/>
            </w14:solidFill>
          </w14:textFill>
        </w:rPr>
        <w:t>0.5</w:t>
      </w:r>
      <w:r>
        <w:rPr>
          <w:rFonts w:hint="eastAsia" w:eastAsia="宋"/>
          <w:color w:val="000000" w:themeColor="text1"/>
          <w:sz w:val="24"/>
          <w:szCs w:val="24"/>
          <w14:textFill>
            <w14:solidFill>
              <w14:schemeClr w14:val="tx1"/>
            </w14:solidFill>
          </w14:textFill>
        </w:rPr>
        <w:t>个月。</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eastAsia="宋"/>
          <w:color w:val="000000" w:themeColor="text1"/>
          <w:sz w:val="24"/>
          <w:szCs w:val="24"/>
          <w14:textFill>
            <w14:solidFill>
              <w14:schemeClr w14:val="tx1"/>
            </w14:solidFill>
          </w14:textFill>
        </w:rPr>
        <w:t>4</w:t>
      </w:r>
      <w:r>
        <w:rPr>
          <w:rFonts w:hint="eastAsia" w:eastAsia="宋"/>
          <w:color w:val="000000" w:themeColor="text1"/>
          <w:sz w:val="24"/>
          <w:szCs w:val="24"/>
          <w14:textFill>
            <w14:solidFill>
              <w14:schemeClr w14:val="tx1"/>
            </w14:solidFill>
          </w14:textFill>
        </w:rPr>
        <w:t>）施工关键线路</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本工程施工关键线路为：工程准备→河渠工程土石方开挖→河渠工程混凝土浇筑→河渠工程土石方回填及饰面施工→工程完工。</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关键路线上的项目都必须按计划规定的时间完工，否则将影响甚至延误整个工期。其他工程在自由时差允许范围内可以进行调整，用以削峰或填谷，以便工程资源需求均衡。</w:t>
      </w:r>
    </w:p>
    <w:p>
      <w:pPr>
        <w:widowControl/>
        <w:spacing w:line="360" w:lineRule="auto"/>
        <w:ind w:firstLine="480" w:firstLineChars="200"/>
        <w:rPr>
          <w:rFonts w:eastAsia="宋"/>
          <w:color w:val="000000" w:themeColor="text1"/>
          <w:sz w:val="24"/>
          <w:szCs w:val="24"/>
          <w14:textFill>
            <w14:solidFill>
              <w14:schemeClr w14:val="tx1"/>
            </w14:solidFill>
          </w14:textFill>
        </w:rPr>
      </w:pPr>
      <w:r>
        <w:rPr>
          <w:rFonts w:hint="eastAsia" w:eastAsia="宋"/>
          <w:color w:val="000000" w:themeColor="text1"/>
          <w:sz w:val="24"/>
          <w:szCs w:val="24"/>
          <w14:textFill>
            <w14:solidFill>
              <w14:schemeClr w14:val="tx1"/>
            </w14:solidFill>
          </w14:textFill>
        </w:rPr>
        <w:t>施工进度横道图见下图。</w:t>
      </w:r>
    </w:p>
    <w:p>
      <w:pPr>
        <w:pStyle w:val="14"/>
        <w:widowControl/>
        <w:autoSpaceDE/>
        <w:autoSpaceDN/>
        <w:adjustRightInd w:val="0"/>
        <w:snapToGrid w:val="0"/>
        <w:spacing w:line="360" w:lineRule="auto"/>
        <w:rPr>
          <w:rFonts w:eastAsia="宋"/>
          <w:color w:val="000000" w:themeColor="text1"/>
          <w14:textFill>
            <w14:solidFill>
              <w14:schemeClr w14:val="tx1"/>
            </w14:solidFill>
          </w14:textFill>
        </w:rPr>
      </w:pPr>
      <w:r>
        <w:rPr>
          <w:rFonts w:hint="eastAsia" w:eastAsia="宋"/>
          <w:color w:val="000000" w:themeColor="text1"/>
          <w14:textFill>
            <w14:solidFill>
              <w14:schemeClr w14:val="tx1"/>
            </w14:solidFill>
          </w14:textFill>
        </w:rPr>
        <w:drawing>
          <wp:inline distT="0" distB="0" distL="114300" distR="114300">
            <wp:extent cx="5620385" cy="2869565"/>
            <wp:effectExtent l="0" t="0" r="18415" b="6985"/>
            <wp:docPr id="33" name="图片 33" descr="171532364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15323643498"/>
                    <pic:cNvPicPr>
                      <a:picLocks noChangeAspect="1"/>
                    </pic:cNvPicPr>
                  </pic:nvPicPr>
                  <pic:blipFill>
                    <a:blip r:embed="rId55"/>
                    <a:stretch>
                      <a:fillRect/>
                    </a:stretch>
                  </pic:blipFill>
                  <pic:spPr>
                    <a:xfrm>
                      <a:off x="0" y="0"/>
                      <a:ext cx="5620385" cy="2869565"/>
                    </a:xfrm>
                    <a:prstGeom prst="rect">
                      <a:avLst/>
                    </a:prstGeom>
                  </pic:spPr>
                </pic:pic>
              </a:graphicData>
            </a:graphic>
          </wp:inline>
        </w:drawing>
      </w:r>
    </w:p>
    <w:p>
      <w:pPr>
        <w:autoSpaceDE/>
        <w:autoSpaceDN/>
        <w:adjustRightInd w:val="0"/>
        <w:snapToGrid w:val="0"/>
        <w:spacing w:line="360" w:lineRule="auto"/>
        <w:ind w:firstLine="480" w:firstLineChars="200"/>
        <w:jc w:val="center"/>
        <w:rPr>
          <w:rFonts w:hint="eastAsia"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图2.4-4施工进度横道图</w:t>
      </w:r>
    </w:p>
    <w:p>
      <w:pPr>
        <w:pStyle w:val="14"/>
        <w:keepNext w:val="0"/>
        <w:keepLines w:val="0"/>
        <w:pageBreakBefore w:val="0"/>
        <w:widowControl w:val="0"/>
        <w:kinsoku w:val="0"/>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 w:cs="Times New Roman"/>
          <w:color w:val="000000" w:themeColor="text1"/>
          <w:kern w:val="2"/>
          <w:sz w:val="24"/>
          <w:szCs w:val="24"/>
          <w:lang w:val="en-US" w:eastAsia="zh-CN" w:bidi="ar-SA"/>
          <w14:textFill>
            <w14:solidFill>
              <w14:schemeClr w14:val="tx1"/>
            </w14:solidFill>
          </w14:textFill>
        </w:rPr>
        <w:t>施工安排合理性分析：</w:t>
      </w:r>
      <w:r>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t>本项目渠道主要功能为灌溉和排涝，根据项目地形，工程渠道不属于汇水区，且南五、南六渠道上游属于东风渠，北支一渠、董家堰补水渠（上、下）上游属于东风渠北干渠，渠道周边</w:t>
      </w:r>
      <w:r>
        <w:rPr>
          <w:rFonts w:hint="eastAsia" w:cs="Times New Roman"/>
          <w:bCs/>
          <w:color w:val="000000" w:themeColor="text1"/>
          <w:kern w:val="2"/>
          <w:sz w:val="24"/>
          <w:szCs w:val="24"/>
          <w:lang w:val="en-US" w:eastAsia="zh-CN" w:bidi="ar-SA"/>
          <w14:textFill>
            <w14:solidFill>
              <w14:schemeClr w14:val="tx1"/>
            </w14:solidFill>
          </w14:textFill>
        </w:rPr>
        <w:t>渠系</w:t>
      </w:r>
      <w:r>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t>较多，项目汛期断水施工不会影响周边渠系行洪、排涝。</w:t>
      </w:r>
    </w:p>
    <w:p>
      <w:pPr>
        <w:autoSpaceDE/>
        <w:autoSpaceDN/>
        <w:spacing w:line="360" w:lineRule="auto"/>
        <w:ind w:firstLine="643"/>
        <w:jc w:val="both"/>
        <w:outlineLvl w:val="1"/>
        <w:rPr>
          <w:b/>
          <w:bCs/>
          <w:color w:val="000000" w:themeColor="text1"/>
          <w:kern w:val="0"/>
          <w:sz w:val="32"/>
          <w:szCs w:val="32"/>
          <w14:textFill>
            <w14:solidFill>
              <w14:schemeClr w14:val="tx1"/>
            </w14:solidFill>
          </w14:textFill>
        </w:rPr>
      </w:pPr>
      <w:bookmarkStart w:id="346" w:name="_Toc17434"/>
      <w:r>
        <w:rPr>
          <w:b/>
          <w:bCs/>
          <w:color w:val="000000" w:themeColor="text1"/>
          <w:kern w:val="0"/>
          <w:sz w:val="32"/>
          <w:szCs w:val="32"/>
          <w14:textFill>
            <w14:solidFill>
              <w14:schemeClr w14:val="tx1"/>
            </w14:solidFill>
          </w14:textFill>
        </w:rPr>
        <w:t>2</w:t>
      </w:r>
      <w:r>
        <w:rPr>
          <w:rFonts w:eastAsia="Times New Roman"/>
          <w:b/>
          <w:bCs/>
          <w:color w:val="000000" w:themeColor="text1"/>
          <w:kern w:val="0"/>
          <w:sz w:val="32"/>
          <w:szCs w:val="32"/>
          <w14:textFill>
            <w14:solidFill>
              <w14:schemeClr w14:val="tx1"/>
            </w14:solidFill>
          </w14:textFill>
        </w:rPr>
        <w:t>.</w:t>
      </w:r>
      <w:r>
        <w:rPr>
          <w:rFonts w:hint="eastAsia"/>
          <w:b/>
          <w:bCs/>
          <w:color w:val="000000" w:themeColor="text1"/>
          <w:kern w:val="0"/>
          <w:sz w:val="32"/>
          <w:szCs w:val="32"/>
          <w14:textFill>
            <w14:solidFill>
              <w14:schemeClr w14:val="tx1"/>
            </w14:solidFill>
          </w14:textFill>
        </w:rPr>
        <w:t>5工程选址合理性分析</w:t>
      </w:r>
      <w:bookmarkEnd w:id="346"/>
    </w:p>
    <w:p>
      <w:pPr>
        <w:pStyle w:val="14"/>
        <w:widowControl/>
        <w:autoSpaceDE/>
        <w:autoSpaceDN/>
        <w:adjustRightInd w:val="0"/>
        <w:snapToGrid w:val="0"/>
        <w:spacing w:line="360" w:lineRule="auto"/>
        <w:ind w:firstLine="480" w:firstLineChars="200"/>
        <w:rPr>
          <w:rFonts w:eastAsia="宋"/>
          <w:color w:val="000000" w:themeColor="text1"/>
          <w14:textFill>
            <w14:solidFill>
              <w14:schemeClr w14:val="tx1"/>
            </w14:solidFill>
          </w14:textFill>
        </w:rPr>
      </w:pPr>
      <w:r>
        <w:rPr>
          <w:rFonts w:hint="eastAsia" w:eastAsia="宋"/>
          <w:color w:val="000000" w:themeColor="text1"/>
          <w14:textFill>
            <w14:solidFill>
              <w14:schemeClr w14:val="tx1"/>
            </w14:solidFill>
          </w14:textFill>
        </w:rPr>
        <w:t>根据灌区现有渠系布置，渠道均穿越多个行政区域，且附近环境敏感区众多。若调整渠道线路，需对现有的地面附着物及周边环境敏感区进行合理避让，协调及实施难度大，对现状破坏较大，经济性和环保可行性差。</w:t>
      </w:r>
    </w:p>
    <w:p>
      <w:pPr>
        <w:pStyle w:val="14"/>
        <w:widowControl/>
        <w:autoSpaceDE/>
        <w:autoSpaceDN/>
        <w:adjustRightInd w:val="0"/>
        <w:snapToGrid w:val="0"/>
        <w:spacing w:line="360" w:lineRule="auto"/>
        <w:ind w:firstLine="480" w:firstLineChars="200"/>
        <w:rPr>
          <w:rFonts w:eastAsia="宋"/>
          <w:color w:val="000000" w:themeColor="text1"/>
          <w14:textFill>
            <w14:solidFill>
              <w14:schemeClr w14:val="tx1"/>
            </w14:solidFill>
          </w14:textFill>
        </w:rPr>
      </w:pPr>
      <w:r>
        <w:rPr>
          <w:rFonts w:hint="eastAsia" w:eastAsia="宋"/>
          <w:color w:val="000000" w:themeColor="text1"/>
          <w14:textFill>
            <w14:solidFill>
              <w14:schemeClr w14:val="tx1"/>
            </w14:solidFill>
          </w14:textFill>
        </w:rPr>
        <w:t>本期工程整治渠道大部分为已成渠道，经现场查勘，渠线平面布置建设基本分布合理，满足沿渠灌溉、排水需要，这些线路无需改线，仍按原渠线进行整治。部分渠道因城市建设发展，被占用、截断，渠系不通畅，导致灌溉、排水系统不完善，上游时常出现内涝，需要按照原址原线进行清淤疏浚、整治。</w:t>
      </w:r>
    </w:p>
    <w:p>
      <w:pPr>
        <w:pStyle w:val="14"/>
        <w:widowControl/>
        <w:autoSpaceDE/>
        <w:autoSpaceDN/>
        <w:adjustRightInd w:val="0"/>
        <w:snapToGrid w:val="0"/>
        <w:spacing w:line="360" w:lineRule="auto"/>
        <w:ind w:firstLine="480" w:firstLineChars="200"/>
        <w:rPr>
          <w:rFonts w:eastAsia="宋"/>
          <w:color w:val="000000" w:themeColor="text1"/>
          <w14:textFill>
            <w14:solidFill>
              <w14:schemeClr w14:val="tx1"/>
            </w14:solidFill>
          </w14:textFill>
        </w:rPr>
      </w:pPr>
      <w:r>
        <w:rPr>
          <w:rFonts w:hint="eastAsia" w:eastAsia="宋"/>
          <w:color w:val="000000" w:themeColor="text1"/>
          <w14:textFill>
            <w14:solidFill>
              <w14:schemeClr w14:val="tx1"/>
            </w14:solidFill>
          </w14:textFill>
        </w:rPr>
        <w:t>因此，经过经济技术和环保角度综合比较，渠道工程线路维持原有渠系线路合理。</w:t>
      </w:r>
    </w:p>
    <w:bookmarkEnd w:id="344"/>
    <w:bookmarkEnd w:id="345"/>
    <w:p>
      <w:pPr>
        <w:autoSpaceDE/>
        <w:autoSpaceDN/>
        <w:spacing w:line="360" w:lineRule="auto"/>
        <w:ind w:firstLine="643"/>
        <w:jc w:val="both"/>
        <w:outlineLvl w:val="1"/>
        <w:rPr>
          <w:rFonts w:eastAsia="Times New Roman"/>
          <w:b/>
          <w:bCs/>
          <w:color w:val="000000" w:themeColor="text1"/>
          <w:kern w:val="0"/>
          <w:sz w:val="32"/>
          <w:szCs w:val="32"/>
          <w14:textFill>
            <w14:solidFill>
              <w14:schemeClr w14:val="tx1"/>
            </w14:solidFill>
          </w14:textFill>
        </w:rPr>
      </w:pPr>
      <w:bookmarkStart w:id="347" w:name="_Toc70496274"/>
      <w:bookmarkStart w:id="348" w:name="_Toc18274"/>
      <w:r>
        <w:rPr>
          <w:b/>
          <w:bCs/>
          <w:color w:val="000000" w:themeColor="text1"/>
          <w:kern w:val="0"/>
          <w:sz w:val="32"/>
          <w:szCs w:val="32"/>
          <w14:textFill>
            <w14:solidFill>
              <w14:schemeClr w14:val="tx1"/>
            </w14:solidFill>
          </w14:textFill>
        </w:rPr>
        <w:t>2</w:t>
      </w:r>
      <w:r>
        <w:rPr>
          <w:rFonts w:eastAsia="Times New Roman"/>
          <w:b/>
          <w:bCs/>
          <w:color w:val="000000" w:themeColor="text1"/>
          <w:kern w:val="0"/>
          <w:sz w:val="32"/>
          <w:szCs w:val="32"/>
          <w14:textFill>
            <w14:solidFill>
              <w14:schemeClr w14:val="tx1"/>
            </w14:solidFill>
          </w14:textFill>
        </w:rPr>
        <w:t>.6</w:t>
      </w:r>
      <w:r>
        <w:rPr>
          <w:b/>
          <w:bCs/>
          <w:color w:val="000000" w:themeColor="text1"/>
          <w:kern w:val="0"/>
          <w:sz w:val="32"/>
          <w:szCs w:val="32"/>
          <w14:textFill>
            <w14:solidFill>
              <w14:schemeClr w14:val="tx1"/>
            </w14:solidFill>
          </w14:textFill>
        </w:rPr>
        <w:t>施工</w:t>
      </w:r>
      <w:r>
        <w:rPr>
          <w:rFonts w:hint="eastAsia"/>
          <w:b/>
          <w:bCs/>
          <w:color w:val="000000" w:themeColor="text1"/>
          <w:kern w:val="0"/>
          <w:sz w:val="32"/>
          <w:szCs w:val="32"/>
          <w14:textFill>
            <w14:solidFill>
              <w14:schemeClr w14:val="tx1"/>
            </w14:solidFill>
          </w14:textFill>
        </w:rPr>
        <w:t>期环境影响分析</w:t>
      </w:r>
      <w:bookmarkEnd w:id="347"/>
      <w:bookmarkEnd w:id="348"/>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49" w:name="_Toc21800"/>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6</w:t>
      </w:r>
      <w:r>
        <w:rPr>
          <w:rFonts w:eastAsia="黑体"/>
          <w:b/>
          <w:color w:val="000000" w:themeColor="text1"/>
          <w:kern w:val="0"/>
          <w:sz w:val="28"/>
          <w:szCs w:val="24"/>
          <w14:textFill>
            <w14:solidFill>
              <w14:schemeClr w14:val="tx1"/>
            </w14:solidFill>
          </w14:textFill>
        </w:rPr>
        <w:t>.1</w:t>
      </w:r>
      <w:r>
        <w:rPr>
          <w:rFonts w:hint="eastAsia" w:eastAsia="黑体"/>
          <w:b/>
          <w:color w:val="000000" w:themeColor="text1"/>
          <w:kern w:val="0"/>
          <w:sz w:val="28"/>
          <w:szCs w:val="24"/>
          <w14:textFill>
            <w14:solidFill>
              <w14:schemeClr w14:val="tx1"/>
            </w14:solidFill>
          </w14:textFill>
        </w:rPr>
        <w:t>施工工艺流程介绍</w:t>
      </w:r>
      <w:bookmarkEnd w:id="349"/>
    </w:p>
    <w:p>
      <w:pPr>
        <w:tabs>
          <w:tab w:val="left" w:pos="840"/>
          <w:tab w:val="right" w:leader="dot" w:pos="8820"/>
        </w:tabs>
        <w:autoSpaceDE/>
        <w:autoSpaceDN/>
        <w:adjustRightInd w:val="0"/>
        <w:snapToGrid w:val="0"/>
        <w:spacing w:line="360" w:lineRule="auto"/>
        <w:ind w:firstLine="482" w:firstLineChars="200"/>
        <w:jc w:val="both"/>
        <w:textAlignment w:val="center"/>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1、</w:t>
      </w:r>
      <w:r>
        <w:rPr>
          <w:b/>
          <w:bCs/>
          <w:color w:val="000000" w:themeColor="text1"/>
          <w:kern w:val="0"/>
          <w:sz w:val="24"/>
          <w:szCs w:val="24"/>
          <w14:textFill>
            <w14:solidFill>
              <w14:schemeClr w14:val="tx1"/>
            </w14:solidFill>
          </w14:textFill>
        </w:rPr>
        <w:t>渠道工程施工</w:t>
      </w:r>
      <w:r>
        <w:rPr>
          <w:rFonts w:hint="eastAsia"/>
          <w:b/>
          <w:bCs/>
          <w:color w:val="000000" w:themeColor="text1"/>
          <w:kern w:val="0"/>
          <w:sz w:val="24"/>
          <w:szCs w:val="24"/>
          <w14:textFill>
            <w14:solidFill>
              <w14:schemeClr w14:val="tx1"/>
            </w14:solidFill>
          </w14:textFill>
        </w:rPr>
        <w:t>工艺流程</w:t>
      </w:r>
      <w:r>
        <w:rPr>
          <w:b/>
          <w:bCs/>
          <w:color w:val="000000" w:themeColor="text1"/>
          <w:kern w:val="0"/>
          <w:sz w:val="24"/>
          <w:szCs w:val="24"/>
          <w14:textFill>
            <w14:solidFill>
              <w14:schemeClr w14:val="tx1"/>
            </w14:solidFill>
          </w14:textFill>
        </w:rPr>
        <w:t>及污染流程分析</w:t>
      </w:r>
    </w:p>
    <w:p>
      <w:pPr>
        <w:widowControl/>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结合工程条件，本项目选择以小型机械施工为主，人工施工为辅的施工方法。</w:t>
      </w:r>
      <w:r>
        <w:rPr>
          <w:bCs/>
          <w:color w:val="000000" w:themeColor="text1"/>
          <w:sz w:val="24"/>
          <w14:textFill>
            <w14:solidFill>
              <w14:schemeClr w14:val="tx1"/>
            </w14:solidFill>
          </w14:textFill>
        </w:rPr>
        <w:t>渠道工程主要施工污染源及施工工艺见</w:t>
      </w:r>
      <w:r>
        <w:rPr>
          <w:rFonts w:hint="eastAsia"/>
          <w:bCs/>
          <w:color w:val="000000" w:themeColor="text1"/>
          <w:sz w:val="24"/>
          <w14:textFill>
            <w14:solidFill>
              <w14:schemeClr w14:val="tx1"/>
            </w14:solidFill>
          </w14:textFill>
        </w:rPr>
        <w:t>图2.6-1。</w:t>
      </w:r>
    </w:p>
    <w:p>
      <w:pPr>
        <w:tabs>
          <w:tab w:val="left" w:pos="840"/>
          <w:tab w:val="right" w:leader="dot" w:pos="8820"/>
        </w:tabs>
        <w:autoSpaceDE/>
        <w:autoSpaceDN/>
        <w:adjustRightInd w:val="0"/>
        <w:snapToGrid w:val="0"/>
        <w:spacing w:line="360" w:lineRule="auto"/>
        <w:jc w:val="both"/>
        <w:textAlignment w:val="center"/>
        <w:rPr>
          <w:color w:val="000000" w:themeColor="text1"/>
          <w:kern w:val="0"/>
          <w:sz w:val="24"/>
          <w:szCs w:val="24"/>
          <w:lang w:val="zh-CN"/>
          <w14:textFill>
            <w14:solidFill>
              <w14:schemeClr w14:val="tx1"/>
            </w14:solidFill>
          </w14:textFill>
        </w:rPr>
      </w:pPr>
      <w:r>
        <w:rPr>
          <w:color w:val="000000" w:themeColor="text1"/>
          <w:kern w:val="0"/>
          <w:sz w:val="24"/>
          <w:szCs w:val="24"/>
          <w14:textFill>
            <w14:solidFill>
              <w14:schemeClr w14:val="tx1"/>
            </w14:solidFill>
          </w14:textFill>
        </w:rPr>
        <w:drawing>
          <wp:inline distT="0" distB="0" distL="114300" distR="114300">
            <wp:extent cx="5592445" cy="2397760"/>
            <wp:effectExtent l="0" t="0" r="8255" b="2540"/>
            <wp:docPr id="10" name="图片 10" descr="170986507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709865073607"/>
                    <pic:cNvPicPr>
                      <a:picLocks noChangeAspect="1"/>
                    </pic:cNvPicPr>
                  </pic:nvPicPr>
                  <pic:blipFill>
                    <a:blip r:embed="rId56"/>
                    <a:stretch>
                      <a:fillRect/>
                    </a:stretch>
                  </pic:blipFill>
                  <pic:spPr>
                    <a:xfrm>
                      <a:off x="0" y="0"/>
                      <a:ext cx="5592445" cy="2397760"/>
                    </a:xfrm>
                    <a:prstGeom prst="rect">
                      <a:avLst/>
                    </a:prstGeom>
                  </pic:spPr>
                </pic:pic>
              </a:graphicData>
            </a:graphic>
          </wp:inline>
        </w:drawing>
      </w:r>
    </w:p>
    <w:p>
      <w:pPr>
        <w:tabs>
          <w:tab w:val="left" w:pos="840"/>
          <w:tab w:val="right" w:leader="dot" w:pos="8820"/>
        </w:tabs>
        <w:autoSpaceDE/>
        <w:autoSpaceDN/>
        <w:adjustRightInd w:val="0"/>
        <w:snapToGrid w:val="0"/>
        <w:spacing w:line="360" w:lineRule="auto"/>
        <w:jc w:val="center"/>
        <w:textAlignment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图2.6-1渠道工程施工工艺流程及产污环节图</w:t>
      </w:r>
    </w:p>
    <w:p>
      <w:pPr>
        <w:pStyle w:val="13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工艺流程简述：</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（1）渠道开挖</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①围堰施工</w:t>
      </w:r>
    </w:p>
    <w:p>
      <w:pPr>
        <w:adjustRightInd w:val="0"/>
        <w:snapToGrid w:val="0"/>
        <w:spacing w:line="360" w:lineRule="auto"/>
        <w:ind w:firstLine="480" w:firstLineChars="200"/>
        <w:jc w:val="both"/>
        <w:rPr>
          <w:rFonts w:eastAsiaTheme="minorEastAsia"/>
          <w:bCs/>
          <w:color w:val="000000" w:themeColor="text1"/>
          <w:sz w:val="24"/>
          <w14:textFill>
            <w14:solidFill>
              <w14:schemeClr w14:val="tx1"/>
            </w14:solidFill>
          </w14:textFill>
        </w:rPr>
      </w:pPr>
      <w:r>
        <w:rPr>
          <w:rFonts w:eastAsiaTheme="minorEastAsia"/>
          <w:bCs/>
          <w:color w:val="000000" w:themeColor="text1"/>
          <w:sz w:val="24"/>
          <w14:textFill>
            <w14:solidFill>
              <w14:schemeClr w14:val="tx1"/>
            </w14:solidFill>
          </w14:textFill>
        </w:rPr>
        <w:t>围堰填筑利用开挖料，现场采用1m</w:t>
      </w:r>
      <w:r>
        <w:rPr>
          <w:rFonts w:eastAsiaTheme="minorEastAsia"/>
          <w:bCs/>
          <w:color w:val="000000" w:themeColor="text1"/>
          <w:sz w:val="24"/>
          <w:vertAlign w:val="superscript"/>
          <w14:textFill>
            <w14:solidFill>
              <w14:schemeClr w14:val="tx1"/>
            </w14:solidFill>
          </w14:textFill>
        </w:rPr>
        <w:t>3</w:t>
      </w:r>
      <w:r>
        <w:rPr>
          <w:rFonts w:eastAsiaTheme="minorEastAsia"/>
          <w:bCs/>
          <w:color w:val="000000" w:themeColor="text1"/>
          <w:sz w:val="24"/>
          <w14:textFill>
            <w14:solidFill>
              <w14:schemeClr w14:val="tx1"/>
            </w14:solidFill>
          </w14:textFill>
        </w:rPr>
        <w:t>挖掘机开挖土料，辅以74KW推土机集料推运至回填面，14t振动碾振动压实。</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②土方开挖</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土方开挖采用1.0m</w:t>
      </w:r>
      <w:r>
        <w:rPr>
          <w:rFonts w:cs="Times New Roman" w:eastAsiaTheme="minorEastAsia"/>
          <w:color w:val="000000" w:themeColor="text1"/>
          <w:vertAlign w:val="superscript"/>
          <w14:textFill>
            <w14:solidFill>
              <w14:schemeClr w14:val="tx1"/>
            </w14:solidFill>
          </w14:textFill>
        </w:rPr>
        <w:t>3</w:t>
      </w:r>
      <w:r>
        <w:rPr>
          <w:rFonts w:cs="Times New Roman" w:eastAsiaTheme="minorEastAsia"/>
          <w:color w:val="000000" w:themeColor="text1"/>
          <w14:textFill>
            <w14:solidFill>
              <w14:schemeClr w14:val="tx1"/>
            </w14:solidFill>
          </w14:textFill>
        </w:rPr>
        <w:t>挖掘机沿设计开挖线开挖，74kW推土机配合集料，10t自卸汽车运输至挡墙回填工作面，剩余土方运输至指定位置处理，董家堰补水渠和北支一渠（上）平均运距1km，南五、南六支渠平均运距20km。</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③砼拆除</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原渠道底板和边坡砼拆除采用破碎机机械破碎，机动翻斗车将拆除料就近堆放，便于回填利用。</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④土方回填</w:t>
      </w:r>
    </w:p>
    <w:p>
      <w:pPr>
        <w:pStyle w:val="130"/>
        <w:rPr>
          <w:rFonts w:cs="Times New Roman" w:eastAsiaTheme="minorEastAsia"/>
          <w:color w:val="000000" w:themeColor="text1"/>
          <w14:textFill>
            <w14:solidFill>
              <w14:schemeClr w14:val="tx1"/>
            </w14:solidFill>
          </w14:textFill>
        </w:rPr>
      </w:pPr>
      <w:r>
        <w:rPr>
          <w:rFonts w:cs="Times New Roman" w:eastAsiaTheme="minorEastAsia"/>
          <w:color w:val="000000" w:themeColor="text1"/>
          <w14:textFill>
            <w14:solidFill>
              <w14:schemeClr w14:val="tx1"/>
            </w14:solidFill>
          </w14:textFill>
        </w:rPr>
        <w:t>土方填筑采用74kW推土机铺料，蛙式夯实机压实，机械碾压不到的部位，应辅以夯具夯实。</w:t>
      </w:r>
    </w:p>
    <w:p>
      <w:pPr>
        <w:pStyle w:val="13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（2）渠道整治</w:t>
      </w:r>
    </w:p>
    <w:p>
      <w:pPr>
        <w:pStyle w:val="13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干渠渠内清淤分段进行，采用</w:t>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0</w:t>
      </w:r>
      <w:r>
        <w:rPr>
          <w:rFonts w:cs="Times New Roman"/>
          <w:color w:val="000000" w:themeColor="text1"/>
          <w14:textFill>
            <w14:solidFill>
              <w14:schemeClr w14:val="tx1"/>
            </w14:solidFill>
          </w14:textFill>
        </w:rPr>
        <w:t>m³</w:t>
      </w:r>
      <w:r>
        <w:rPr>
          <w:rFonts w:hint="eastAsia" w:cs="Times New Roman"/>
          <w:color w:val="000000" w:themeColor="text1"/>
          <w14:textFill>
            <w14:solidFill>
              <w14:schemeClr w14:val="tx1"/>
            </w14:solidFill>
          </w14:textFill>
        </w:rPr>
        <w:t>反铲挖掘机装</w:t>
      </w:r>
      <w:r>
        <w:rPr>
          <w:rFonts w:cs="Times New Roman"/>
          <w:color w:val="000000" w:themeColor="text1"/>
          <w14:textFill>
            <w14:solidFill>
              <w14:schemeClr w14:val="tx1"/>
            </w14:solidFill>
          </w14:textFill>
        </w:rPr>
        <w:t>10</w:t>
      </w:r>
      <w:r>
        <w:rPr>
          <w:rFonts w:hint="eastAsia" w:cs="Times New Roman"/>
          <w:color w:val="000000" w:themeColor="text1"/>
          <w14:textFill>
            <w14:solidFill>
              <w14:schemeClr w14:val="tx1"/>
            </w14:solidFill>
          </w14:textFill>
        </w:rPr>
        <w:t>自卸汽车运至余方接纳点处置。清淤自卸汽车应在车斗内采用防渗薄膜进行铺设，防止运输过程中漏浆。</w:t>
      </w:r>
    </w:p>
    <w:p>
      <w:pPr>
        <w:pStyle w:val="13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（3）渠道衬护</w:t>
      </w:r>
    </w:p>
    <w:p>
      <w:pPr>
        <w:pStyle w:val="13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混凝土采用人工立模，跳仓浇筑施工，混凝土采用搅拌运输车自商混站运输到工作面，溜槽入仓，插入式振捣器振捣密实。混凝土浇筑完成后采用塑料薄膜、草帘或毛毡及时覆盖，并安排专人进行洒水保湿养护，洒水湿润养护时间不少于14天。</w:t>
      </w:r>
    </w:p>
    <w:p>
      <w:pPr>
        <w:tabs>
          <w:tab w:val="left" w:pos="840"/>
          <w:tab w:val="right" w:leader="dot" w:pos="8820"/>
        </w:tabs>
        <w:autoSpaceDE/>
        <w:autoSpaceDN/>
        <w:snapToGrid w:val="0"/>
        <w:spacing w:line="360" w:lineRule="auto"/>
        <w:ind w:firstLine="482" w:firstLineChars="200"/>
        <w:jc w:val="both"/>
        <w:textAlignment w:val="center"/>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2、建筑物</w:t>
      </w:r>
      <w:r>
        <w:rPr>
          <w:b/>
          <w:bCs/>
          <w:color w:val="000000" w:themeColor="text1"/>
          <w:kern w:val="0"/>
          <w:sz w:val="24"/>
          <w:szCs w:val="24"/>
          <w14:textFill>
            <w14:solidFill>
              <w14:schemeClr w14:val="tx1"/>
            </w14:solidFill>
          </w14:textFill>
        </w:rPr>
        <w:t>施工</w:t>
      </w:r>
      <w:r>
        <w:rPr>
          <w:rFonts w:hint="eastAsia"/>
          <w:b/>
          <w:bCs/>
          <w:color w:val="000000" w:themeColor="text1"/>
          <w:kern w:val="0"/>
          <w:sz w:val="24"/>
          <w:szCs w:val="24"/>
          <w14:textFill>
            <w14:solidFill>
              <w14:schemeClr w14:val="tx1"/>
            </w14:solidFill>
          </w14:textFill>
        </w:rPr>
        <w:t>工艺流程</w:t>
      </w:r>
      <w:r>
        <w:rPr>
          <w:b/>
          <w:bCs/>
          <w:color w:val="000000" w:themeColor="text1"/>
          <w:kern w:val="0"/>
          <w:sz w:val="24"/>
          <w:szCs w:val="24"/>
          <w14:textFill>
            <w14:solidFill>
              <w14:schemeClr w14:val="tx1"/>
            </w14:solidFill>
          </w14:textFill>
        </w:rPr>
        <w:t>及污染流程分析</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lang w:val="zh-CN"/>
          <w14:textFill>
            <w14:solidFill>
              <w14:schemeClr w14:val="tx1"/>
            </w14:solidFill>
          </w14:textFill>
        </w:rPr>
        <w:t>建筑物包括</w:t>
      </w:r>
      <w:r>
        <w:rPr>
          <w:rFonts w:hint="eastAsia"/>
          <w:color w:val="000000" w:themeColor="text1"/>
          <w:kern w:val="0"/>
          <w:sz w:val="24"/>
          <w:szCs w:val="24"/>
          <w14:textFill>
            <w14:solidFill>
              <w14:schemeClr w14:val="tx1"/>
            </w14:solidFill>
          </w14:textFill>
        </w:rPr>
        <w:t>水闸、箱涵</w:t>
      </w:r>
      <w:r>
        <w:rPr>
          <w:rFonts w:hint="eastAsia"/>
          <w:color w:val="000000" w:themeColor="text1"/>
          <w:kern w:val="0"/>
          <w:sz w:val="24"/>
          <w:szCs w:val="24"/>
          <w:lang w:val="zh-CN"/>
          <w14:textFill>
            <w14:solidFill>
              <w14:schemeClr w14:val="tx1"/>
            </w14:solidFill>
          </w14:textFill>
        </w:rPr>
        <w:t>等工程，建筑物施工除土石方挖掘、拆除与填筑外，还有</w:t>
      </w:r>
      <w:r>
        <w:rPr>
          <w:rFonts w:hint="eastAsia"/>
          <w:color w:val="000000" w:themeColor="text1"/>
          <w:kern w:val="0"/>
          <w:sz w:val="24"/>
          <w:szCs w:val="24"/>
          <w14:textFill>
            <w14:solidFill>
              <w14:schemeClr w14:val="tx1"/>
            </w14:solidFill>
          </w14:textFill>
        </w:rPr>
        <w:t>基坑废水</w:t>
      </w:r>
      <w:r>
        <w:rPr>
          <w:rFonts w:hint="eastAsia"/>
          <w:color w:val="000000" w:themeColor="text1"/>
          <w:kern w:val="0"/>
          <w:sz w:val="24"/>
          <w:szCs w:val="24"/>
          <w:lang w:val="zh-CN"/>
          <w14:textFill>
            <w14:solidFill>
              <w14:schemeClr w14:val="tx1"/>
            </w14:solidFill>
          </w14:textFill>
        </w:rPr>
        <w:t>等生产废水产生，另外施工过程中，施工机械还将产生间歇性的噪声和少量尾气，建筑物工程主要施工污染源及施工工艺见图</w:t>
      </w:r>
      <w:r>
        <w:rPr>
          <w:rFonts w:hint="eastAsia"/>
          <w:color w:val="000000" w:themeColor="text1"/>
          <w:kern w:val="0"/>
          <w:sz w:val="24"/>
          <w:szCs w:val="24"/>
          <w14:textFill>
            <w14:solidFill>
              <w14:schemeClr w14:val="tx1"/>
            </w14:solidFill>
          </w14:textFill>
        </w:rPr>
        <w:t>2.6</w:t>
      </w:r>
      <w:r>
        <w:rPr>
          <w:rFonts w:hint="eastAsia"/>
          <w:color w:val="000000" w:themeColor="text1"/>
          <w:kern w:val="0"/>
          <w:sz w:val="24"/>
          <w:szCs w:val="24"/>
          <w:lang w:val="zh-CN"/>
          <w14:textFill>
            <w14:solidFill>
              <w14:schemeClr w14:val="tx1"/>
            </w14:solidFill>
          </w14:textFill>
        </w:rPr>
        <w:t>-</w:t>
      </w:r>
      <w:r>
        <w:rPr>
          <w:rFonts w:hint="eastAsia"/>
          <w:color w:val="000000" w:themeColor="text1"/>
          <w:kern w:val="0"/>
          <w:sz w:val="24"/>
          <w:szCs w:val="24"/>
          <w14:textFill>
            <w14:solidFill>
              <w14:schemeClr w14:val="tx1"/>
            </w14:solidFill>
          </w14:textFill>
        </w:rPr>
        <w:t>2</w:t>
      </w:r>
      <w:r>
        <w:rPr>
          <w:rFonts w:hint="eastAsia"/>
          <w:color w:val="000000" w:themeColor="text1"/>
          <w:kern w:val="0"/>
          <w:sz w:val="24"/>
          <w:szCs w:val="24"/>
          <w:lang w:val="zh-CN"/>
          <w14:textFill>
            <w14:solidFill>
              <w14:schemeClr w14:val="tx1"/>
            </w14:solidFill>
          </w14:textFill>
        </w:rPr>
        <w:t>。</w:t>
      </w:r>
    </w:p>
    <w:p>
      <w:pPr>
        <w:tabs>
          <w:tab w:val="left" w:pos="840"/>
          <w:tab w:val="right" w:leader="dot" w:pos="8820"/>
        </w:tabs>
        <w:autoSpaceDE/>
        <w:autoSpaceDN/>
        <w:snapToGrid w:val="0"/>
        <w:spacing w:line="360" w:lineRule="auto"/>
        <w:jc w:val="both"/>
        <w:textAlignment w:val="center"/>
        <w:rPr>
          <w:color w:val="000000" w:themeColor="text1"/>
          <w:kern w:val="0"/>
          <w:sz w:val="24"/>
          <w:szCs w:val="24"/>
          <w:lang w:val="zh-CN"/>
          <w14:textFill>
            <w14:solidFill>
              <w14:schemeClr w14:val="tx1"/>
            </w14:solidFill>
          </w14:textFill>
        </w:rPr>
      </w:pPr>
      <w:r>
        <w:rPr>
          <w:color w:val="000000" w:themeColor="text1"/>
          <w:sz w:val="24"/>
          <w14:textFill>
            <w14:solidFill>
              <w14:schemeClr w14:val="tx1"/>
            </w14:solidFill>
          </w14:textFill>
        </w:rPr>
        <mc:AlternateContent>
          <mc:Choice Requires="wpc">
            <w:drawing>
              <wp:inline distT="0" distB="0" distL="114300" distR="114300">
                <wp:extent cx="5828030" cy="3124200"/>
                <wp:effectExtent l="0" t="0" r="39370" b="0"/>
                <wp:docPr id="34" name="画布 34"/>
                <wp:cNvGraphicFramePr/>
                <a:graphic xmlns:a="http://schemas.openxmlformats.org/drawingml/2006/main">
                  <a:graphicData uri="http://schemas.microsoft.com/office/word/2010/wordprocessingCanvas">
                    <wpc:wpc>
                      <wpc:bg/>
                      <wpc:whole/>
                      <wps:wsp>
                        <wps:cNvPr id="35" name="矩形 35"/>
                        <wps:cNvSpPr/>
                        <wps:spPr>
                          <a:xfrm>
                            <a:off x="115570" y="1304290"/>
                            <a:ext cx="814705" cy="467995"/>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清基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6" name="矩形 36"/>
                        <wps:cNvSpPr/>
                        <wps:spPr>
                          <a:xfrm>
                            <a:off x="1331595" y="1305560"/>
                            <a:ext cx="814705" cy="467995"/>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开挖基础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 name="矩形 37"/>
                        <wps:cNvSpPr/>
                        <wps:spPr>
                          <a:xfrm>
                            <a:off x="2560320" y="1313815"/>
                            <a:ext cx="814705" cy="467995"/>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混凝土浇筑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 name="直接箭头连接符 38"/>
                        <wps:cNvCnPr>
                          <a:stCxn id="35" idx="3"/>
                        </wps:cNvCnPr>
                        <wps:spPr>
                          <a:xfrm flipV="1">
                            <a:off x="930275" y="1537970"/>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39" name="直接箭头连接符 39"/>
                        <wps:cNvCnPr/>
                        <wps:spPr>
                          <a:xfrm flipV="1">
                            <a:off x="2145665" y="1547495"/>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0" name="直接箭头连接符 40"/>
                        <wps:cNvCnPr/>
                        <wps:spPr>
                          <a:xfrm flipV="1">
                            <a:off x="3374390" y="1547495"/>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1" name="矩形 41"/>
                        <wps:cNvSpPr/>
                        <wps:spPr>
                          <a:xfrm>
                            <a:off x="3764280" y="1313815"/>
                            <a:ext cx="814705" cy="467995"/>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金属结构安装</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2" name="直接箭头连接符 42"/>
                        <wps:cNvCnPr/>
                        <wps:spPr>
                          <a:xfrm flipV="1">
                            <a:off x="4578985" y="1539240"/>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3" name="矩形 43"/>
                        <wps:cNvSpPr/>
                        <wps:spPr>
                          <a:xfrm>
                            <a:off x="4974590" y="1304925"/>
                            <a:ext cx="814705" cy="467995"/>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运行</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4" name="直接箭头连接符 44"/>
                        <wps:cNvCnPr/>
                        <wps:spPr>
                          <a:xfrm rot="16200000" flipV="1">
                            <a:off x="326390" y="1114425"/>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5" name="直接箭头连接符 45"/>
                        <wps:cNvCnPr/>
                        <wps:spPr>
                          <a:xfrm rot="16200000" flipV="1">
                            <a:off x="1556385" y="1115060"/>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6" name="直接箭头连接符 46"/>
                        <wps:cNvCnPr/>
                        <wps:spPr>
                          <a:xfrm rot="16200000" flipV="1">
                            <a:off x="2803525" y="1123950"/>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7" name="直接箭头连接符 47"/>
                        <wps:cNvCnPr/>
                        <wps:spPr>
                          <a:xfrm rot="16200000" flipV="1">
                            <a:off x="3981450" y="1123315"/>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8" name="直接箭头连接符 48"/>
                        <wps:cNvCnPr/>
                        <wps:spPr>
                          <a:xfrm rot="16200000" flipV="1">
                            <a:off x="5193030" y="1115060"/>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49" name="矩形 49"/>
                        <wps:cNvSpPr/>
                        <wps:spPr>
                          <a:xfrm>
                            <a:off x="110490" y="257810"/>
                            <a:ext cx="814705" cy="666750"/>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噪声、尾气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2" name="矩形 52"/>
                        <wps:cNvSpPr/>
                        <wps:spPr>
                          <a:xfrm>
                            <a:off x="1357630" y="266065"/>
                            <a:ext cx="814705" cy="666750"/>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噪声、尾气、固体废物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3" name="矩形 53"/>
                        <wps:cNvSpPr/>
                        <wps:spPr>
                          <a:xfrm>
                            <a:off x="2595880" y="266065"/>
                            <a:ext cx="814705" cy="666750"/>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生产废水、噪声、尾气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 name="矩形 54"/>
                        <wps:cNvSpPr/>
                        <wps:spPr>
                          <a:xfrm>
                            <a:off x="3781425" y="257810"/>
                            <a:ext cx="814705" cy="666750"/>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噪声、尾气、包装废弃物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 name="矩形 55"/>
                        <wps:cNvSpPr/>
                        <wps:spPr>
                          <a:xfrm>
                            <a:off x="4856480" y="240030"/>
                            <a:ext cx="987425" cy="666750"/>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管理人员生活污水及生活垃圾</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 name="直接连接符 56"/>
                        <wps:cNvCnPr>
                          <a:stCxn id="35" idx="2"/>
                        </wps:cNvCnPr>
                        <wps:spPr>
                          <a:xfrm flipH="1">
                            <a:off x="521970" y="1772285"/>
                            <a:ext cx="1270" cy="31115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7" name="直接连接符 57"/>
                        <wps:cNvCnPr/>
                        <wps:spPr>
                          <a:xfrm flipH="1">
                            <a:off x="4178300" y="1790065"/>
                            <a:ext cx="3175" cy="29591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8" name="直接连接符 58"/>
                        <wps:cNvCnPr/>
                        <wps:spPr>
                          <a:xfrm>
                            <a:off x="521970" y="2074545"/>
                            <a:ext cx="3662680" cy="508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9" name="直接箭头连接符 59"/>
                        <wps:cNvCnPr/>
                        <wps:spPr>
                          <a:xfrm rot="5400000" flipV="1">
                            <a:off x="2043430" y="2284095"/>
                            <a:ext cx="388620" cy="635"/>
                          </a:xfrm>
                          <a:prstGeom prst="straightConnector1">
                            <a:avLst/>
                          </a:prstGeom>
                          <a:ln>
                            <a:solidFill>
                              <a:schemeClr val="tx1"/>
                            </a:solidFill>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wps:wsp>
                        <wps:cNvPr id="60" name="直接连接符 60"/>
                        <wps:cNvCnPr/>
                        <wps:spPr>
                          <a:xfrm flipH="1">
                            <a:off x="1717040" y="1765300"/>
                            <a:ext cx="1270" cy="31115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1" name="直接连接符 61"/>
                        <wps:cNvCnPr/>
                        <wps:spPr>
                          <a:xfrm>
                            <a:off x="2997835" y="1778635"/>
                            <a:ext cx="4445" cy="28321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2" name="矩形 62"/>
                        <wps:cNvSpPr/>
                        <wps:spPr>
                          <a:xfrm>
                            <a:off x="1284605" y="2501900"/>
                            <a:ext cx="1918970" cy="590550"/>
                          </a:xfrm>
                          <a:prstGeom prst="rect">
                            <a:avLst/>
                          </a:prstGeom>
                          <a:solidFill>
                            <a:srgbClr val="C8D6E6"/>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施工人员生活污水生活垃圾及机械清洗等生产废水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46pt;width:458.9pt;" coordsize="5828030,3124200" editas="canvas" o:gfxdata="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">
                <o:lock v:ext="edit" aspectratio="f"/>
                <v:shape id="_x0000_s1026" o:spid="_x0000_s1026" style="position:absolute;left:0;top:0;height:3124200;width:5828030;" filled="f" stroked="f" coordsize="21600,21600" o:gfxdata="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">
                  <v:fill on="f" focussize="0,0"/>
                  <v:stroke on="f"/>
                  <v:imagedata o:title=""/>
                  <o:lock v:ext="edit" aspectratio="f"/>
                </v:shape>
                <v:rect id="_x0000_s1026" o:spid="_x0000_s1026" o:spt="1" style="position:absolute;left:115570;top:1304290;height:467995;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lNYcDUAAAABQEAAA8AAAAAAAAAAQAg&#10;AAAAIgAAAGRycy9kb3ducmV2LnhtbFBLAQIUABQAAAAIAIdO4kA4tUI5hAIAAAsFAAAOAAAAAAAA&#10;AAEAIAAAACMBAABkcnMvZTJvRG9jLnhtbFBLBQYAAAAABgAGAFkBAAAZBg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清基</w:t>
                        </w:r>
                      </w:p>
                    </w:txbxContent>
                  </v:textbox>
                </v:rect>
                <v:rect id="_x0000_s1026" o:spid="_x0000_s1026" o:spt="1" style="position:absolute;left:1331595;top:1305560;height:467995;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lNYcDUAAAABQEAAA8AAAAAAAAAAQAg&#10;AAAAIgAAAGRycy9kb3ducmV2LnhtbFBLAQIUABQAAAAIAIdO4kBJLMfJhAIAAAwFAAAOAAAAAAAA&#10;AAEAIAAAACMBAABkcnMvZTJvRG9jLnhtbFBLBQYAAAAABgAGAFkBAAAZBg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开挖基础</w:t>
                        </w:r>
                      </w:p>
                    </w:txbxContent>
                  </v:textbox>
                </v:rect>
                <v:rect id="_x0000_s1026" o:spid="_x0000_s1026" o:spt="1" style="position:absolute;left:2560320;top:1313815;height:467995;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6U1hwNQAAAAFAQAADwAAAAAAAAAB&#10;ACAAAAAiAAAAZHJzL2Rvd25yZXYueG1sUEsBAhQAFAAAAAgAh07iQO9Y1K2GAgAADAUAAA4AAAAA&#10;AAAAAQAgAAAAIwEAAGRycy9lMm9Eb2MueG1sUEsFBgAAAAAGAAYAWQEAABsGA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混凝土浇筑</w:t>
                        </w:r>
                      </w:p>
                    </w:txbxContent>
                  </v:textbox>
                </v:rect>
                <v:shape id="_x0000_s1026" o:spid="_x0000_s1026" o:spt="32" type="#_x0000_t32" style="position:absolute;left:930275;top:1537970;flip:y;height:635;width:388620;" filled="f" stroked="t" coordsize="21600,21600" o:gfxdata="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sSJQgNIAAAAFAQAADwAAAAAAAAABACAAAAAiAAAAZHJzL2Rv&#10;d25yZXYueG1sUEsBAhQAFAAAAAgAh07iQNOLoFpAAgAAXQQAAA4AAAAAAAAAAQAgAAAAIQEAAGRy&#10;cy9lMm9Eb2MueG1sUEsFBgAAAAAGAAYAWQEAANMFAAAAAA==&#10;">
                  <v:fill on="f" focussize="0,0"/>
                  <v:stroke weight="1pt" color="#000000 [3213]" miterlimit="8" joinstyle="miter" endarrow="block"/>
                  <v:imagedata o:title=""/>
                  <o:lock v:ext="edit" aspectratio="f"/>
                </v:shape>
                <v:shape id="_x0000_s1026" o:spid="_x0000_s1026" o:spt="32" type="#_x0000_t32" style="position:absolute;left:2145665;top:1547495;flip:y;height:635;width:388620;" filled="f" stroked="t" coordsize="21600,21600" o:gfxdata="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xIlCA0gAAAAUBAAAPAAAAAAAAAAEAIAAAACIAAABkcnMvZG93bnJldi54bWxQSwEC&#10;FAAUAAAACACHTuJAu7kdjjMCAAA3BAAADgAAAAAAAAABACAAAAAhAQAAZHJzL2Uyb0RvYy54bWxQ&#10;SwUGAAAAAAYABgBZAQAAxgUAAAAA&#10;">
                  <v:fill on="f" focussize="0,0"/>
                  <v:stroke weight="1pt" color="#000000 [3213]" miterlimit="8" joinstyle="miter" endarrow="block"/>
                  <v:imagedata o:title=""/>
                  <o:lock v:ext="edit" aspectratio="f"/>
                </v:shape>
                <v:shape id="_x0000_s1026" o:spid="_x0000_s1026" o:spt="32" type="#_x0000_t32" style="position:absolute;left:3374390;top:1547495;flip:y;height:635;width:388620;" filled="f" stroked="t" coordsize="21600,21600" o:gfxdata="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EiUIDSAAAABQEAAA8AAAAAAAAAAQAgAAAAIgAAAGRycy9kb3ducmV2LnhtbFBLAQIU&#10;ABQAAAAIAIdO4kBi4giDMgIAADcEAAAOAAAAAAAAAAEAIAAAACEBAABkcnMvZTJvRG9jLnhtbFBL&#10;BQYAAAAABgAGAFkBAADFBQAAAAA=&#10;">
                  <v:fill on="f" focussize="0,0"/>
                  <v:stroke weight="1pt" color="#000000 [3213]" miterlimit="8" joinstyle="miter" endarrow="block"/>
                  <v:imagedata o:title=""/>
                  <o:lock v:ext="edit" aspectratio="f"/>
                </v:shape>
                <v:rect id="_x0000_s1026" o:spid="_x0000_s1026" o:spt="1" style="position:absolute;left:3764280;top:1313815;height:467995;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6U1hwNQAAAAFAQAADwAAAAAAAAAB&#10;ACAAAAAiAAAAZHJzL2Rvd25yZXYueG1sUEsBAhQAFAAAAAgAh07iQHl2WSOGAgAADAUAAA4AAAAA&#10;AAAAAQAgAAAAIwEAAGRycy9lMm9Eb2MueG1sUEsFBgAAAAAGAAYAWQEAABsGA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金属结构安装</w:t>
                        </w:r>
                      </w:p>
                    </w:txbxContent>
                  </v:textbox>
                </v:rect>
                <v:shape id="_x0000_s1026" o:spid="_x0000_s1026" o:spt="32" type="#_x0000_t32" style="position:absolute;left:4578985;top:1539240;flip:y;height:635;width:388620;" filled="f" stroked="t" coordsize="21600,21600" o:gfxdata="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xIlCA0gAAAAUBAAAPAAAAAAAAAAEAIAAAACIAAABkcnMvZG93bnJldi54bWxQSwEC&#10;FAAUAAAACACHTuJAhc/jHjMCAAA3BAAADgAAAAAAAAABACAAAAAhAQAAZHJzL2Uyb0RvYy54bWxQ&#10;SwUGAAAAAAYABgBZAQAAxgUAAAAA&#10;">
                  <v:fill on="f" focussize="0,0"/>
                  <v:stroke weight="1pt" color="#000000 [3213]" miterlimit="8" joinstyle="miter" endarrow="block"/>
                  <v:imagedata o:title=""/>
                  <o:lock v:ext="edit" aspectratio="f"/>
                </v:shape>
                <v:rect id="_x0000_s1026" o:spid="_x0000_s1026" o:spt="1" style="position:absolute;left:4974590;top:1304925;height:467995;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6U1hwNQAAAAFAQAADwAAAAAAAAAB&#10;ACAAAAAiAAAAZHJzL2Rvd25yZXYueG1sUEsBAhQAFAAAAAgAh07iQA8Eq42GAgAADAUAAA4AAAAA&#10;AAAAAQAgAAAAIwEAAGRycy9lMm9Eb2MueG1sUEsFBgAAAAAGAAYAWQEAABsGA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运行</w:t>
                        </w:r>
                      </w:p>
                    </w:txbxContent>
                  </v:textbox>
                </v:rect>
                <v:shape id="_x0000_s1026" o:spid="_x0000_s1026" o:spt="32" type="#_x0000_t32" style="position:absolute;left:326390;top:1114425;flip:y;height:635;width:388620;rotation:5898240f;" filled="f" stroked="t" coordsize="21600,21600" o:gfxdata="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67ygq1wAAAAUBAAAPAAAAAAAAAAEAIAAAACIAAABkcnMvZG93bnJl&#10;di54bWxQSwECFAAUAAAACACHTuJA1ZXq7TcCAABFBAAADgAAAAAAAAABACAAAAAmAQAAZHJzL2Uy&#10;b0RvYy54bWxQSwUGAAAAAAYABgBZAQAAzwUAAAAA&#10;">
                  <v:fill on="f" focussize="0,0"/>
                  <v:stroke weight="1pt" color="#000000 [3213]" miterlimit="8" joinstyle="miter" endarrow="block"/>
                  <v:imagedata o:title=""/>
                  <o:lock v:ext="edit" aspectratio="f"/>
                </v:shape>
                <v:shape id="_x0000_s1026" o:spid="_x0000_s1026" o:spt="32" type="#_x0000_t32" style="position:absolute;left:1556385;top:1115060;flip:y;height:635;width:388620;rotation:5898240f;" filled="f" stroked="t" coordsize="21600,21600" o:gfxdata="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u8oKtcAAAAFAQAADwAAAAAAAAABACAAAAAiAAAAZHJzL2Rvd25y&#10;ZXYueG1sUEsBAhQAFAAAAAgAh07iQMzx+8M4AgAARgQAAA4AAAAAAAAAAQAgAAAAJgEAAGRycy9l&#10;Mm9Eb2MueG1sUEsFBgAAAAAGAAYAWQEAANAFAAAAAA==&#10;">
                  <v:fill on="f" focussize="0,0"/>
                  <v:stroke weight="1pt" color="#000000 [3213]" miterlimit="8" joinstyle="miter" endarrow="block"/>
                  <v:imagedata o:title=""/>
                  <o:lock v:ext="edit" aspectratio="f"/>
                </v:shape>
                <v:shape id="_x0000_s1026" o:spid="_x0000_s1026" o:spt="32" type="#_x0000_t32" style="position:absolute;left:2803525;top:1123950;flip:y;height:635;width:388620;rotation:5898240f;" filled="f" stroked="t" coordsize="21600,21600" o:gfxdata="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67ygq1wAAAAUBAAAPAAAAAAAAAAEAIAAAACIAAABkcnMvZG93&#10;bnJldi54bWxQSwECFAAUAAAACACHTuJAjum8XToCAABGBAAADgAAAAAAAAABACAAAAAmAQAAZHJz&#10;L2Uyb0RvYy54bWxQSwUGAAAAAAYABgBZAQAA0gUAAAAA&#10;">
                  <v:fill on="f" focussize="0,0"/>
                  <v:stroke weight="1pt" color="#000000 [3213]" miterlimit="8" joinstyle="miter" endarrow="block"/>
                  <v:imagedata o:title=""/>
                  <o:lock v:ext="edit" aspectratio="f"/>
                </v:shape>
                <v:shape id="_x0000_s1026" o:spid="_x0000_s1026" o:spt="32" type="#_x0000_t32" style="position:absolute;left:3981450;top:1123315;flip:y;height:635;width:388620;rotation:5898240f;" filled="f" stroked="t" coordsize="21600,21600" o:gfxdata="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rvKCrXAAAABQEAAA8AAAAAAAAAAQAgAAAAIgAAAGRycy9kb3du&#10;cmV2LnhtbFBLAQIUABQAAAAIAIdO4kCAOsIAOQIAAEYEAAAOAAAAAAAAAAEAIAAAACYBAABkcnMv&#10;ZTJvRG9jLnhtbFBLBQYAAAAABgAGAFkBAADRBQAAAAA=&#10;">
                  <v:fill on="f" focussize="0,0"/>
                  <v:stroke weight="1pt" color="#000000 [3213]" miterlimit="8" joinstyle="miter" endarrow="block"/>
                  <v:imagedata o:title=""/>
                  <o:lock v:ext="edit" aspectratio="f"/>
                </v:shape>
                <v:shape id="_x0000_s1026" o:spid="_x0000_s1026" o:spt="32" type="#_x0000_t32" style="position:absolute;left:5193030;top:1115060;flip:y;height:635;width:388620;rotation:5898240f;" filled="f" stroked="t" coordsize="21600,21600" o:gfxdata="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rvKCrXAAAABQEAAA8AAAAAAAAAAQAgAAAAIgAAAGRycy9kb3du&#10;cmV2LnhtbFBLAQIUABQAAAAIAIdO4kAUXGUxOQIAAEYEAAAOAAAAAAAAAAEAIAAAACYBAABkcnMv&#10;ZTJvRG9jLnhtbFBLBQYAAAAABgAGAFkBAADRBQAAAAA=&#10;">
                  <v:fill on="f" focussize="0,0"/>
                  <v:stroke weight="1pt" color="#000000 [3213]" miterlimit="8" joinstyle="miter" endarrow="block"/>
                  <v:imagedata o:title=""/>
                  <o:lock v:ext="edit" aspectratio="f"/>
                </v:shape>
                <v:rect id="_x0000_s1026" o:spid="_x0000_s1026" o:spt="1" style="position:absolute;left:110490;top:257810;height:666750;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lNYcDUAAAABQEAAA8AAAAAAAAAAQAg&#10;AAAAIgAAAGRycy9kb3ducmV2LnhtbFBLAQIUABQAAAAIAIdO4kABFL3XhAIAAAoFAAAOAAAAAAAA&#10;AAEAIAAAACMBAABkcnMvZTJvRG9jLnhtbFBLBQYAAAAABgAGAFkBAAAZBg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噪声、尾气</w:t>
                        </w:r>
                      </w:p>
                    </w:txbxContent>
                  </v:textbox>
                </v:rect>
                <v:rect id="_x0000_s1026" o:spid="_x0000_s1026" o:spt="1" style="position:absolute;left:1357630;top:266065;height:666750;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6U1hwNQAAAAFAQAADwAAAAAAAAAB&#10;ACAAAAAiAAAAZHJzL2Rvd25yZXYueG1sUEsBAhQAFAAAAAgAh07iQAQ11TWGAgAACwUAAA4AAAAA&#10;AAAAAQAgAAAAIwEAAGRycy9lMm9Eb2MueG1sUEsFBgAAAAAGAAYAWQEAABsGA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噪声、尾气、固体废物</w:t>
                        </w:r>
                      </w:p>
                    </w:txbxContent>
                  </v:textbox>
                </v:rect>
                <v:rect id="_x0000_s1026" o:spid="_x0000_s1026" o:spt="1" style="position:absolute;left:2595880;top:266065;height:666750;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pTWHA1AAAAAUBAAAPAAAAAAAAAAEA&#10;IAAAACIAAABkcnMvZG93bnJldi54bWxQSwECFAAUAAAACACHTuJAmT/1XIUCAAALBQAADgAAAAAA&#10;AAABACAAAAAjAQAAZHJzL2Uyb0RvYy54bWxQSwUGAAAAAAYABgBZAQAAGgY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生产废水、噪声、尾气</w:t>
                        </w:r>
                      </w:p>
                    </w:txbxContent>
                  </v:textbox>
                </v:rect>
                <v:rect id="_x0000_s1026" o:spid="_x0000_s1026" o:spt="1" style="position:absolute;left:3781425;top:257810;height:666750;width:81470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pTWHA1AAAAAUBAAAPAAAAAAAAAAEAIAAA&#10;ACIAAABkcnMvZG93bnJldi54bWxQSwECFAAUAAAACACHTuJAxAlGtIICAAALBQAADgAAAAAAAAAB&#10;ACAAAAAjAQAAZHJzL2Uyb0RvYy54bWxQSwUGAAAAAAYABgBZAQAAFwY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噪声、尾气、包装废弃物</w:t>
                        </w:r>
                      </w:p>
                    </w:txbxContent>
                  </v:textbox>
                </v:rect>
                <v:rect id="_x0000_s1026" o:spid="_x0000_s1026" o:spt="1" style="position:absolute;left:4856480;top:240030;height:666750;width:987425;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6U1hwNQAAAAFAQAADwAAAAAAAAAB&#10;ACAAAAAiAAAAZHJzL2Rvd25yZXYueG1sUEsBAhQAFAAAAAgAh07iQGhHZAyGAgAACwUAAA4AAAAA&#10;AAAAAQAgAAAAIwEAAGRycy9lMm9Eb2MueG1sUEsFBgAAAAAGAAYAWQEAABsGA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管理人员生活污水及生活垃圾</w:t>
                        </w:r>
                      </w:p>
                    </w:txbxContent>
                  </v:textbox>
                </v:rect>
                <v:line id="_x0000_s1026" o:spid="_x0000_s1026" o:spt="20" style="position:absolute;left:521970;top:1772285;flip:x;height:311150;width:1270;" filled="f" stroked="t" coordsize="21600,21600" o:gfxdata="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e8zRtQAAAAFAQAADwAAAAAAAAABACAAAAAiAAAAZHJz&#10;L2Rvd25yZXYueG1sUEsBAhQAFAAAAAgAh07iQC4125gIAgAA8gMAAA4AAAAAAAAAAQAgAAAAIwEA&#10;AGRycy9lMm9Eb2MueG1sUEsFBgAAAAAGAAYAWQEAAJ0FAAAAAA==&#10;">
                  <v:fill on="f" focussize="0,0"/>
                  <v:stroke weight="1pt" color="#000000 [3213]" miterlimit="8" joinstyle="miter"/>
                  <v:imagedata o:title=""/>
                  <o:lock v:ext="edit" aspectratio="f"/>
                </v:line>
                <v:line id="_x0000_s1026" o:spid="_x0000_s1026" o:spt="20" style="position:absolute;left:4178300;top:1790065;flip:x;height:295910;width:3175;" filled="f" stroked="t" coordsize="21600,21600" o:gfxdata="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nvM0bUAAAABQEAAA8AAAAAAAAAAQAgAAAAIgAAAGRycy9kb3ducmV2Lnht&#10;bFBLAQIUABQAAAAIAIdO4kCrKDOE/QEAAMwDAAAOAAAAAAAAAAEAIAAAACMBAABkcnMvZTJvRG9j&#10;LnhtbFBLBQYAAAAABgAGAFkBAACSBQAAAAA=&#10;">
                  <v:fill on="f" focussize="0,0"/>
                  <v:stroke weight="1pt" color="#000000 [3213]" miterlimit="8" joinstyle="miter"/>
                  <v:imagedata o:title=""/>
                  <o:lock v:ext="edit" aspectratio="f"/>
                </v:line>
                <v:line id="_x0000_s1026" o:spid="_x0000_s1026" o:spt="20" style="position:absolute;left:521970;top:2074545;height:5080;width:3662680;" filled="f" stroked="t" coordsize="21600,21600" o:gfxdata="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PpWwU3WAAAABQEAAA8AAAAAAAAAAQAgAAAAIgAAAGRycy9kb3ducmV2LnhtbFBLAQIUABQA&#10;AAAIAIdO4kCurKgN8gEAAMIDAAAOAAAAAAAAAAEAIAAAACUBAABkcnMvZTJvRG9jLnhtbFBLBQYA&#10;AAAABgAGAFkBAACJBQAAAAA=&#10;">
                  <v:fill on="f" focussize="0,0"/>
                  <v:stroke weight="1pt" color="#000000 [3213]" miterlimit="8" joinstyle="miter"/>
                  <v:imagedata o:title=""/>
                  <o:lock v:ext="edit" aspectratio="f"/>
                </v:line>
                <v:shape id="_x0000_s1026" o:spid="_x0000_s1026" o:spt="32" type="#_x0000_t32" style="position:absolute;left:2043430;top:2284095;flip:y;height:635;width:388620;rotation:-5898240f;" filled="f" stroked="t" coordsize="21600,21600" o:gfxdata="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OQxEWdgAAAAFAQAADwAAAAAAAAABACAAAAAiAAAAZHJzL2Rv&#10;d25yZXYueG1sUEsBAhQAFAAAAAgAh07iQMIfXbE6AgAARQQAAA4AAAAAAAAAAQAgAAAAJwEAAGRy&#10;cy9lMm9Eb2MueG1sUEsFBgAAAAAGAAYAWQEAANMFAAAAAA==&#10;">
                  <v:fill on="f" focussize="0,0"/>
                  <v:stroke weight="1pt" color="#000000 [3213]" miterlimit="8" joinstyle="miter" endarrow="block"/>
                  <v:imagedata o:title=""/>
                  <o:lock v:ext="edit" aspectratio="f"/>
                </v:shape>
                <v:line id="_x0000_s1026" o:spid="_x0000_s1026" o:spt="20" style="position:absolute;left:1717040;top:1765300;flip:x;height:311150;width:1270;" filled="f" stroked="t" coordsize="21600,21600" o:gfxdata="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We8zRtQAAAAFAQAADwAAAAAAAAABACAAAAAiAAAAZHJzL2Rvd25yZXYueG1sUEsBAhQA&#10;FAAAAAgAh07iQMPKyTT2AQAAzAMAAA4AAAAAAAAAAQAgAAAAIwEAAGRycy9lMm9Eb2MueG1sUEsF&#10;BgAAAAAGAAYAWQEAAIsFAAAAAA==&#10;">
                  <v:fill on="f" focussize="0,0"/>
                  <v:stroke weight="1pt" color="#000000 [3213]" miterlimit="8" joinstyle="miter"/>
                  <v:imagedata o:title=""/>
                  <o:lock v:ext="edit" aspectratio="f"/>
                </v:line>
                <v:line id="_x0000_s1026" o:spid="_x0000_s1026" o:spt="20" style="position:absolute;left:2997835;top:1778635;height:283210;width:4445;" filled="f" stroked="t" coordsize="21600,21600" o:gfxdata="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lbBTdYAAAAFAQAADwAAAAAAAAABACAAAAAiAAAAZHJzL2Rvd25yZXYueG1sUEsBAhQA&#10;FAAAAAgAh07iQIu6T4j0AQAAwgMAAA4AAAAAAAAAAQAgAAAAJQEAAGRycy9lMm9Eb2MueG1sUEsF&#10;BgAAAAAGAAYAWQEAAIsFAAAAAA==&#10;">
                  <v:fill on="f" focussize="0,0"/>
                  <v:stroke weight="1pt" color="#000000 [3213]" miterlimit="8" joinstyle="miter"/>
                  <v:imagedata o:title=""/>
                  <o:lock v:ext="edit" aspectratio="f"/>
                </v:line>
                <v:rect id="_x0000_s1026" o:spid="_x0000_s1026" o:spt="1" style="position:absolute;left:1284605;top:2501900;height:590550;width:1918970;v-text-anchor:middle;" fillcolor="#C8D6E6" filled="t" stroked="t" coordsize="21600,21600" o:gfxdata="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6U1hwNQAAAAFAQAADwAAAAAAAAAB&#10;ACAAAAAiAAAAZHJzL2Rvd25yZXYueG1sUEsBAhQAFAAAAAgAh07iQC4wgu2GAgAADQUAAA4AAAAA&#10;AAAAAQAgAAAAIwEAAGRycy9lMm9Eb2MueG1sUEsFBgAAAAAGAAYAWQEAABsGAAAAAA==&#10;">
                  <v:fill on="t" focussize="0,0"/>
                  <v:stroke weight="1pt" color="#000000 [3213]" miterlimit="8" joinstyle="miter"/>
                  <v:imagedata o:title=""/>
                  <o:lock v:ext="edit" aspectratio="f"/>
                  <v:textbox>
                    <w:txbxContent>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施工人员生活污水生活垃圾及机械清洗等生产废水</w:t>
                        </w:r>
                      </w:p>
                    </w:txbxContent>
                  </v:textbox>
                </v:rect>
                <w10:wrap type="none"/>
                <w10:anchorlock/>
              </v:group>
            </w:pict>
          </mc:Fallback>
        </mc:AlternateContent>
      </w:r>
    </w:p>
    <w:p>
      <w:pPr>
        <w:tabs>
          <w:tab w:val="left" w:pos="840"/>
          <w:tab w:val="right" w:leader="dot" w:pos="8820"/>
        </w:tabs>
        <w:autoSpaceDE/>
        <w:autoSpaceDN/>
        <w:adjustRightInd w:val="0"/>
        <w:snapToGrid w:val="0"/>
        <w:spacing w:line="360" w:lineRule="auto"/>
        <w:jc w:val="center"/>
        <w:textAlignment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图2.6-2建筑物工程施工工艺流程及产污环节图</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工艺流程简述：</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（1）节制闸、分水闸</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14:textFill>
            <w14:solidFill>
              <w14:schemeClr w14:val="tx1"/>
            </w14:solidFill>
          </w14:textFill>
        </w:rPr>
        <w:t>本工程渠道规模较小，分水闸、节制闸采用测控一体化闸结构型式，闸室结构简单，</w:t>
      </w:r>
      <w:r>
        <w:rPr>
          <w:color w:val="000000" w:themeColor="text1"/>
          <w:kern w:val="0"/>
          <w:sz w:val="24"/>
          <w:szCs w:val="24"/>
          <w14:textFill>
            <w14:solidFill>
              <w14:schemeClr w14:val="tx1"/>
            </w14:solidFill>
          </w14:textFill>
        </w:rPr>
        <w:t>设备一体化程度高，施工较为便捷。</w:t>
      </w:r>
    </w:p>
    <w:p>
      <w:pPr>
        <w:pStyle w:val="130"/>
        <w:rPr>
          <w:rFonts w:cs="Times New Roman"/>
          <w:color w:val="000000" w:themeColor="text1"/>
          <w14:textFill>
            <w14:solidFill>
              <w14:schemeClr w14:val="tx1"/>
            </w14:solidFill>
          </w14:textFill>
        </w:rPr>
      </w:pPr>
      <w:r>
        <w:rPr>
          <w:rFonts w:cs="Times New Roman"/>
          <w:color w:val="000000" w:themeColor="text1"/>
          <w:kern w:val="0"/>
          <w:szCs w:val="24"/>
          <w14:textFill>
            <w14:solidFill>
              <w14:schemeClr w14:val="tx1"/>
            </w14:solidFill>
          </w14:textFill>
        </w:rPr>
        <w:t>①</w:t>
      </w:r>
      <w:r>
        <w:rPr>
          <w:rFonts w:cs="Times New Roman"/>
          <w:color w:val="000000" w:themeColor="text1"/>
          <w14:textFill>
            <w14:solidFill>
              <w14:schemeClr w14:val="tx1"/>
            </w14:solidFill>
          </w14:textFill>
        </w:rPr>
        <w:t>清基</w:t>
      </w:r>
    </w:p>
    <w:p>
      <w:pPr>
        <w:pStyle w:val="13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采用1.0m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挖掘机沿设计开挖线开挖，74kW推土机配合集料，10t自卸汽车运输至工程区指定位置处理。</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②土石方开挖</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土方开挖采用1.0m</w:t>
      </w:r>
      <w:r>
        <w:rPr>
          <w:color w:val="000000" w:themeColor="text1"/>
          <w:kern w:val="0"/>
          <w:sz w:val="24"/>
          <w:szCs w:val="24"/>
          <w:vertAlign w:val="superscript"/>
          <w14:textFill>
            <w14:solidFill>
              <w14:schemeClr w14:val="tx1"/>
            </w14:solidFill>
          </w14:textFill>
        </w:rPr>
        <w:t>3</w:t>
      </w:r>
      <w:r>
        <w:rPr>
          <w:color w:val="000000" w:themeColor="text1"/>
          <w:kern w:val="0"/>
          <w:sz w:val="24"/>
          <w:szCs w:val="24"/>
          <w14:textFill>
            <w14:solidFill>
              <w14:schemeClr w14:val="tx1"/>
            </w14:solidFill>
          </w14:textFill>
        </w:rPr>
        <w:t>挖掘机沿设计开挖线开挖，74kW推土机配合集料，10t自卸汽车运输，开挖料全部用于自身回填，暂堆存至工作面附近，待混凝土施工完成后，再运送至填筑工作面，平均运距0.3km。</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③土石方填筑</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利用开挖弃土料，50%直接利用，50%</w:t>
      </w:r>
      <w:r>
        <w:rPr>
          <w:rFonts w:hint="eastAsia"/>
          <w:color w:val="000000" w:themeColor="text1"/>
          <w:kern w:val="0"/>
          <w:sz w:val="24"/>
          <w:szCs w:val="24"/>
          <w:lang w:val="en-US" w:eastAsia="zh-CN"/>
          <w14:textFill>
            <w14:solidFill>
              <w14:schemeClr w14:val="tx1"/>
            </w14:solidFill>
          </w14:textFill>
        </w:rPr>
        <w:t>回填</w:t>
      </w:r>
      <w:r>
        <w:rPr>
          <w:color w:val="000000" w:themeColor="text1"/>
          <w:kern w:val="0"/>
          <w:sz w:val="24"/>
          <w:szCs w:val="24"/>
          <w14:textFill>
            <w14:solidFill>
              <w14:schemeClr w14:val="tx1"/>
            </w14:solidFill>
          </w14:textFill>
        </w:rPr>
        <w:t>。</w:t>
      </w:r>
      <w:r>
        <w:rPr>
          <w:rFonts w:hint="eastAsia"/>
          <w:color w:val="000000" w:themeColor="text1"/>
          <w:kern w:val="0"/>
          <w:sz w:val="24"/>
          <w:szCs w:val="24"/>
          <w:lang w:val="en-US" w:eastAsia="zh-CN"/>
          <w14:textFill>
            <w14:solidFill>
              <w14:schemeClr w14:val="tx1"/>
            </w14:solidFill>
          </w14:textFill>
        </w:rPr>
        <w:t>回填</w:t>
      </w:r>
      <w:r>
        <w:rPr>
          <w:color w:val="000000" w:themeColor="text1"/>
          <w:kern w:val="0"/>
          <w:sz w:val="24"/>
          <w:szCs w:val="24"/>
          <w14:textFill>
            <w14:solidFill>
              <w14:schemeClr w14:val="tx1"/>
            </w14:solidFill>
          </w14:textFill>
        </w:rPr>
        <w:t>部分由0.5~1.0m，液压挖掘机装2.5t自卸汽车运输。薄</w:t>
      </w:r>
      <w:r>
        <w:rPr>
          <w:rFonts w:hint="eastAsia"/>
          <w:color w:val="000000" w:themeColor="text1"/>
          <w:kern w:val="0"/>
          <w:sz w:val="24"/>
          <w:szCs w:val="24"/>
          <w14:textFill>
            <w14:solidFill>
              <w14:schemeClr w14:val="tx1"/>
            </w14:solidFill>
          </w14:textFill>
        </w:rPr>
        <w:t>层铺料，小型手扶式振动碾、蛙式打夯机夯实。</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④混凝土浇筑</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混凝土采用商品混凝土，胶轮车运输至工作面，经溜槽入仓，组合钢模，插入式振捣器捣实。</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rFonts w:hint="eastAsia" w:ascii="宋体" w:hAnsi="宋体" w:cs="宋体"/>
          <w:color w:val="000000" w:themeColor="text1"/>
          <w:kern w:val="0"/>
          <w:sz w:val="24"/>
          <w:szCs w:val="24"/>
          <w14:textFill>
            <w14:solidFill>
              <w14:schemeClr w14:val="tx1"/>
            </w14:solidFill>
          </w14:textFill>
        </w:rPr>
        <w:t>⑤</w:t>
      </w:r>
      <w:r>
        <w:rPr>
          <w:rFonts w:hint="eastAsia"/>
          <w:color w:val="000000" w:themeColor="text1"/>
          <w:kern w:val="0"/>
          <w:sz w:val="24"/>
          <w:szCs w:val="24"/>
          <w14:textFill>
            <w14:solidFill>
              <w14:schemeClr w14:val="tx1"/>
            </w14:solidFill>
          </w14:textFill>
        </w:rPr>
        <w:t>金属结构制作安装</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金属结构均在专业厂家制作，汽车运至现场，起重机或扒杆吊装就位。为保证不影响工程施工进度，闸门埋件应提前运输至现场，与门槽一、二期砼一同浇筑、安装。</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（2）箱涵</w:t>
      </w:r>
    </w:p>
    <w:p>
      <w:pPr>
        <w:tabs>
          <w:tab w:val="left" w:pos="840"/>
          <w:tab w:val="right" w:leader="dot" w:pos="8820"/>
        </w:tabs>
        <w:autoSpaceDE/>
        <w:autoSpaceDN/>
        <w:snapToGrid w:val="0"/>
        <w:spacing w:line="360" w:lineRule="auto"/>
        <w:ind w:firstLine="480" w:firstLineChars="200"/>
        <w:jc w:val="both"/>
        <w:textAlignment w:val="center"/>
        <w:rPr>
          <w:rFonts w:ascii="宋体" w:hAnsi="宋体" w:cs="宋体"/>
          <w:color w:val="000000" w:themeColor="text1"/>
          <w:kern w:val="0"/>
          <w:sz w:val="24"/>
          <w:szCs w:val="24"/>
          <w:lang w:val="zh-CN"/>
          <w14:textFill>
            <w14:solidFill>
              <w14:schemeClr w14:val="tx1"/>
            </w14:solidFill>
          </w14:textFill>
        </w:rPr>
      </w:pPr>
      <w:r>
        <w:rPr>
          <w:rFonts w:ascii="宋体" w:hAnsi="宋体" w:cs="宋体"/>
          <w:color w:val="000000" w:themeColor="text1"/>
          <w:kern w:val="0"/>
          <w:sz w:val="24"/>
          <w:szCs w:val="24"/>
          <w:lang w:val="zh-CN"/>
          <w14:textFill>
            <w14:solidFill>
              <w14:schemeClr w14:val="tx1"/>
            </w14:solidFill>
          </w14:textFill>
        </w:rPr>
        <w:t>①</w:t>
      </w:r>
      <w:r>
        <w:rPr>
          <w:rFonts w:hint="eastAsia" w:ascii="宋体" w:hAnsi="宋体" w:cs="宋体"/>
          <w:color w:val="000000" w:themeColor="text1"/>
          <w:kern w:val="0"/>
          <w:sz w:val="24"/>
          <w:szCs w:val="24"/>
          <w:lang w:val="zh-CN"/>
          <w14:textFill>
            <w14:solidFill>
              <w14:schemeClr w14:val="tx1"/>
            </w14:solidFill>
          </w14:textFill>
        </w:rPr>
        <w:t>旧涵拆除</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lang w:val="zh-CN"/>
          <w14:textFill>
            <w14:solidFill>
              <w14:schemeClr w14:val="tx1"/>
            </w14:solidFill>
          </w14:textFill>
        </w:rPr>
        <w:t>采用1.0m</w:t>
      </w:r>
      <w:r>
        <w:rPr>
          <w:rFonts w:hint="eastAsia"/>
          <w:color w:val="000000" w:themeColor="text1"/>
          <w:kern w:val="0"/>
          <w:sz w:val="24"/>
          <w:szCs w:val="24"/>
          <w:vertAlign w:val="superscript"/>
          <w14:textFill>
            <w14:solidFill>
              <w14:schemeClr w14:val="tx1"/>
            </w14:solidFill>
          </w14:textFill>
        </w:rPr>
        <w:t>3</w:t>
      </w:r>
      <w:r>
        <w:rPr>
          <w:rFonts w:hint="eastAsia"/>
          <w:color w:val="000000" w:themeColor="text1"/>
          <w:kern w:val="0"/>
          <w:sz w:val="24"/>
          <w:szCs w:val="24"/>
          <w:lang w:val="zh-CN"/>
          <w14:textFill>
            <w14:solidFill>
              <w14:schemeClr w14:val="tx1"/>
            </w14:solidFill>
          </w14:textFill>
        </w:rPr>
        <w:t>挖掘机拆除，74kW推土机配合集料，10t自卸汽车运输至消纳场，北支一渠（上）平均运距1km，南五、南六支渠平均运距20km。</w:t>
      </w:r>
    </w:p>
    <w:p>
      <w:pPr>
        <w:tabs>
          <w:tab w:val="left" w:pos="840"/>
          <w:tab w:val="right" w:leader="dot" w:pos="8820"/>
        </w:tabs>
        <w:autoSpaceDE/>
        <w:autoSpaceDN/>
        <w:snapToGrid w:val="0"/>
        <w:spacing w:line="360" w:lineRule="auto"/>
        <w:ind w:firstLine="480" w:firstLineChars="200"/>
        <w:jc w:val="both"/>
        <w:textAlignment w:val="center"/>
        <w:rPr>
          <w:rFonts w:ascii="宋体" w:hAnsi="宋体" w:cs="宋体"/>
          <w:color w:val="000000" w:themeColor="text1"/>
          <w:kern w:val="0"/>
          <w:sz w:val="24"/>
          <w:szCs w:val="24"/>
          <w:lang w:val="zh-CN"/>
          <w14:textFill>
            <w14:solidFill>
              <w14:schemeClr w14:val="tx1"/>
            </w14:solidFill>
          </w14:textFill>
        </w:rPr>
      </w:pPr>
      <w:r>
        <w:rPr>
          <w:rFonts w:ascii="宋体" w:hAnsi="宋体" w:cs="宋体"/>
          <w:color w:val="000000" w:themeColor="text1"/>
          <w:kern w:val="0"/>
          <w:sz w:val="24"/>
          <w:szCs w:val="24"/>
          <w:lang w:val="zh-CN"/>
          <w14:textFill>
            <w14:solidFill>
              <w14:schemeClr w14:val="tx1"/>
            </w14:solidFill>
          </w14:textFill>
        </w:rPr>
        <w:t>②</w:t>
      </w:r>
      <w:r>
        <w:rPr>
          <w:rFonts w:hint="eastAsia" w:ascii="宋体" w:hAnsi="宋体" w:cs="宋体"/>
          <w:color w:val="000000" w:themeColor="text1"/>
          <w:kern w:val="0"/>
          <w:sz w:val="24"/>
          <w:szCs w:val="24"/>
          <w:lang w:val="zh-CN"/>
          <w14:textFill>
            <w14:solidFill>
              <w14:schemeClr w14:val="tx1"/>
            </w14:solidFill>
          </w14:textFill>
        </w:rPr>
        <w:t>土方开挖</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lang w:val="zh-CN"/>
          <w14:textFill>
            <w14:solidFill>
              <w14:schemeClr w14:val="tx1"/>
            </w14:solidFill>
          </w14:textFill>
        </w:rPr>
        <w:t>采用1.0m</w:t>
      </w:r>
      <w:r>
        <w:rPr>
          <w:rFonts w:hint="eastAsia"/>
          <w:color w:val="000000" w:themeColor="text1"/>
          <w:kern w:val="0"/>
          <w:sz w:val="24"/>
          <w:szCs w:val="24"/>
          <w:vertAlign w:val="superscript"/>
          <w14:textFill>
            <w14:solidFill>
              <w14:schemeClr w14:val="tx1"/>
            </w14:solidFill>
          </w14:textFill>
        </w:rPr>
        <w:t>3</w:t>
      </w:r>
      <w:r>
        <w:rPr>
          <w:rFonts w:hint="eastAsia"/>
          <w:color w:val="000000" w:themeColor="text1"/>
          <w:kern w:val="0"/>
          <w:sz w:val="24"/>
          <w:szCs w:val="24"/>
          <w:lang w:val="zh-CN"/>
          <w14:textFill>
            <w14:solidFill>
              <w14:schemeClr w14:val="tx1"/>
            </w14:solidFill>
          </w14:textFill>
        </w:rPr>
        <w:t>挖掘机开挖，10t自卸汽车运输就近堆存。开挖时考虑预留施工宽度，根据现场土质情况，确保开挖边坡稳定，必要时采用钢板桩支撑，开挖至设计高程+0.2m左右时采用人工清理整平，整平到位后夯实。基坑四周设置排水沟，对角位置设置集水井用水泵及时抽水，保持基坑内无积水。</w:t>
      </w:r>
    </w:p>
    <w:p>
      <w:pPr>
        <w:tabs>
          <w:tab w:val="left" w:pos="840"/>
          <w:tab w:val="right" w:leader="dot" w:pos="8820"/>
        </w:tabs>
        <w:autoSpaceDE/>
        <w:autoSpaceDN/>
        <w:snapToGrid w:val="0"/>
        <w:spacing w:line="360" w:lineRule="auto"/>
        <w:ind w:firstLine="480" w:firstLineChars="200"/>
        <w:jc w:val="both"/>
        <w:textAlignment w:val="center"/>
        <w:rPr>
          <w:rFonts w:ascii="宋体" w:hAnsi="宋体" w:cs="宋体"/>
          <w:color w:val="000000" w:themeColor="text1"/>
          <w:kern w:val="0"/>
          <w:sz w:val="24"/>
          <w:szCs w:val="24"/>
          <w:lang w:val="zh-CN"/>
          <w14:textFill>
            <w14:solidFill>
              <w14:schemeClr w14:val="tx1"/>
            </w14:solidFill>
          </w14:textFill>
        </w:rPr>
      </w:pPr>
      <w:r>
        <w:rPr>
          <w:rFonts w:ascii="宋体" w:hAnsi="宋体" w:cs="宋体"/>
          <w:color w:val="000000" w:themeColor="text1"/>
          <w:kern w:val="0"/>
          <w:sz w:val="24"/>
          <w:szCs w:val="24"/>
          <w:lang w:val="zh-CN"/>
          <w14:textFill>
            <w14:solidFill>
              <w14:schemeClr w14:val="tx1"/>
            </w14:solidFill>
          </w14:textFill>
        </w:rPr>
        <w:t>③</w:t>
      </w:r>
      <w:r>
        <w:rPr>
          <w:rFonts w:hint="eastAsia" w:ascii="宋体" w:hAnsi="宋体" w:cs="宋体"/>
          <w:color w:val="000000" w:themeColor="text1"/>
          <w:kern w:val="0"/>
          <w:sz w:val="24"/>
          <w:szCs w:val="24"/>
          <w:lang w:val="zh-CN"/>
          <w14:textFill>
            <w14:solidFill>
              <w14:schemeClr w14:val="tx1"/>
            </w14:solidFill>
          </w14:textFill>
        </w:rPr>
        <w:t>土方填筑</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lang w:val="zh-CN"/>
          <w14:textFill>
            <w14:solidFill>
              <w14:schemeClr w14:val="tx1"/>
            </w14:solidFill>
          </w14:textFill>
        </w:rPr>
        <w:t>利用开挖料填筑，50%直接利用，50%回填。薄层铺料，小型手扶式振动碾、蛙式打夯机夯实。箱涵回填前应清除箱涵两侧的淤泥、砖块等杂物，沟槽不得有积水，不得回填淤泥腐植土及有机物质。回填时两侧应同时进行，分层夯实，每层松铺厚度控制在20~30cm。</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④</w:t>
      </w:r>
      <w:r>
        <w:rPr>
          <w:rFonts w:hint="eastAsia"/>
          <w:color w:val="000000" w:themeColor="text1"/>
          <w:kern w:val="0"/>
          <w:sz w:val="24"/>
          <w:szCs w:val="24"/>
          <w:lang w:val="zh-CN"/>
          <w14:textFill>
            <w14:solidFill>
              <w14:schemeClr w14:val="tx1"/>
            </w14:solidFill>
          </w14:textFill>
        </w:rPr>
        <w:t>混凝土浇筑</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lang w:val="zh-CN"/>
          <w14:textFill>
            <w14:solidFill>
              <w14:schemeClr w14:val="tx1"/>
            </w14:solidFill>
          </w14:textFill>
        </w:rPr>
        <w:t>利用开挖弃土料，50%直接利用，50%回填。薄层铺料，小型手扶式振动碾、蛙式</w:t>
      </w:r>
      <w:r>
        <w:rPr>
          <w:color w:val="000000" w:themeColor="text1"/>
          <w:kern w:val="0"/>
          <w:sz w:val="24"/>
          <w:szCs w:val="24"/>
          <w:lang w:val="zh-CN"/>
          <w14:textFill>
            <w14:solidFill>
              <w14:schemeClr w14:val="tx1"/>
            </w14:solidFill>
          </w14:textFill>
        </w:rPr>
        <w:t>。</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50" w:name="_Toc70496276"/>
      <w:bookmarkStart w:id="351" w:name="_Toc29161"/>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6</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2</w:t>
      </w:r>
      <w:r>
        <w:rPr>
          <w:rFonts w:eastAsia="黑体"/>
          <w:b/>
          <w:color w:val="000000" w:themeColor="text1"/>
          <w:kern w:val="0"/>
          <w:sz w:val="28"/>
          <w:szCs w:val="24"/>
          <w14:textFill>
            <w14:solidFill>
              <w14:schemeClr w14:val="tx1"/>
            </w14:solidFill>
          </w14:textFill>
        </w:rPr>
        <w:t>施工期环境影响</w:t>
      </w:r>
      <w:r>
        <w:rPr>
          <w:rFonts w:hint="eastAsia" w:eastAsia="黑体"/>
          <w:b/>
          <w:color w:val="000000" w:themeColor="text1"/>
          <w:kern w:val="0"/>
          <w:sz w:val="28"/>
          <w:szCs w:val="24"/>
          <w14:textFill>
            <w14:solidFill>
              <w14:schemeClr w14:val="tx1"/>
            </w14:solidFill>
          </w14:textFill>
        </w:rPr>
        <w:t>因素及源强</w:t>
      </w:r>
      <w:r>
        <w:rPr>
          <w:rFonts w:eastAsia="黑体"/>
          <w:b/>
          <w:color w:val="000000" w:themeColor="text1"/>
          <w:kern w:val="0"/>
          <w:sz w:val="28"/>
          <w:szCs w:val="24"/>
          <w14:textFill>
            <w14:solidFill>
              <w14:schemeClr w14:val="tx1"/>
            </w14:solidFill>
          </w14:textFill>
        </w:rPr>
        <w:t>分析</w:t>
      </w:r>
      <w:bookmarkEnd w:id="350"/>
      <w:bookmarkEnd w:id="351"/>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6</w:t>
      </w:r>
      <w:r>
        <w:rPr>
          <w:b/>
          <w:color w:val="000000" w:themeColor="text1"/>
          <w:kern w:val="0"/>
          <w:sz w:val="24"/>
          <w:szCs w:val="24"/>
          <w14:textFill>
            <w14:solidFill>
              <w14:schemeClr w14:val="tx1"/>
            </w14:solidFill>
          </w14:textFill>
        </w:rPr>
        <w:t>.2.1</w:t>
      </w:r>
      <w:r>
        <w:rPr>
          <w:rFonts w:hint="eastAsia"/>
          <w:b/>
          <w:color w:val="000000" w:themeColor="text1"/>
          <w:kern w:val="0"/>
          <w:sz w:val="24"/>
          <w:szCs w:val="24"/>
          <w14:textFill>
            <w14:solidFill>
              <w14:schemeClr w14:val="tx1"/>
            </w14:solidFill>
          </w14:textFill>
        </w:rPr>
        <w:t>废水</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lang w:val="zh-CN"/>
          <w14:textFill>
            <w14:solidFill>
              <w14:schemeClr w14:val="tx1"/>
            </w14:solidFill>
          </w14:textFill>
        </w:rPr>
        <w:t>施工期间，工程区水污染源主要包括施工生产废水和生活污水两大部分。生产废水主要为施工机械</w:t>
      </w:r>
      <w:r>
        <w:rPr>
          <w:rFonts w:hint="eastAsia"/>
          <w:color w:val="000000" w:themeColor="text1"/>
          <w:kern w:val="0"/>
          <w:sz w:val="24"/>
          <w:szCs w:val="24"/>
          <w14:textFill>
            <w14:solidFill>
              <w14:schemeClr w14:val="tx1"/>
            </w14:solidFill>
          </w14:textFill>
        </w:rPr>
        <w:t>和运输</w:t>
      </w:r>
      <w:r>
        <w:rPr>
          <w:rFonts w:hint="eastAsia"/>
          <w:color w:val="000000" w:themeColor="text1"/>
          <w:kern w:val="0"/>
          <w:sz w:val="24"/>
          <w:szCs w:val="24"/>
          <w:lang w:val="zh-CN"/>
          <w14:textFill>
            <w14:solidFill>
              <w14:schemeClr w14:val="tx1"/>
            </w14:solidFill>
          </w14:textFill>
        </w:rPr>
        <w:t>车辆冲洗废水、</w:t>
      </w:r>
      <w:r>
        <w:rPr>
          <w:rFonts w:hint="eastAsia"/>
          <w:color w:val="000000" w:themeColor="text1"/>
          <w:kern w:val="0"/>
          <w:sz w:val="24"/>
          <w:szCs w:val="24"/>
          <w14:textFill>
            <w14:solidFill>
              <w14:schemeClr w14:val="tx1"/>
            </w14:solidFill>
          </w14:textFill>
        </w:rPr>
        <w:t>混凝土养护废水、基坑废水、渠底清理废水</w:t>
      </w:r>
      <w:r>
        <w:rPr>
          <w:rFonts w:hint="eastAsia"/>
          <w:color w:val="000000" w:themeColor="text1"/>
          <w:kern w:val="0"/>
          <w:sz w:val="24"/>
          <w:szCs w:val="24"/>
          <w:lang w:val="zh-CN"/>
          <w14:textFill>
            <w14:solidFill>
              <w14:schemeClr w14:val="tx1"/>
            </w14:solidFill>
          </w14:textFill>
        </w:rPr>
        <w:t>；生活污水主要来源于施工人员。</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14:textFill>
            <w14:solidFill>
              <w14:schemeClr w14:val="tx1"/>
            </w14:solidFill>
          </w14:textFill>
        </w:rPr>
        <w:t>1、</w:t>
      </w:r>
      <w:r>
        <w:rPr>
          <w:rFonts w:hint="eastAsia"/>
          <w:color w:val="000000" w:themeColor="text1"/>
          <w:kern w:val="0"/>
          <w:sz w:val="24"/>
          <w:szCs w:val="24"/>
          <w:lang w:val="zh-CN"/>
          <w14:textFill>
            <w14:solidFill>
              <w14:schemeClr w14:val="tx1"/>
            </w14:solidFill>
          </w14:textFill>
        </w:rPr>
        <w:t>施工机械、</w:t>
      </w:r>
      <w:r>
        <w:rPr>
          <w:rFonts w:hint="eastAsia"/>
          <w:color w:val="000000" w:themeColor="text1"/>
          <w:kern w:val="0"/>
          <w:sz w:val="24"/>
          <w:szCs w:val="24"/>
          <w14:textFill>
            <w14:solidFill>
              <w14:schemeClr w14:val="tx1"/>
            </w14:solidFill>
          </w14:textFill>
        </w:rPr>
        <w:t>运输车辆清洗</w:t>
      </w:r>
      <w:r>
        <w:rPr>
          <w:rFonts w:hint="eastAsia"/>
          <w:color w:val="000000" w:themeColor="text1"/>
          <w:kern w:val="0"/>
          <w:sz w:val="24"/>
          <w:szCs w:val="24"/>
          <w:lang w:val="zh-CN"/>
          <w14:textFill>
            <w14:solidFill>
              <w14:schemeClr w14:val="tx1"/>
            </w14:solidFill>
          </w14:textFill>
        </w:rPr>
        <w:t>废水</w:t>
      </w:r>
    </w:p>
    <w:p>
      <w:pPr>
        <w:snapToGrid w:val="0"/>
        <w:spacing w:line="360" w:lineRule="auto"/>
        <w:ind w:firstLine="480" w:firstLineChars="200"/>
        <w:jc w:val="both"/>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本项目施工现场不考虑机械大修，施工机械的维修、保养均在附近汽修店进行，施工区内不设置机修场地。施工机械雨天置于施工场地内，工程施工期机械和汽车维护站废水主要来自于机械、汽车的冲洗废水，参照《环境影响评价技术手册水利水电工程》，汽车冲洗设计用水量为</w:t>
      </w:r>
      <w:r>
        <w:rPr>
          <w:rFonts w:cs="宋体"/>
          <w:color w:val="000000" w:themeColor="text1"/>
          <w:sz w:val="24"/>
          <w14:textFill>
            <w14:solidFill>
              <w14:schemeClr w14:val="tx1"/>
            </w14:solidFill>
          </w14:textFill>
        </w:rPr>
        <w:t>0.5m</w:t>
      </w:r>
      <w:r>
        <w:rPr>
          <w:rFonts w:cs="宋体"/>
          <w:color w:val="000000" w:themeColor="text1"/>
          <w:sz w:val="24"/>
          <w:vertAlign w:val="superscript"/>
          <w14:textFill>
            <w14:solidFill>
              <w14:schemeClr w14:val="tx1"/>
            </w14:solidFill>
          </w14:textFill>
        </w:rPr>
        <w:t>3</w:t>
      </w:r>
      <w:r>
        <w:rPr>
          <w:rFonts w:cs="宋体"/>
          <w:color w:val="000000" w:themeColor="text1"/>
          <w:sz w:val="24"/>
          <w14:textFill>
            <w14:solidFill>
              <w14:schemeClr w14:val="tx1"/>
            </w14:solidFill>
          </w14:textFill>
        </w:rPr>
        <w:t>/</w:t>
      </w:r>
      <w:r>
        <w:rPr>
          <w:rFonts w:hint="eastAsia" w:cs="宋体"/>
          <w:color w:val="000000" w:themeColor="text1"/>
          <w:sz w:val="24"/>
          <w14:textFill>
            <w14:solidFill>
              <w14:schemeClr w14:val="tx1"/>
            </w14:solidFill>
          </w14:textFill>
        </w:rPr>
        <w:t>辆</w:t>
      </w:r>
      <w:r>
        <w:rPr>
          <w:rFonts w:cs="宋体"/>
          <w:color w:val="000000" w:themeColor="text1"/>
          <w:sz w:val="24"/>
          <w14:textFill>
            <w14:solidFill>
              <w14:schemeClr w14:val="tx1"/>
            </w14:solidFill>
          </w14:textFill>
        </w:rPr>
        <w:t>·</w:t>
      </w:r>
      <w:r>
        <w:rPr>
          <w:rFonts w:hint="eastAsia" w:cs="宋体"/>
          <w:color w:val="000000" w:themeColor="text1"/>
          <w:sz w:val="24"/>
          <w14:textFill>
            <w14:solidFill>
              <w14:schemeClr w14:val="tx1"/>
            </w14:solidFill>
          </w14:textFill>
        </w:rPr>
        <w:t>次，施工高峰期工区内按每天5台计，日最大用水量约</w:t>
      </w:r>
      <w:r>
        <w:rPr>
          <w:rFonts w:cs="宋体"/>
          <w:color w:val="000000" w:themeColor="text1"/>
          <w:sz w:val="24"/>
          <w14:textFill>
            <w14:solidFill>
              <w14:schemeClr w14:val="tx1"/>
            </w14:solidFill>
          </w14:textFill>
        </w:rPr>
        <w:t>2.</w:t>
      </w:r>
      <w:r>
        <w:rPr>
          <w:rFonts w:hint="eastAsia" w:cs="宋体"/>
          <w:color w:val="000000" w:themeColor="text1"/>
          <w:sz w:val="24"/>
          <w14:textFill>
            <w14:solidFill>
              <w14:schemeClr w14:val="tx1"/>
            </w14:solidFill>
          </w14:textFill>
        </w:rPr>
        <w:t>5</w:t>
      </w:r>
      <w:r>
        <w:rPr>
          <w:rFonts w:cs="宋体"/>
          <w:color w:val="000000" w:themeColor="text1"/>
          <w:sz w:val="24"/>
          <w14:textFill>
            <w14:solidFill>
              <w14:schemeClr w14:val="tx1"/>
            </w14:solidFill>
          </w14:textFill>
        </w:rPr>
        <w:t>m</w:t>
      </w:r>
      <w:r>
        <w:rPr>
          <w:rFonts w:cs="宋体"/>
          <w:color w:val="000000" w:themeColor="text1"/>
          <w:sz w:val="24"/>
          <w:vertAlign w:val="superscript"/>
          <w14:textFill>
            <w14:solidFill>
              <w14:schemeClr w14:val="tx1"/>
            </w14:solidFill>
          </w14:textFill>
        </w:rPr>
        <w:t>3</w:t>
      </w:r>
      <w:r>
        <w:rPr>
          <w:rFonts w:cs="宋体"/>
          <w:color w:val="000000" w:themeColor="text1"/>
          <w:sz w:val="24"/>
          <w14:textFill>
            <w14:solidFill>
              <w14:schemeClr w14:val="tx1"/>
            </w14:solidFill>
          </w14:textFill>
        </w:rPr>
        <w:t>/d</w:t>
      </w:r>
      <w:r>
        <w:rPr>
          <w:rFonts w:hint="eastAsia" w:cs="宋体"/>
          <w:color w:val="000000" w:themeColor="text1"/>
          <w:sz w:val="24"/>
          <w14:textFill>
            <w14:solidFill>
              <w14:schemeClr w14:val="tx1"/>
            </w14:solidFill>
          </w14:textFill>
        </w:rPr>
        <w:t>，产污率取</w:t>
      </w:r>
      <w:r>
        <w:rPr>
          <w:rFonts w:cs="宋体"/>
          <w:color w:val="000000" w:themeColor="text1"/>
          <w:sz w:val="24"/>
          <w14:textFill>
            <w14:solidFill>
              <w14:schemeClr w14:val="tx1"/>
            </w14:solidFill>
          </w14:textFill>
        </w:rPr>
        <w:t>90%</w:t>
      </w:r>
      <w:r>
        <w:rPr>
          <w:rFonts w:hint="eastAsia" w:cs="宋体"/>
          <w:color w:val="000000" w:themeColor="text1"/>
          <w:sz w:val="24"/>
          <w14:textFill>
            <w14:solidFill>
              <w14:schemeClr w14:val="tx1"/>
            </w14:solidFill>
          </w14:textFill>
        </w:rPr>
        <w:t>，则废水量为2.25</w:t>
      </w:r>
      <w:r>
        <w:rPr>
          <w:rFonts w:cs="宋体"/>
          <w:color w:val="000000" w:themeColor="text1"/>
          <w:sz w:val="24"/>
          <w14:textFill>
            <w14:solidFill>
              <w14:schemeClr w14:val="tx1"/>
            </w14:solidFill>
          </w14:textFill>
        </w:rPr>
        <w:t>m</w:t>
      </w:r>
      <w:r>
        <w:rPr>
          <w:rFonts w:cs="宋体"/>
          <w:color w:val="000000" w:themeColor="text1"/>
          <w:sz w:val="24"/>
          <w:vertAlign w:val="superscript"/>
          <w14:textFill>
            <w14:solidFill>
              <w14:schemeClr w14:val="tx1"/>
            </w14:solidFill>
          </w14:textFill>
        </w:rPr>
        <w:t>3</w:t>
      </w:r>
      <w:r>
        <w:rPr>
          <w:rFonts w:cs="宋体"/>
          <w:color w:val="000000" w:themeColor="text1"/>
          <w:sz w:val="24"/>
          <w14:textFill>
            <w14:solidFill>
              <w14:schemeClr w14:val="tx1"/>
            </w14:solidFill>
          </w14:textFill>
        </w:rPr>
        <w:t>/d</w:t>
      </w:r>
      <w:r>
        <w:rPr>
          <w:rFonts w:hint="eastAsia" w:cs="宋体"/>
          <w:color w:val="000000" w:themeColor="text1"/>
          <w:sz w:val="24"/>
          <w14:textFill>
            <w14:solidFill>
              <w14:schemeClr w14:val="tx1"/>
            </w14:solidFill>
          </w14:textFill>
        </w:rPr>
        <w:t>。</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建设单位通过在施工工区内修建沉淀池，将施工废水沉淀处理后回用于洒水降尘。</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2、混凝土养护废水：混凝土浇筑后为提高混凝土质量，通常需进行养护，本项目使用清水养护，项目养护废水较少直接在地表蒸发。</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3、渠道围堰基坑排水</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基坑排水的主要特点是悬浮物浓度较高，分为基坑开挖前的初期排水和基坑开挖及建筑物施工过程中的经常性排水。初期排水主要为围堰闭气后进行基坑初期排水，包括基坑积水、基础和堰体渗水围堰接头漏水等。由于非灌溉期施工，渠道流量较小，初期排水的排水量不大。经常性排水包括基础和围堰渗水、降雨汇水、施工弃水等。参照《水电水利工程施工环境保护技术规程》（</w:t>
      </w:r>
      <w:r>
        <w:rPr>
          <w:rFonts w:cs="宋体"/>
          <w:color w:val="000000" w:themeColor="text1"/>
          <w:sz w:val="24"/>
          <w14:textFill>
            <w14:solidFill>
              <w14:schemeClr w14:val="tx1"/>
            </w14:solidFill>
          </w14:textFill>
        </w:rPr>
        <w:t>DL/T5260-2010</w:t>
      </w:r>
      <w:r>
        <w:rPr>
          <w:rFonts w:hint="eastAsia" w:cs="宋体"/>
          <w:color w:val="000000" w:themeColor="text1"/>
          <w:sz w:val="24"/>
          <w14:textFill>
            <w14:solidFill>
              <w14:schemeClr w14:val="tx1"/>
            </w14:solidFill>
          </w14:textFill>
        </w:rPr>
        <w:t>），基坑排水主要污染物为</w:t>
      </w:r>
      <w:r>
        <w:rPr>
          <w:rFonts w:cs="宋体"/>
          <w:color w:val="000000" w:themeColor="text1"/>
          <w:sz w:val="24"/>
          <w14:textFill>
            <w14:solidFill>
              <w14:schemeClr w14:val="tx1"/>
            </w14:solidFill>
          </w14:textFill>
        </w:rPr>
        <w:t>SS</w:t>
      </w:r>
      <w:r>
        <w:rPr>
          <w:rFonts w:hint="eastAsia" w:cs="宋体"/>
          <w:color w:val="000000" w:themeColor="text1"/>
          <w:sz w:val="24"/>
          <w14:textFill>
            <w14:solidFill>
              <w14:schemeClr w14:val="tx1"/>
            </w14:solidFill>
          </w14:textFill>
        </w:rPr>
        <w:t>、石油类等物质，</w:t>
      </w:r>
      <w:r>
        <w:rPr>
          <w:rFonts w:cs="宋体"/>
          <w:color w:val="000000" w:themeColor="text1"/>
          <w:sz w:val="24"/>
          <w14:textFill>
            <w14:solidFill>
              <w14:schemeClr w14:val="tx1"/>
            </w14:solidFill>
          </w14:textFill>
        </w:rPr>
        <w:t>SS</w:t>
      </w:r>
      <w:r>
        <w:rPr>
          <w:rFonts w:hint="eastAsia" w:cs="宋体"/>
          <w:color w:val="000000" w:themeColor="text1"/>
          <w:sz w:val="24"/>
          <w14:textFill>
            <w14:solidFill>
              <w14:schemeClr w14:val="tx1"/>
            </w14:solidFill>
          </w14:textFill>
        </w:rPr>
        <w:t>浓度约</w:t>
      </w:r>
      <w:r>
        <w:rPr>
          <w:rFonts w:cs="宋体"/>
          <w:color w:val="000000" w:themeColor="text1"/>
          <w:sz w:val="24"/>
          <w14:textFill>
            <w14:solidFill>
              <w14:schemeClr w14:val="tx1"/>
            </w14:solidFill>
          </w14:textFill>
        </w:rPr>
        <w:t>1500</w:t>
      </w:r>
      <w:r>
        <w:rPr>
          <w:rFonts w:hint="eastAsia" w:cs="宋体"/>
          <w:color w:val="000000" w:themeColor="text1"/>
          <w:sz w:val="24"/>
          <w14:textFill>
            <w14:solidFill>
              <w14:schemeClr w14:val="tx1"/>
            </w14:solidFill>
          </w14:textFill>
        </w:rPr>
        <w:t>～</w:t>
      </w:r>
      <w:r>
        <w:rPr>
          <w:rFonts w:cs="宋体"/>
          <w:color w:val="000000" w:themeColor="text1"/>
          <w:sz w:val="24"/>
          <w14:textFill>
            <w14:solidFill>
              <w14:schemeClr w14:val="tx1"/>
            </w14:solidFill>
          </w14:textFill>
        </w:rPr>
        <w:t>2500mg/L</w:t>
      </w:r>
      <w:r>
        <w:rPr>
          <w:rFonts w:hint="eastAsia" w:cs="宋体"/>
          <w:color w:val="000000" w:themeColor="text1"/>
          <w:sz w:val="24"/>
          <w14:textFill>
            <w14:solidFill>
              <w14:schemeClr w14:val="tx1"/>
            </w14:solidFill>
          </w14:textFill>
        </w:rPr>
        <w:t>，石油类浓度＜</w:t>
      </w:r>
      <w:r>
        <w:rPr>
          <w:rFonts w:cs="宋体"/>
          <w:color w:val="000000" w:themeColor="text1"/>
          <w:sz w:val="24"/>
          <w14:textFill>
            <w14:solidFill>
              <w14:schemeClr w14:val="tx1"/>
            </w14:solidFill>
          </w14:textFill>
        </w:rPr>
        <w:t>10mg/L</w:t>
      </w:r>
      <w:r>
        <w:rPr>
          <w:rFonts w:hint="eastAsia" w:cs="宋体"/>
          <w:color w:val="000000" w:themeColor="text1"/>
          <w:sz w:val="24"/>
          <w14:textFill>
            <w14:solidFill>
              <w14:schemeClr w14:val="tx1"/>
            </w14:solidFill>
          </w14:textFill>
        </w:rPr>
        <w:t>，直接排放将对地表水环境造成局部污染。</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渠道</w:t>
      </w:r>
      <w:r>
        <w:rPr>
          <w:rFonts w:hint="eastAsia" w:cs="宋体"/>
          <w:color w:val="000000" w:themeColor="text1"/>
          <w:sz w:val="24"/>
          <w14:textFill>
            <w14:solidFill>
              <w14:schemeClr w14:val="tx1"/>
            </w14:solidFill>
          </w14:textFill>
        </w:rPr>
        <w:t>分段设置集水坑，</w:t>
      </w:r>
      <w:r>
        <w:rPr>
          <w:color w:val="000000" w:themeColor="text1"/>
          <w:sz w:val="24"/>
          <w14:textFill>
            <w14:solidFill>
              <w14:schemeClr w14:val="tx1"/>
            </w14:solidFill>
          </w14:textFill>
        </w:rPr>
        <w:t>施工</w:t>
      </w:r>
      <w:r>
        <w:rPr>
          <w:rFonts w:hint="eastAsia"/>
          <w:color w:val="000000" w:themeColor="text1"/>
          <w:sz w:val="24"/>
          <w14:textFill>
            <w14:solidFill>
              <w14:schemeClr w14:val="tx1"/>
            </w14:solidFill>
          </w14:textFill>
        </w:rPr>
        <w:t>时</w:t>
      </w: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现场</w:t>
      </w:r>
      <w:r>
        <w:rPr>
          <w:color w:val="000000" w:themeColor="text1"/>
          <w:sz w:val="24"/>
          <w14:textFill>
            <w14:solidFill>
              <w14:schemeClr w14:val="tx1"/>
            </w14:solidFill>
          </w14:textFill>
        </w:rPr>
        <w:t>实际情况设置临时沉淀池</w:t>
      </w:r>
      <w:r>
        <w:rPr>
          <w:rFonts w:hint="eastAsia" w:cs="宋体"/>
          <w:color w:val="000000" w:themeColor="text1"/>
          <w:sz w:val="24"/>
          <w14:textFill>
            <w14:solidFill>
              <w14:schemeClr w14:val="tx1"/>
            </w14:solidFill>
          </w14:textFill>
        </w:rPr>
        <w:t>（5m</w:t>
      </w:r>
      <w:r>
        <w:rPr>
          <w:rFonts w:hint="eastAsia" w:cs="宋体"/>
          <w:color w:val="000000" w:themeColor="text1"/>
          <w:sz w:val="24"/>
          <w:vertAlign w:val="superscript"/>
          <w14:textFill>
            <w14:solidFill>
              <w14:schemeClr w14:val="tx1"/>
            </w14:solidFill>
          </w14:textFill>
        </w:rPr>
        <w:t>3</w:t>
      </w:r>
      <w:r>
        <w:rPr>
          <w:rFonts w:hint="eastAsia" w:cs="宋体"/>
          <w:color w:val="000000" w:themeColor="text1"/>
          <w:sz w:val="24"/>
          <w14:textFill>
            <w14:solidFill>
              <w14:schemeClr w14:val="tx1"/>
            </w14:solidFill>
          </w14:textFill>
        </w:rPr>
        <w:t>/个），基坑产生的废水采用潜水泵泵入临时设置的沉淀池收集。废水经沉淀处理后回用于洒水降尘，影响范围和时间是有限的。</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4、渠底清理废水</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渠底清理于断水期进行，部分渠道局部残水在围堰后采用水泵泵出，泵入临时设置的沉淀池。</w:t>
      </w:r>
      <w:r>
        <w:rPr>
          <w:color w:val="000000" w:themeColor="text1"/>
          <w:sz w:val="24"/>
          <w14:textFill>
            <w14:solidFill>
              <w14:schemeClr w14:val="tx1"/>
            </w14:solidFill>
          </w14:textFill>
        </w:rPr>
        <w:t>各渠道施工</w:t>
      </w:r>
      <w:r>
        <w:rPr>
          <w:rFonts w:hint="eastAsia"/>
          <w:color w:val="000000" w:themeColor="text1"/>
          <w:sz w:val="24"/>
          <w14:textFill>
            <w14:solidFill>
              <w14:schemeClr w14:val="tx1"/>
            </w14:solidFill>
          </w14:textFill>
        </w:rPr>
        <w:t>现场</w:t>
      </w:r>
      <w:r>
        <w:rPr>
          <w:color w:val="000000" w:themeColor="text1"/>
          <w:sz w:val="24"/>
          <w14:textFill>
            <w14:solidFill>
              <w14:schemeClr w14:val="tx1"/>
            </w14:solidFill>
          </w14:textFill>
        </w:rPr>
        <w:t>根据实际情况设置临时沉淀池</w:t>
      </w:r>
      <w:r>
        <w:rPr>
          <w:rFonts w:hint="eastAsia" w:cs="宋体"/>
          <w:color w:val="000000" w:themeColor="text1"/>
          <w:sz w:val="24"/>
          <w14:textFill>
            <w14:solidFill>
              <w14:schemeClr w14:val="tx1"/>
            </w14:solidFill>
          </w14:textFill>
        </w:rPr>
        <w:t>（</w:t>
      </w:r>
      <w:r>
        <w:rPr>
          <w:rFonts w:hint="eastAsia" w:cs="宋体"/>
          <w:color w:val="000000" w:themeColor="text1"/>
          <w:sz w:val="24"/>
          <w:lang w:val="en-US" w:eastAsia="zh-CN"/>
          <w14:textFill>
            <w14:solidFill>
              <w14:schemeClr w14:val="tx1"/>
            </w14:solidFill>
          </w14:textFill>
        </w:rPr>
        <w:t>2</w:t>
      </w:r>
      <w:r>
        <w:rPr>
          <w:rFonts w:hint="eastAsia" w:cs="宋体"/>
          <w:color w:val="000000" w:themeColor="text1"/>
          <w:sz w:val="24"/>
          <w14:textFill>
            <w14:solidFill>
              <w14:schemeClr w14:val="tx1"/>
            </w14:solidFill>
          </w14:textFill>
        </w:rPr>
        <w:t>m</w:t>
      </w:r>
      <w:r>
        <w:rPr>
          <w:rFonts w:hint="eastAsia" w:cs="宋体"/>
          <w:color w:val="000000" w:themeColor="text1"/>
          <w:sz w:val="24"/>
          <w:vertAlign w:val="superscript"/>
          <w14:textFill>
            <w14:solidFill>
              <w14:schemeClr w14:val="tx1"/>
            </w14:solidFill>
          </w14:textFill>
        </w:rPr>
        <w:t>3</w:t>
      </w:r>
      <w:r>
        <w:rPr>
          <w:rFonts w:hint="eastAsia" w:cs="宋体"/>
          <w:color w:val="000000" w:themeColor="text1"/>
          <w:sz w:val="24"/>
          <w14:textFill>
            <w14:solidFill>
              <w14:schemeClr w14:val="tx1"/>
            </w14:solidFill>
          </w14:textFill>
        </w:rPr>
        <w:t>/个），废水经沉淀后用于洒水降尘，不外排。</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5、生活污水</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生活污水主要来自施工人员，污染物主要有SS、COD、BOD</w:t>
      </w:r>
      <w:r>
        <w:rPr>
          <w:rFonts w:hint="eastAsia" w:cs="宋体"/>
          <w:color w:val="000000" w:themeColor="text1"/>
          <w:sz w:val="24"/>
          <w:vertAlign w:val="subscript"/>
          <w14:textFill>
            <w14:solidFill>
              <w14:schemeClr w14:val="tx1"/>
            </w14:solidFill>
          </w14:textFill>
        </w:rPr>
        <w:t>5</w:t>
      </w:r>
      <w:r>
        <w:rPr>
          <w:rFonts w:hint="eastAsia" w:cs="宋体"/>
          <w:color w:val="000000" w:themeColor="text1"/>
          <w:sz w:val="24"/>
          <w14:textFill>
            <w14:solidFill>
              <w14:schemeClr w14:val="tx1"/>
            </w14:solidFill>
          </w14:textFill>
        </w:rPr>
        <w:t>、NH</w:t>
      </w:r>
      <w:r>
        <w:rPr>
          <w:rFonts w:hint="eastAsia" w:cs="宋体"/>
          <w:color w:val="000000" w:themeColor="text1"/>
          <w:sz w:val="24"/>
          <w:vertAlign w:val="subscript"/>
          <w14:textFill>
            <w14:solidFill>
              <w14:schemeClr w14:val="tx1"/>
            </w14:solidFill>
          </w14:textFill>
        </w:rPr>
        <w:t>3</w:t>
      </w:r>
      <w:r>
        <w:rPr>
          <w:rFonts w:hint="eastAsia" w:cs="宋体"/>
          <w:color w:val="000000" w:themeColor="text1"/>
          <w:sz w:val="24"/>
          <w14:textFill>
            <w14:solidFill>
              <w14:schemeClr w14:val="tx1"/>
            </w14:solidFill>
          </w14:textFill>
        </w:rPr>
        <w:t>-N等，本项目施工人员约40人，取生活用水标准为0.1m</w:t>
      </w:r>
      <w:r>
        <w:rPr>
          <w:rFonts w:hint="eastAsia" w:cs="宋体"/>
          <w:color w:val="000000" w:themeColor="text1"/>
          <w:sz w:val="24"/>
          <w:vertAlign w:val="superscript"/>
          <w14:textFill>
            <w14:solidFill>
              <w14:schemeClr w14:val="tx1"/>
            </w14:solidFill>
          </w14:textFill>
        </w:rPr>
        <w:t>3</w:t>
      </w:r>
      <w:r>
        <w:rPr>
          <w:rFonts w:hint="eastAsia" w:cs="宋体"/>
          <w:color w:val="000000" w:themeColor="text1"/>
          <w:sz w:val="24"/>
          <w14:textFill>
            <w14:solidFill>
              <w14:schemeClr w14:val="tx1"/>
            </w14:solidFill>
          </w14:textFill>
        </w:rPr>
        <w:t>/（人</w:t>
      </w:r>
      <w:r>
        <w:rPr>
          <w:color w:val="000000" w:themeColor="text1"/>
          <w:sz w:val="24"/>
          <w14:textFill>
            <w14:solidFill>
              <w14:schemeClr w14:val="tx1"/>
            </w14:solidFill>
          </w14:textFill>
        </w:rPr>
        <w:t>·</w:t>
      </w:r>
      <w:r>
        <w:rPr>
          <w:rFonts w:hint="eastAsia" w:cs="宋体"/>
          <w:color w:val="000000" w:themeColor="text1"/>
          <w:sz w:val="24"/>
          <w14:textFill>
            <w14:solidFill>
              <w14:schemeClr w14:val="tx1"/>
            </w14:solidFill>
          </w14:textFill>
        </w:rPr>
        <w:t>天），</w:t>
      </w:r>
      <w:r>
        <w:rPr>
          <w:rFonts w:hint="eastAsia" w:cs="宋体"/>
          <w:color w:val="000000" w:themeColor="text1"/>
          <w:sz w:val="24"/>
          <w:lang w:val="en-US" w:eastAsia="zh-CN"/>
          <w14:textFill>
            <w14:solidFill>
              <w14:schemeClr w14:val="tx1"/>
            </w14:solidFill>
          </w14:textFill>
        </w:rPr>
        <w:t>污水产生系数按0.8计，</w:t>
      </w:r>
      <w:r>
        <w:rPr>
          <w:rFonts w:hint="eastAsia" w:cs="宋体"/>
          <w:color w:val="000000" w:themeColor="text1"/>
          <w:sz w:val="24"/>
          <w14:textFill>
            <w14:solidFill>
              <w14:schemeClr w14:val="tx1"/>
            </w14:solidFill>
          </w14:textFill>
        </w:rPr>
        <w:t>则每天将排放</w:t>
      </w:r>
      <w:r>
        <w:rPr>
          <w:rFonts w:hint="eastAsia" w:cs="宋体"/>
          <w:color w:val="000000" w:themeColor="text1"/>
          <w:sz w:val="24"/>
          <w:lang w:val="en-US" w:eastAsia="zh-CN"/>
          <w14:textFill>
            <w14:solidFill>
              <w14:schemeClr w14:val="tx1"/>
            </w14:solidFill>
          </w14:textFill>
        </w:rPr>
        <w:t>3.2</w:t>
      </w:r>
      <w:r>
        <w:rPr>
          <w:rFonts w:hint="eastAsia" w:cs="宋体"/>
          <w:color w:val="000000" w:themeColor="text1"/>
          <w:sz w:val="24"/>
          <w14:textFill>
            <w14:solidFill>
              <w14:schemeClr w14:val="tx1"/>
            </w14:solidFill>
          </w14:textFill>
        </w:rPr>
        <w:t>m</w:t>
      </w:r>
      <w:r>
        <w:rPr>
          <w:rFonts w:hint="eastAsia" w:cs="宋体"/>
          <w:color w:val="000000" w:themeColor="text1"/>
          <w:sz w:val="24"/>
          <w:vertAlign w:val="superscript"/>
          <w14:textFill>
            <w14:solidFill>
              <w14:schemeClr w14:val="tx1"/>
            </w14:solidFill>
          </w14:textFill>
        </w:rPr>
        <w:t>3</w:t>
      </w:r>
      <w:r>
        <w:rPr>
          <w:rFonts w:hint="eastAsia" w:cs="宋体"/>
          <w:color w:val="000000" w:themeColor="text1"/>
          <w:sz w:val="24"/>
          <w14:textFill>
            <w14:solidFill>
              <w14:schemeClr w14:val="tx1"/>
            </w14:solidFill>
          </w14:textFill>
        </w:rPr>
        <w:t>生活污水，本项目租用</w:t>
      </w:r>
      <w:r>
        <w:rPr>
          <w:rFonts w:hint="eastAsia" w:cs="宋体"/>
          <w:color w:val="000000" w:themeColor="text1"/>
          <w:sz w:val="24"/>
          <w:lang w:val="en-US" w:eastAsia="zh-CN"/>
          <w14:textFill>
            <w14:solidFill>
              <w14:schemeClr w14:val="tx1"/>
            </w14:solidFill>
          </w14:textFill>
        </w:rPr>
        <w:t>城区内</w:t>
      </w:r>
      <w:r>
        <w:rPr>
          <w:rFonts w:hint="eastAsia" w:cs="宋体"/>
          <w:color w:val="000000" w:themeColor="text1"/>
          <w:sz w:val="24"/>
          <w14:textFill>
            <w14:solidFill>
              <w14:schemeClr w14:val="tx1"/>
            </w14:solidFill>
          </w14:textFill>
        </w:rPr>
        <w:t>民房作为施工营地，生活污水进入市政污水管网，经污水处理厂处理后外排。</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6</w:t>
      </w:r>
      <w:r>
        <w:rPr>
          <w:b/>
          <w:color w:val="000000" w:themeColor="text1"/>
          <w:kern w:val="0"/>
          <w:sz w:val="24"/>
          <w:szCs w:val="24"/>
          <w14:textFill>
            <w14:solidFill>
              <w14:schemeClr w14:val="tx1"/>
            </w14:solidFill>
          </w14:textFill>
        </w:rPr>
        <w:t>.2.2</w:t>
      </w:r>
      <w:r>
        <w:rPr>
          <w:rFonts w:hint="eastAsia"/>
          <w:b/>
          <w:color w:val="000000" w:themeColor="text1"/>
          <w:kern w:val="0"/>
          <w:sz w:val="24"/>
          <w:szCs w:val="24"/>
          <w14:textFill>
            <w14:solidFill>
              <w14:schemeClr w14:val="tx1"/>
            </w14:solidFill>
          </w14:textFill>
        </w:rPr>
        <w:t>废气</w:t>
      </w:r>
    </w:p>
    <w:p>
      <w:pPr>
        <w:tabs>
          <w:tab w:val="left" w:pos="840"/>
          <w:tab w:val="right" w:leader="dot" w:pos="8820"/>
        </w:tabs>
        <w:autoSpaceDE/>
        <w:autoSpaceDN/>
        <w:snapToGrid w:val="0"/>
        <w:spacing w:line="360" w:lineRule="auto"/>
        <w:ind w:firstLine="480" w:firstLineChars="200"/>
        <w:jc w:val="both"/>
        <w:textAlignment w:val="center"/>
        <w:rPr>
          <w:color w:val="000000" w:themeColor="text1"/>
          <w:kern w:val="0"/>
          <w:sz w:val="24"/>
          <w:szCs w:val="24"/>
          <w:lang w:val="zh-CN"/>
          <w14:textFill>
            <w14:solidFill>
              <w14:schemeClr w14:val="tx1"/>
            </w14:solidFill>
          </w14:textFill>
        </w:rPr>
      </w:pPr>
      <w:r>
        <w:rPr>
          <w:rFonts w:hint="eastAsia"/>
          <w:color w:val="000000" w:themeColor="text1"/>
          <w:kern w:val="0"/>
          <w:sz w:val="24"/>
          <w:szCs w:val="24"/>
          <w:lang w:val="zh-CN"/>
          <w14:textFill>
            <w14:solidFill>
              <w14:schemeClr w14:val="tx1"/>
            </w14:solidFill>
          </w14:textFill>
        </w:rPr>
        <w:t>本工程大气污染源主要为土方工程施工、燃油机械施工、车辆运输等，土方工程施工过程产生的污染物主要为扬尘；燃油机械施工和车辆运输过程产生的污染物主要为SO</w:t>
      </w:r>
      <w:r>
        <w:rPr>
          <w:rFonts w:hint="eastAsia"/>
          <w:color w:val="000000" w:themeColor="text1"/>
          <w:kern w:val="0"/>
          <w:sz w:val="24"/>
          <w:szCs w:val="24"/>
          <w:vertAlign w:val="subscript"/>
          <w:lang w:val="zh-CN"/>
          <w14:textFill>
            <w14:solidFill>
              <w14:schemeClr w14:val="tx1"/>
            </w14:solidFill>
          </w14:textFill>
        </w:rPr>
        <w:t>2</w:t>
      </w:r>
      <w:r>
        <w:rPr>
          <w:rFonts w:hint="eastAsia"/>
          <w:color w:val="000000" w:themeColor="text1"/>
          <w:kern w:val="0"/>
          <w:sz w:val="24"/>
          <w:szCs w:val="24"/>
          <w:lang w:val="zh-CN"/>
          <w14:textFill>
            <w14:solidFill>
              <w14:schemeClr w14:val="tx1"/>
            </w14:solidFill>
          </w14:textFill>
        </w:rPr>
        <w:t>、NO</w:t>
      </w:r>
      <w:r>
        <w:rPr>
          <w:rFonts w:hint="eastAsia"/>
          <w:color w:val="000000" w:themeColor="text1"/>
          <w:kern w:val="0"/>
          <w:sz w:val="24"/>
          <w:szCs w:val="24"/>
          <w:vertAlign w:val="subscript"/>
          <w:lang w:val="zh-CN"/>
          <w14:textFill>
            <w14:solidFill>
              <w14:schemeClr w14:val="tx1"/>
            </w14:solidFill>
          </w14:textFill>
        </w:rPr>
        <w:t>2</w:t>
      </w:r>
      <w:r>
        <w:rPr>
          <w:rFonts w:hint="eastAsia"/>
          <w:color w:val="000000" w:themeColor="text1"/>
          <w:kern w:val="0"/>
          <w:sz w:val="24"/>
          <w:szCs w:val="24"/>
          <w:lang w:val="zh-CN"/>
          <w14:textFill>
            <w14:solidFill>
              <w14:schemeClr w14:val="tx1"/>
            </w14:solidFill>
          </w14:textFill>
        </w:rPr>
        <w:t>，还有部分扬尘。</w:t>
      </w:r>
    </w:p>
    <w:p>
      <w:pPr>
        <w:autoSpaceDE/>
        <w:autoSpaceDN/>
        <w:spacing w:line="360" w:lineRule="auto"/>
        <w:ind w:firstLine="482" w:firstLineChars="200"/>
        <w:jc w:val="both"/>
        <w:rPr>
          <w:b/>
          <w:bCs/>
          <w:color w:val="000000" w:themeColor="text1"/>
          <w:kern w:val="0"/>
          <w:sz w:val="24"/>
          <w:szCs w:val="20"/>
          <w14:textFill>
            <w14:solidFill>
              <w14:schemeClr w14:val="tx1"/>
            </w14:solidFill>
          </w14:textFill>
        </w:rPr>
      </w:pPr>
      <w:r>
        <w:rPr>
          <w:b/>
          <w:bCs/>
          <w:color w:val="000000" w:themeColor="text1"/>
          <w:kern w:val="0"/>
          <w:sz w:val="24"/>
          <w:szCs w:val="20"/>
          <w14:textFill>
            <w14:solidFill>
              <w14:schemeClr w14:val="tx1"/>
            </w14:solidFill>
          </w14:textFill>
        </w:rPr>
        <w:t>1、施工扬尘</w:t>
      </w:r>
    </w:p>
    <w:p>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①施工扬尘</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施工产生的扬尘主要集中在工程的局部开挖、回填、场地平整阶段以及材料堆放产生的扬尘，主要为施工过程中风力作用产生的粉尘。其扬尘量可按堆场起尘的经验公式计算：</w:t>
      </w:r>
    </w:p>
    <w:p>
      <w:pPr>
        <w:pStyle w:val="11"/>
        <w:spacing w:line="360" w:lineRule="auto"/>
        <w:ind w:firstLine="480" w:firstLineChars="20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114300" distR="114300">
            <wp:extent cx="1733550" cy="333375"/>
            <wp:effectExtent l="0" t="0" r="0" b="9525"/>
            <wp:docPr id="1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
                    <pic:cNvPicPr>
                      <a:picLocks noChangeAspect="1"/>
                    </pic:cNvPicPr>
                  </pic:nvPicPr>
                  <pic:blipFill>
                    <a:blip r:embed="rId57"/>
                    <a:stretch>
                      <a:fillRect/>
                    </a:stretch>
                  </pic:blipFill>
                  <pic:spPr>
                    <a:xfrm>
                      <a:off x="0" y="0"/>
                      <a:ext cx="1733550" cy="333375"/>
                    </a:xfrm>
                    <a:prstGeom prst="rect">
                      <a:avLst/>
                    </a:prstGeom>
                    <a:noFill/>
                    <a:ln>
                      <a:noFill/>
                    </a:ln>
                  </pic:spPr>
                </pic:pic>
              </a:graphicData>
            </a:graphic>
          </wp:inline>
        </w:drawing>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其中：</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Q——起尘量，kg/t·a；</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V</w:t>
      </w:r>
      <w:r>
        <w:rPr>
          <w:color w:val="000000" w:themeColor="text1"/>
          <w:sz w:val="24"/>
          <w:vertAlign w:val="subscript"/>
          <w14:textFill>
            <w14:solidFill>
              <w14:schemeClr w14:val="tx1"/>
            </w14:solidFill>
          </w14:textFill>
        </w:rPr>
        <w:t>50</w:t>
      </w:r>
      <w:r>
        <w:rPr>
          <w:color w:val="000000" w:themeColor="text1"/>
          <w:sz w:val="24"/>
          <w14:textFill>
            <w14:solidFill>
              <w14:schemeClr w14:val="tx1"/>
            </w14:solidFill>
          </w14:textFill>
        </w:rPr>
        <w:t>——距地面50m处风速，m/s；</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V</w:t>
      </w:r>
      <w:r>
        <w:rPr>
          <w:color w:val="000000" w:themeColor="text1"/>
          <w:sz w:val="24"/>
          <w:vertAlign w:val="subscript"/>
          <w14:textFill>
            <w14:solidFill>
              <w14:schemeClr w14:val="tx1"/>
            </w14:solidFill>
          </w14:textFill>
        </w:rPr>
        <w:t>0</w:t>
      </w:r>
      <w:r>
        <w:rPr>
          <w:color w:val="000000" w:themeColor="text1"/>
          <w:sz w:val="24"/>
          <w14:textFill>
            <w14:solidFill>
              <w14:schemeClr w14:val="tx1"/>
            </w14:solidFill>
          </w14:textFill>
        </w:rPr>
        <w:t>——起尘风速，m/s；</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W——尘粒的含水率，%。</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V</w:t>
      </w:r>
      <w:r>
        <w:rPr>
          <w:color w:val="000000" w:themeColor="text1"/>
          <w:sz w:val="24"/>
          <w:vertAlign w:val="subscript"/>
          <w14:textFill>
            <w14:solidFill>
              <w14:schemeClr w14:val="tx1"/>
            </w14:solidFill>
          </w14:textFill>
        </w:rPr>
        <w:t>0</w:t>
      </w:r>
      <w:r>
        <w:rPr>
          <w:color w:val="000000" w:themeColor="text1"/>
          <w:sz w:val="24"/>
          <w14:textFill>
            <w14:solidFill>
              <w14:schemeClr w14:val="tx1"/>
            </w14:solidFill>
          </w14:textFill>
        </w:rPr>
        <w:t>与粒径和含水率有关，因此，减少露天堆放和保证一定的含水率及减少裸露地面是减少风力起尘的有效手段。</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尘粒在空气中的传播扩散情况与风速等气象条件有关也与尘粒本身的沉降速度有关。以沙尘土为例，不同粒径的尘粒的沉降速度见下表。</w:t>
      </w:r>
    </w:p>
    <w:p>
      <w:pPr>
        <w:pStyle w:val="11"/>
        <w:ind w:firstLine="482"/>
        <w:jc w:val="center"/>
        <w:rPr>
          <w:rFonts w:eastAsia="黑体"/>
          <w:color w:val="000000" w:themeColor="text1"/>
          <w:kern w:val="0"/>
          <w:szCs w:val="24"/>
          <w14:textFill>
            <w14:solidFill>
              <w14:schemeClr w14:val="tx1"/>
            </w14:solidFill>
          </w14:textFill>
        </w:rPr>
      </w:pPr>
      <w:r>
        <w:rPr>
          <w:rFonts w:hint="eastAsia" w:eastAsia="黑体"/>
          <w:color w:val="000000" w:themeColor="text1"/>
          <w:kern w:val="0"/>
          <w:szCs w:val="24"/>
          <w14:textFill>
            <w14:solidFill>
              <w14:schemeClr w14:val="tx1"/>
            </w14:solidFill>
          </w14:textFill>
        </w:rPr>
        <w:t>表2.6-1不同粒径尘粒的沉降速度</w:t>
      </w:r>
    </w:p>
    <w:tbl>
      <w:tblPr>
        <w:tblStyle w:val="38"/>
        <w:tblW w:w="481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3"/>
        <w:gridCol w:w="805"/>
        <w:gridCol w:w="764"/>
        <w:gridCol w:w="1026"/>
        <w:gridCol w:w="1026"/>
        <w:gridCol w:w="1026"/>
        <w:gridCol w:w="1026"/>
        <w:gridCol w:w="10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91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粒径(µm)</w:t>
            </w:r>
          </w:p>
        </w:tc>
        <w:tc>
          <w:tcPr>
            <w:tcW w:w="49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w:t>
            </w:r>
          </w:p>
        </w:tc>
        <w:tc>
          <w:tcPr>
            <w:tcW w:w="46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60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91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沉降速度(m/s)</w:t>
            </w:r>
          </w:p>
        </w:tc>
        <w:tc>
          <w:tcPr>
            <w:tcW w:w="49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0.003</w:t>
            </w:r>
          </w:p>
        </w:tc>
        <w:tc>
          <w:tcPr>
            <w:tcW w:w="46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0.012</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0.027</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0.048</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0.075</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0.108</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91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粒径(µm)</w:t>
            </w:r>
          </w:p>
        </w:tc>
        <w:tc>
          <w:tcPr>
            <w:tcW w:w="49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80</w:t>
            </w:r>
          </w:p>
        </w:tc>
        <w:tc>
          <w:tcPr>
            <w:tcW w:w="46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90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91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沉降速度(m/s)</w:t>
            </w:r>
          </w:p>
        </w:tc>
        <w:tc>
          <w:tcPr>
            <w:tcW w:w="49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0.158</w:t>
            </w:r>
          </w:p>
        </w:tc>
        <w:tc>
          <w:tcPr>
            <w:tcW w:w="46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0.170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0.182</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0.239</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0.804</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1.005</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1.829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91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粒径(µm)</w:t>
            </w:r>
          </w:p>
        </w:tc>
        <w:tc>
          <w:tcPr>
            <w:tcW w:w="49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450</w:t>
            </w:r>
          </w:p>
        </w:tc>
        <w:tc>
          <w:tcPr>
            <w:tcW w:w="46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650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750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850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950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91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沉降速度(m/s)</w:t>
            </w:r>
          </w:p>
        </w:tc>
        <w:tc>
          <w:tcPr>
            <w:tcW w:w="49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2.211</w:t>
            </w:r>
          </w:p>
        </w:tc>
        <w:tc>
          <w:tcPr>
            <w:tcW w:w="46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2.614</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3.016</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3.418</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3.820</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4.222</w:t>
            </w:r>
          </w:p>
        </w:tc>
        <w:tc>
          <w:tcPr>
            <w:tcW w:w="625"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4.624</w:t>
            </w:r>
          </w:p>
        </w:tc>
      </w:tr>
    </w:tbl>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由上表可知，尘粒的沉降速度随粒径的增大而迅速增大。当粒径为250µm时，沉降速度为1.005m/s，因此可以认为当尘粒大于250µm时，主要影响范围在扬尘点下风向近距离范围内，而真正对外环境产生影响的是一些微小尘粒。根据现场的气候条件不同，其影响范围也有所不同。施工期间，施工扬尘势必会对该区域的环境产生一定的影响。因此，本工程施工期应特别注意施工扬尘的防治问题，须采取必要的防治措施，以减少施工扬尘对周围环境的影响。</w:t>
      </w:r>
    </w:p>
    <w:p>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②运输车辆道路扬尘</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由于外力而产生的尘粒再悬浮而造成，其中施工装卸车辆造成的扬尘最为严重。据有关文献资料介绍，车辆行驶产生的扬尘占总扬尘的60%以上。车辆行驶产生的扬尘，在完全干燥情况下，可按下列经验公式计算：</w:t>
      </w:r>
    </w:p>
    <w:p>
      <w:pPr>
        <w:pStyle w:val="11"/>
        <w:spacing w:line="360" w:lineRule="auto"/>
        <w:ind w:firstLine="480" w:firstLineChars="20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114300" distR="114300">
            <wp:extent cx="2742565" cy="285750"/>
            <wp:effectExtent l="0" t="0" r="635" b="0"/>
            <wp:docPr id="1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
                    <pic:cNvPicPr>
                      <a:picLocks noChangeAspect="1"/>
                    </pic:cNvPicPr>
                  </pic:nvPicPr>
                  <pic:blipFill>
                    <a:blip r:embed="rId58"/>
                    <a:stretch>
                      <a:fillRect/>
                    </a:stretch>
                  </pic:blipFill>
                  <pic:spPr>
                    <a:xfrm>
                      <a:off x="0" y="0"/>
                      <a:ext cx="2742565" cy="285750"/>
                    </a:xfrm>
                    <a:prstGeom prst="rect">
                      <a:avLst/>
                    </a:prstGeom>
                    <a:noFill/>
                    <a:ln>
                      <a:noFill/>
                    </a:ln>
                  </pic:spPr>
                </pic:pic>
              </a:graphicData>
            </a:graphic>
          </wp:inline>
        </w:drawing>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式中：</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Q——汽车行驶的扬尘，kg/km·辆；</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V——汽车速度，km/h；</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W——汽车载重量，吨；</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P——道路表面粉尘量，kg/m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w:t>
      </w:r>
    </w:p>
    <w:p>
      <w:pPr>
        <w:spacing w:line="360" w:lineRule="auto"/>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下表为一辆10吨卡车，通过一段长度为1km的路面时，不同路面清洁程度，不同行驶速度情况下的扬尘量。由此可见，在同样路面清洁程度条件下，车速越快，扬尘量越大；而在同样车速情况下，路面越脏，则扬尘量越大。因此限速行驶及保持路面的清洁是减少汽车扬尘的有效手段。</w:t>
      </w:r>
    </w:p>
    <w:p>
      <w:pPr>
        <w:ind w:firstLine="480" w:firstLineChars="200"/>
        <w:contextualSpacing/>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表2.6-2在不同车速和地面清洁程度的汽车扬尘</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5"/>
        <w:gridCol w:w="1171"/>
        <w:gridCol w:w="1205"/>
        <w:gridCol w:w="1207"/>
        <w:gridCol w:w="1207"/>
        <w:gridCol w:w="1207"/>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71" w:type="pct"/>
            <w:tcBorders>
              <w:top w:val="single" w:color="auto" w:sz="12" w:space="0"/>
              <w:left w:val="nil"/>
              <w:tl2br w:val="single" w:color="auto" w:sz="2" w:space="0"/>
            </w:tcBorders>
            <w:vAlign w:val="center"/>
          </w:tcPr>
          <w:p>
            <w:pPr>
              <w:pStyle w:val="11"/>
              <w:keepNext w:val="0"/>
              <w:keepLines w:val="0"/>
              <w:suppressLineNumbers w:val="0"/>
              <w:adjustRightInd w:val="0"/>
              <w:snapToGrid w:val="0"/>
              <w:spacing w:before="0" w:beforeAutospacing="0" w:after="0" w:afterAutospacing="0"/>
              <w:ind w:left="0" w:right="0" w:firstLine="0"/>
              <w:jc w:val="right"/>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粉尘量</w:t>
            </w:r>
          </w:p>
          <w:p>
            <w:pPr>
              <w:pStyle w:val="11"/>
              <w:keepNext w:val="0"/>
              <w:keepLines w:val="0"/>
              <w:suppressLineNumbers w:val="0"/>
              <w:adjustRightInd w:val="0"/>
              <w:snapToGrid w:val="0"/>
              <w:spacing w:before="0" w:beforeAutospacing="0" w:after="0" w:afterAutospacing="0"/>
              <w:ind w:left="0" w:right="0" w:firstLine="0"/>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车速</w:t>
            </w:r>
          </w:p>
        </w:tc>
        <w:tc>
          <w:tcPr>
            <w:tcW w:w="687" w:type="pct"/>
            <w:tcBorders>
              <w:top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0.1</w:t>
            </w:r>
          </w:p>
          <w:p>
            <w:pPr>
              <w:pStyle w:val="11"/>
              <w:keepNext w:val="0"/>
              <w:keepLines w:val="0"/>
              <w:suppressLineNumbers w:val="0"/>
              <w:adjustRightInd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(kg/m</w:t>
            </w:r>
            <w:r>
              <w:rPr>
                <w:rFonts w:hint="default"/>
                <w:b/>
                <w:bCs/>
                <w:color w:val="000000" w:themeColor="text1"/>
                <w:sz w:val="21"/>
                <w:szCs w:val="21"/>
                <w:vertAlign w:val="superscript"/>
                <w14:textFill>
                  <w14:solidFill>
                    <w14:schemeClr w14:val="tx1"/>
                  </w14:solidFill>
                </w14:textFill>
              </w:rPr>
              <w:t>2</w:t>
            </w:r>
            <w:r>
              <w:rPr>
                <w:rFonts w:hint="default"/>
                <w:b/>
                <w:bCs/>
                <w:color w:val="000000" w:themeColor="text1"/>
                <w:sz w:val="21"/>
                <w:szCs w:val="21"/>
                <w14:textFill>
                  <w14:solidFill>
                    <w14:schemeClr w14:val="tx1"/>
                  </w14:solidFill>
                </w14:textFill>
              </w:rPr>
              <w:t>)</w:t>
            </w:r>
          </w:p>
        </w:tc>
        <w:tc>
          <w:tcPr>
            <w:tcW w:w="707" w:type="pct"/>
            <w:tcBorders>
              <w:top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0.2(kg/m</w:t>
            </w:r>
            <w:r>
              <w:rPr>
                <w:rFonts w:hint="default"/>
                <w:b/>
                <w:bCs/>
                <w:color w:val="000000" w:themeColor="text1"/>
                <w:sz w:val="21"/>
                <w:szCs w:val="21"/>
                <w:vertAlign w:val="superscript"/>
                <w14:textFill>
                  <w14:solidFill>
                    <w14:schemeClr w14:val="tx1"/>
                  </w14:solidFill>
                </w14:textFill>
              </w:rPr>
              <w:t>2</w:t>
            </w:r>
            <w:r>
              <w:rPr>
                <w:rFonts w:hint="default"/>
                <w:b/>
                <w:bCs/>
                <w:color w:val="000000" w:themeColor="text1"/>
                <w:sz w:val="21"/>
                <w:szCs w:val="21"/>
                <w14:textFill>
                  <w14:solidFill>
                    <w14:schemeClr w14:val="tx1"/>
                  </w14:solidFill>
                </w14:textFill>
              </w:rPr>
              <w:t>)</w:t>
            </w:r>
          </w:p>
        </w:tc>
        <w:tc>
          <w:tcPr>
            <w:tcW w:w="708" w:type="pct"/>
            <w:tcBorders>
              <w:top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0.3(kg/m</w:t>
            </w:r>
            <w:r>
              <w:rPr>
                <w:rFonts w:hint="default"/>
                <w:b/>
                <w:bCs/>
                <w:color w:val="000000" w:themeColor="text1"/>
                <w:sz w:val="21"/>
                <w:szCs w:val="21"/>
                <w:vertAlign w:val="superscript"/>
                <w14:textFill>
                  <w14:solidFill>
                    <w14:schemeClr w14:val="tx1"/>
                  </w14:solidFill>
                </w14:textFill>
              </w:rPr>
              <w:t>2</w:t>
            </w:r>
            <w:r>
              <w:rPr>
                <w:rFonts w:hint="default"/>
                <w:b/>
                <w:bCs/>
                <w:color w:val="000000" w:themeColor="text1"/>
                <w:sz w:val="21"/>
                <w:szCs w:val="21"/>
                <w14:textFill>
                  <w14:solidFill>
                    <w14:schemeClr w14:val="tx1"/>
                  </w14:solidFill>
                </w14:textFill>
              </w:rPr>
              <w:t>)</w:t>
            </w:r>
          </w:p>
        </w:tc>
        <w:tc>
          <w:tcPr>
            <w:tcW w:w="708" w:type="pct"/>
            <w:tcBorders>
              <w:top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0.4(kg/m</w:t>
            </w:r>
            <w:r>
              <w:rPr>
                <w:rFonts w:hint="default"/>
                <w:b/>
                <w:bCs/>
                <w:color w:val="000000" w:themeColor="text1"/>
                <w:sz w:val="21"/>
                <w:szCs w:val="21"/>
                <w:vertAlign w:val="superscript"/>
                <w14:textFill>
                  <w14:solidFill>
                    <w14:schemeClr w14:val="tx1"/>
                  </w14:solidFill>
                </w14:textFill>
              </w:rPr>
              <w:t>2</w:t>
            </w:r>
            <w:r>
              <w:rPr>
                <w:rFonts w:hint="default"/>
                <w:b/>
                <w:bCs/>
                <w:color w:val="000000" w:themeColor="text1"/>
                <w:sz w:val="21"/>
                <w:szCs w:val="21"/>
                <w14:textFill>
                  <w14:solidFill>
                    <w14:schemeClr w14:val="tx1"/>
                  </w14:solidFill>
                </w14:textFill>
              </w:rPr>
              <w:t>)</w:t>
            </w:r>
          </w:p>
        </w:tc>
        <w:tc>
          <w:tcPr>
            <w:tcW w:w="708" w:type="pct"/>
            <w:tcBorders>
              <w:top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0.5(kg/m</w:t>
            </w:r>
            <w:r>
              <w:rPr>
                <w:rFonts w:hint="default"/>
                <w:b/>
                <w:bCs/>
                <w:color w:val="000000" w:themeColor="text1"/>
                <w:sz w:val="21"/>
                <w:szCs w:val="21"/>
                <w:vertAlign w:val="superscript"/>
                <w14:textFill>
                  <w14:solidFill>
                    <w14:schemeClr w14:val="tx1"/>
                  </w14:solidFill>
                </w14:textFill>
              </w:rPr>
              <w:t>2</w:t>
            </w:r>
            <w:r>
              <w:rPr>
                <w:rFonts w:hint="default"/>
                <w:b/>
                <w:bCs/>
                <w:color w:val="000000" w:themeColor="text1"/>
                <w:sz w:val="21"/>
                <w:szCs w:val="21"/>
                <w14:textFill>
                  <w14:solidFill>
                    <w14:schemeClr w14:val="tx1"/>
                  </w14:solidFill>
                </w14:textFill>
              </w:rPr>
              <w:t>)</w:t>
            </w:r>
          </w:p>
        </w:tc>
        <w:tc>
          <w:tcPr>
            <w:tcW w:w="708" w:type="pct"/>
            <w:tcBorders>
              <w:top w:val="single" w:color="auto" w:sz="12" w:space="0"/>
              <w:righ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1.0(kg/m</w:t>
            </w:r>
            <w:r>
              <w:rPr>
                <w:rFonts w:hint="default"/>
                <w:b/>
                <w:bCs/>
                <w:color w:val="000000" w:themeColor="text1"/>
                <w:sz w:val="21"/>
                <w:szCs w:val="21"/>
                <w:vertAlign w:val="superscript"/>
                <w14:textFill>
                  <w14:solidFill>
                    <w14:schemeClr w14:val="tx1"/>
                  </w14:solidFill>
                </w14:textFill>
              </w:rPr>
              <w:t>2</w:t>
            </w:r>
            <w:r>
              <w:rPr>
                <w:rFonts w:hint="default"/>
                <w:b/>
                <w:bCs/>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71" w:type="pct"/>
            <w:tcBorders>
              <w:lef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5（km/h）</w:t>
            </w:r>
          </w:p>
        </w:tc>
        <w:tc>
          <w:tcPr>
            <w:tcW w:w="687"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0.051056</w:t>
            </w:r>
          </w:p>
        </w:tc>
        <w:tc>
          <w:tcPr>
            <w:tcW w:w="707"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0.085865</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0.116382</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0.144408</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0.170715</w:t>
            </w:r>
          </w:p>
        </w:tc>
        <w:tc>
          <w:tcPr>
            <w:tcW w:w="708" w:type="pct"/>
            <w:tcBorders>
              <w:righ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0.287108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71" w:type="pct"/>
            <w:tcBorders>
              <w:lef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10（km/h）</w:t>
            </w:r>
          </w:p>
        </w:tc>
        <w:tc>
          <w:tcPr>
            <w:tcW w:w="687"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0.102112</w:t>
            </w:r>
          </w:p>
        </w:tc>
        <w:tc>
          <w:tcPr>
            <w:tcW w:w="707"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0.171731</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0.232764</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0.288815</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0.341431</w:t>
            </w:r>
          </w:p>
        </w:tc>
        <w:tc>
          <w:tcPr>
            <w:tcW w:w="708" w:type="pct"/>
            <w:tcBorders>
              <w:righ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0.574216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71" w:type="pct"/>
            <w:tcBorders>
              <w:lef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15（km/h）</w:t>
            </w:r>
          </w:p>
        </w:tc>
        <w:tc>
          <w:tcPr>
            <w:tcW w:w="687"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0.153167</w:t>
            </w:r>
          </w:p>
        </w:tc>
        <w:tc>
          <w:tcPr>
            <w:tcW w:w="707"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0.257596</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0.349146</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0.433223</w:t>
            </w:r>
          </w:p>
        </w:tc>
        <w:tc>
          <w:tcPr>
            <w:tcW w:w="708" w:type="pct"/>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0.512146</w:t>
            </w:r>
          </w:p>
        </w:tc>
        <w:tc>
          <w:tcPr>
            <w:tcW w:w="708" w:type="pct"/>
            <w:tcBorders>
              <w:righ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0.861323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1" w:type="pct"/>
            <w:tcBorders>
              <w:left w:val="nil"/>
              <w:bottom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25（km/h）</w:t>
            </w:r>
          </w:p>
        </w:tc>
        <w:tc>
          <w:tcPr>
            <w:tcW w:w="687" w:type="pct"/>
            <w:tcBorders>
              <w:bottom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0.255279</w:t>
            </w:r>
          </w:p>
        </w:tc>
        <w:tc>
          <w:tcPr>
            <w:tcW w:w="707" w:type="pct"/>
            <w:tcBorders>
              <w:bottom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0.429326</w:t>
            </w:r>
          </w:p>
        </w:tc>
        <w:tc>
          <w:tcPr>
            <w:tcW w:w="708" w:type="pct"/>
            <w:tcBorders>
              <w:bottom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0.58191</w:t>
            </w:r>
          </w:p>
        </w:tc>
        <w:tc>
          <w:tcPr>
            <w:tcW w:w="708" w:type="pct"/>
            <w:tcBorders>
              <w:bottom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0.722038</w:t>
            </w:r>
          </w:p>
        </w:tc>
        <w:tc>
          <w:tcPr>
            <w:tcW w:w="708" w:type="pct"/>
            <w:tcBorders>
              <w:bottom w:val="single" w:color="auto" w:sz="12" w:space="0"/>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0.853577</w:t>
            </w:r>
          </w:p>
        </w:tc>
        <w:tc>
          <w:tcPr>
            <w:tcW w:w="708" w:type="pct"/>
            <w:tcBorders>
              <w:bottom w:val="single" w:color="auto" w:sz="12" w:space="0"/>
              <w:right w:val="nil"/>
            </w:tcBorders>
            <w:vAlign w:val="center"/>
          </w:tcPr>
          <w:p>
            <w:pPr>
              <w:pStyle w:val="11"/>
              <w:keepNext w:val="0"/>
              <w:keepLines w:val="0"/>
              <w:suppressLineNumbers w:val="0"/>
              <w:adjustRightInd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1.435539</w:t>
            </w:r>
          </w:p>
        </w:tc>
      </w:tr>
    </w:tbl>
    <w:p>
      <w:pPr>
        <w:spacing w:line="360" w:lineRule="auto"/>
        <w:ind w:firstLine="480" w:firstLineChars="200"/>
        <w:contextualSpacing/>
        <w:rPr>
          <w:color w:val="000000" w:themeColor="text1"/>
          <w14:textFill>
            <w14:solidFill>
              <w14:schemeClr w14:val="tx1"/>
            </w14:solidFill>
          </w14:textFill>
        </w:rPr>
      </w:pPr>
      <w:r>
        <w:rPr>
          <w:color w:val="000000" w:themeColor="text1"/>
          <w:sz w:val="24"/>
          <w14:textFill>
            <w14:solidFill>
              <w14:schemeClr w14:val="tx1"/>
            </w14:solidFill>
          </w14:textFill>
        </w:rPr>
        <w:t>如果施工阶段对施工场地和汽车行驶路面勤洒水（每天4～5次），可以使空气中扬尘量减少70%左右，收到很好的降尘效果，扬尘造成的TSP污染距离可缩小到20～50m范围内，洒水作业的试验资料见下表。</w:t>
      </w:r>
    </w:p>
    <w:p>
      <w:pPr>
        <w:pStyle w:val="11"/>
        <w:ind w:firstLine="480"/>
        <w:jc w:val="center"/>
        <w:rPr>
          <w:rFonts w:eastAsia="黑体"/>
          <w:color w:val="000000" w:themeColor="text1"/>
          <w:kern w:val="0"/>
          <w:szCs w:val="24"/>
          <w14:textFill>
            <w14:solidFill>
              <w14:schemeClr w14:val="tx1"/>
            </w14:solidFill>
          </w14:textFill>
        </w:rPr>
      </w:pPr>
      <w:r>
        <w:rPr>
          <w:rFonts w:hint="eastAsia" w:eastAsia="黑体"/>
          <w:color w:val="000000" w:themeColor="text1"/>
          <w:kern w:val="0"/>
          <w:szCs w:val="24"/>
          <w14:textFill>
            <w14:solidFill>
              <w14:schemeClr w14:val="tx1"/>
            </w14:solidFill>
          </w14:textFill>
        </w:rPr>
        <w:t>表2.6-3施工期使用洒水车降尘实验结果</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6"/>
        <w:gridCol w:w="1402"/>
        <w:gridCol w:w="1426"/>
        <w:gridCol w:w="1415"/>
        <w:gridCol w:w="1415"/>
        <w:gridCol w:w="14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670" w:type="pct"/>
            <w:gridSpan w:val="2"/>
            <w:vAlign w:val="center"/>
          </w:tcPr>
          <w:p>
            <w:pPr>
              <w:pStyle w:val="11"/>
              <w:keepNext w:val="0"/>
              <w:keepLines w:val="0"/>
              <w:suppressLineNumbers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距路边距离</w:t>
            </w:r>
            <w:r>
              <w:rPr>
                <w:rFonts w:hint="eastAsia"/>
                <w:b/>
                <w:bCs/>
                <w:color w:val="000000" w:themeColor="text1"/>
                <w:sz w:val="21"/>
                <w:szCs w:val="21"/>
                <w14:textFill>
                  <w14:solidFill>
                    <w14:schemeClr w14:val="tx1"/>
                  </w14:solidFill>
                </w14:textFill>
              </w:rPr>
              <w:t>（</w:t>
            </w:r>
            <w:r>
              <w:rPr>
                <w:rFonts w:hint="default"/>
                <w:b/>
                <w:bCs/>
                <w:color w:val="000000" w:themeColor="text1"/>
                <w:sz w:val="21"/>
                <w:szCs w:val="21"/>
                <w14:textFill>
                  <w14:solidFill>
                    <w14:schemeClr w14:val="tx1"/>
                  </w14:solidFill>
                </w14:textFill>
              </w:rPr>
              <w:t>m</w:t>
            </w:r>
            <w:r>
              <w:rPr>
                <w:rFonts w:hint="eastAsia"/>
                <w:b/>
                <w:bCs/>
                <w:color w:val="000000" w:themeColor="text1"/>
                <w:sz w:val="21"/>
                <w:szCs w:val="21"/>
                <w14:textFill>
                  <w14:solidFill>
                    <w14:schemeClr w14:val="tx1"/>
                  </w14:solidFill>
                </w14:textFill>
              </w:rPr>
              <w:t>）</w:t>
            </w:r>
          </w:p>
        </w:tc>
        <w:tc>
          <w:tcPr>
            <w:tcW w:w="836" w:type="pct"/>
            <w:vAlign w:val="center"/>
          </w:tcPr>
          <w:p>
            <w:pPr>
              <w:pStyle w:val="11"/>
              <w:keepNext w:val="0"/>
              <w:keepLines w:val="0"/>
              <w:suppressLineNumbers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5</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20</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50</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b/>
                <w:bCs/>
                <w:color w:val="000000" w:themeColor="text1"/>
                <w:sz w:val="21"/>
                <w:szCs w:val="21"/>
                <w14:textFill>
                  <w14:solidFill>
                    <w14:schemeClr w14:val="tx1"/>
                  </w14:solidFill>
                </w14:textFill>
              </w:rPr>
            </w:pPr>
            <w:r>
              <w:rPr>
                <w:rFonts w:hint="default"/>
                <w:b/>
                <w:bCs/>
                <w:color w:val="000000" w:themeColor="text1"/>
                <w:sz w:val="21"/>
                <w:szCs w:val="21"/>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848" w:type="pct"/>
            <w:vMerge w:val="restar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TSP浓度</w:t>
            </w:r>
          </w:p>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(mg/m</w:t>
            </w:r>
            <w:r>
              <w:rPr>
                <w:rFonts w:hint="default"/>
                <w:color w:val="000000" w:themeColor="text1"/>
                <w:sz w:val="21"/>
                <w:szCs w:val="21"/>
                <w:vertAlign w:val="superscript"/>
                <w14:textFill>
                  <w14:solidFill>
                    <w14:schemeClr w14:val="tx1"/>
                  </w14:solidFill>
                </w14:textFill>
              </w:rPr>
              <w:t>3)</w:t>
            </w:r>
          </w:p>
        </w:tc>
        <w:tc>
          <w:tcPr>
            <w:tcW w:w="822"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不洒水</w:t>
            </w:r>
          </w:p>
        </w:tc>
        <w:tc>
          <w:tcPr>
            <w:tcW w:w="836"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10.14</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2.89</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1.15</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848" w:type="pct"/>
            <w:vMerge w:val="continue"/>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p>
        </w:tc>
        <w:tc>
          <w:tcPr>
            <w:tcW w:w="822"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洒水</w:t>
            </w:r>
          </w:p>
        </w:tc>
        <w:tc>
          <w:tcPr>
            <w:tcW w:w="836"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2.01</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1.40</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0.68</w:t>
            </w:r>
          </w:p>
        </w:tc>
        <w:tc>
          <w:tcPr>
            <w:tcW w:w="830" w:type="pct"/>
            <w:vAlign w:val="center"/>
          </w:tcPr>
          <w:p>
            <w:pPr>
              <w:pStyle w:val="11"/>
              <w:keepNext w:val="0"/>
              <w:keepLines w:val="0"/>
              <w:suppressLineNumbers w:val="0"/>
              <w:snapToGrid w:val="0"/>
              <w:spacing w:before="0" w:beforeAutospacing="0" w:after="0" w:afterAutospacing="0"/>
              <w:ind w:left="0" w:right="0" w:firstLine="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0.60</w:t>
            </w:r>
          </w:p>
        </w:tc>
      </w:tr>
    </w:tbl>
    <w:p>
      <w:pPr>
        <w:adjustRightInd w:val="0"/>
        <w:snapToGrid w:val="0"/>
        <w:spacing w:line="360" w:lineRule="auto"/>
        <w:ind w:firstLine="480" w:firstLineChars="200"/>
        <w:textAlignment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本项目土石料运输主要依靠现有的周边道路，运输车辆在离开施工场地后因颠簸或风的作用洒落尘土，将产生一次和二次扬尘污染，在不洒水的情况下将对道路两侧100m范围内产生影响，洒水的情况下对道路两侧50m范围有一定的影响。为此，在建设期应对沙石、土路面的运输道路及时清扫和洒水，对于施工中产生的扬尘较大的施工工点、物料堆场，采取定点、定时喷水作业；为控制车辆运输过程中的扬尘污染，可采用加盖篷布或使用封闭车辆的办法进行控制</w:t>
      </w:r>
      <w:r>
        <w:rPr>
          <w:rFonts w:hint="eastAsia"/>
          <w:color w:val="000000" w:themeColor="text1"/>
          <w:sz w:val="24"/>
          <w14:textFill>
            <w14:solidFill>
              <w14:schemeClr w14:val="tx1"/>
            </w14:solidFill>
          </w14:textFill>
        </w:rPr>
        <w:t>。</w:t>
      </w:r>
    </w:p>
    <w:p>
      <w:pPr>
        <w:autoSpaceDE/>
        <w:autoSpaceDN/>
        <w:spacing w:line="360" w:lineRule="auto"/>
        <w:ind w:firstLine="482" w:firstLineChars="200"/>
        <w:jc w:val="both"/>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2、运输车辆及施工机械尾气</w:t>
      </w:r>
    </w:p>
    <w:p>
      <w:pPr>
        <w:adjustRightInd w:val="0"/>
        <w:snapToGrid w:val="0"/>
        <w:spacing w:line="360" w:lineRule="auto"/>
        <w:ind w:firstLine="480" w:firstLineChars="200"/>
        <w:textAlignment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施工区的燃油设备主要是施工机械和运输车辆，其排放的尾气在施工期间对施工作业点和交通道路附近的大气环境会造成一定程度的污染，产生CO、碳氢化合物、NO</w:t>
      </w:r>
      <w:r>
        <w:rPr>
          <w:rFonts w:hint="eastAsia"/>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等污染物。运输车辆的废气是沿交通路线排放，施工机械的废气基本以点源形式排放。</w:t>
      </w:r>
    </w:p>
    <w:p>
      <w:pPr>
        <w:adjustRightInd w:val="0"/>
        <w:snapToGrid w:val="0"/>
        <w:spacing w:line="360" w:lineRule="auto"/>
        <w:ind w:firstLine="480" w:firstLineChars="200"/>
        <w:textAlignment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实际建设施工中，为减小施工场地车辆、燃油机械尾气排放对区域大气环境的影响，采取了以下措施：燃油机械选用符合国家质量标准的柴油作燃料；禁止使用废气排放超标的车辆；加强了对机械设备的养护，减少不必要的空转时间，减少尾气排放。</w:t>
      </w:r>
    </w:p>
    <w:p>
      <w:pPr>
        <w:adjustRightInd w:val="0"/>
        <w:snapToGrid w:val="0"/>
        <w:spacing w:line="360" w:lineRule="auto"/>
        <w:ind w:firstLine="480" w:firstLineChars="200"/>
        <w:textAlignment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由于施工区空气流通性好，排放废气中的各项污染物能够很快扩散，未引起局部大气环境质量的恶化。加之废气排放的不连续性和本项目工程施工期有限，排放的废气对区域的环境空气质量影响是较小的，无环境遗留问题。</w:t>
      </w:r>
    </w:p>
    <w:p>
      <w:pPr>
        <w:snapToGrid w:val="0"/>
        <w:spacing w:line="360" w:lineRule="auto"/>
        <w:ind w:firstLine="482" w:firstLineChars="200"/>
        <w:rPr>
          <w:rFonts w:cs="宋体"/>
          <w:b/>
          <w:color w:val="000000" w:themeColor="text1"/>
          <w:sz w:val="24"/>
          <w14:textFill>
            <w14:solidFill>
              <w14:schemeClr w14:val="tx1"/>
            </w14:solidFill>
          </w14:textFill>
        </w:rPr>
      </w:pPr>
      <w:r>
        <w:rPr>
          <w:rFonts w:hint="eastAsia" w:cs="宋体"/>
          <w:b/>
          <w:color w:val="000000" w:themeColor="text1"/>
          <w:sz w:val="24"/>
          <w14:textFill>
            <w14:solidFill>
              <w14:schemeClr w14:val="tx1"/>
            </w14:solidFill>
          </w14:textFill>
        </w:rPr>
        <w:t>3、淤泥</w:t>
      </w:r>
      <w:r>
        <w:rPr>
          <w:rFonts w:cs="宋体"/>
          <w:b/>
          <w:color w:val="000000" w:themeColor="text1"/>
          <w:sz w:val="24"/>
          <w14:textFill>
            <w14:solidFill>
              <w14:schemeClr w14:val="tx1"/>
            </w14:solidFill>
          </w14:textFill>
        </w:rPr>
        <w:t>恶臭</w:t>
      </w:r>
    </w:p>
    <w:p>
      <w:pPr>
        <w:adjustRightInd w:val="0"/>
        <w:snapToGrid w:val="0"/>
        <w:spacing w:line="360" w:lineRule="auto"/>
        <w:ind w:firstLine="480" w:firstLineChars="200"/>
        <w:textAlignment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恶臭主要来自渠道底泥开挖及淤泥晾晒沥水过程，清淤时段选择在渠道干槽时段进行，但局部暗渠或低洼处会有少量水体，清淤时水体受到搅动会产生恶臭，另外淤泥在渠道内晾晒沥水过程中会产生恶臭。恶臭强度是以嗅觉阈值为基准划分等级的，目前国内将恶臭强度划分为6级，限值标准相当于恶臭强度2.5～3.5级，超出该强度范围，即发生恶臭污染，需要采取防护措施。</w:t>
      </w:r>
    </w:p>
    <w:p>
      <w:pPr>
        <w:adjustRightInd w:val="0"/>
        <w:snapToGrid w:val="0"/>
        <w:spacing w:line="360" w:lineRule="auto"/>
        <w:ind w:firstLine="480" w:firstLineChars="200"/>
        <w:textAlignment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根据同类项目及有关调查分析，清淤过程及堆放中在该段渠道岸边将会有明显的臭味，恶臭强度约为2-3级左右，影响范围在30m左右，30m之外达到2级强度，有轻微的臭味。</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6</w:t>
      </w:r>
      <w:r>
        <w:rPr>
          <w:b/>
          <w:color w:val="000000" w:themeColor="text1"/>
          <w:kern w:val="0"/>
          <w:sz w:val="24"/>
          <w:szCs w:val="24"/>
          <w14:textFill>
            <w14:solidFill>
              <w14:schemeClr w14:val="tx1"/>
            </w14:solidFill>
          </w14:textFill>
        </w:rPr>
        <w:t>.2.3</w:t>
      </w:r>
      <w:r>
        <w:rPr>
          <w:rFonts w:hint="eastAsia"/>
          <w:b/>
          <w:color w:val="000000" w:themeColor="text1"/>
          <w:kern w:val="0"/>
          <w:sz w:val="24"/>
          <w:szCs w:val="24"/>
          <w14:textFill>
            <w14:solidFill>
              <w14:schemeClr w14:val="tx1"/>
            </w14:solidFill>
          </w14:textFill>
        </w:rPr>
        <w:t>噪</w:t>
      </w:r>
      <w:r>
        <w:rPr>
          <w:b/>
          <w:color w:val="000000" w:themeColor="text1"/>
          <w:kern w:val="0"/>
          <w:sz w:val="24"/>
          <w:szCs w:val="24"/>
          <w14:textFill>
            <w14:solidFill>
              <w14:schemeClr w14:val="tx1"/>
            </w14:solidFill>
          </w14:textFill>
        </w:rPr>
        <w:t>声</w:t>
      </w:r>
    </w:p>
    <w:p>
      <w:pPr>
        <w:autoSpaceDE/>
        <w:autoSpaceDN/>
        <w:spacing w:line="360" w:lineRule="auto"/>
        <w:ind w:firstLine="482" w:firstLineChars="200"/>
        <w:jc w:val="both"/>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1、噪声源与声环境敏感目标</w:t>
      </w:r>
    </w:p>
    <w:p>
      <w:pPr>
        <w:autoSpaceDE/>
        <w:autoSpaceDN/>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工程施工区噪声源主要有机械设备产生的噪声，移动的交通噪声。噪声源主要分布于土方开挖等施工区、施工道路等。土石方开挖噪声源主要为挖掘机、推土机等，噪声值在75-90dB（A）之间；机械加工厂噪声值可达90dB（A）；交通噪声强度为70~90dB（A）。</w:t>
      </w:r>
    </w:p>
    <w:p>
      <w:pPr>
        <w:autoSpaceDE/>
        <w:autoSpaceDN/>
        <w:spacing w:line="360" w:lineRule="auto"/>
        <w:ind w:firstLine="480" w:firstLineChars="200"/>
        <w:jc w:val="both"/>
        <w:rPr>
          <w:rFonts w:hint="eastAsia"/>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工程北支一渠、董家堰补水渠（上）、董家堰补水渠（下）位于新都区，南五支渠、南六支渠位于龙泉驿区，周边敏感点较少，主要为北支一渠附近的居民小区和少量散居农户，具体见表2.6-4。</w:t>
      </w:r>
    </w:p>
    <w:p>
      <w:pPr>
        <w:spacing w:line="360" w:lineRule="auto"/>
        <w:ind w:firstLine="480" w:firstLineChars="200"/>
        <w:rPr>
          <w:color w:val="000000" w:themeColor="text1"/>
          <w:sz w:val="24"/>
          <w:szCs w:val="20"/>
          <w14:textFill>
            <w14:solidFill>
              <w14:schemeClr w14:val="tx1"/>
            </w14:solidFill>
          </w14:textFill>
        </w:rPr>
      </w:pPr>
      <w:r>
        <w:rPr>
          <w:color w:val="000000" w:themeColor="text1"/>
          <w:kern w:val="0"/>
          <w:sz w:val="24"/>
          <w:szCs w:val="20"/>
          <w14:textFill>
            <w14:solidFill>
              <w14:schemeClr w14:val="tx1"/>
            </w14:solidFill>
          </w14:textFill>
        </w:rPr>
        <w:t>根</w:t>
      </w:r>
      <w:r>
        <w:rPr>
          <w:color w:val="000000" w:themeColor="text1"/>
          <w:sz w:val="24"/>
          <w:szCs w:val="20"/>
          <w14:textFill>
            <w14:solidFill>
              <w14:schemeClr w14:val="tx1"/>
            </w14:solidFill>
          </w14:textFill>
        </w:rPr>
        <w:t>据</w:t>
      </w:r>
      <w:r>
        <w:rPr>
          <w:rFonts w:hint="eastAsia"/>
          <w:color w:val="000000" w:themeColor="text1"/>
          <w:sz w:val="24"/>
          <w:szCs w:val="20"/>
          <w14:textFill>
            <w14:solidFill>
              <w14:schemeClr w14:val="tx1"/>
            </w14:solidFill>
          </w14:textFill>
        </w:rPr>
        <w:t>《环境噪声与振动控制工程技术导则》（HJ2034-2013）</w:t>
      </w:r>
      <w:r>
        <w:rPr>
          <w:color w:val="000000" w:themeColor="text1"/>
          <w:sz w:val="24"/>
          <w:szCs w:val="20"/>
          <w14:textFill>
            <w14:solidFill>
              <w14:schemeClr w14:val="tx1"/>
            </w14:solidFill>
          </w14:textFill>
        </w:rPr>
        <w:t>其他</w:t>
      </w:r>
      <w:r>
        <w:rPr>
          <w:color w:val="000000" w:themeColor="text1"/>
          <w:kern w:val="0"/>
          <w:sz w:val="24"/>
          <w:szCs w:val="20"/>
          <w14:textFill>
            <w14:solidFill>
              <w14:schemeClr w14:val="tx1"/>
            </w14:solidFill>
          </w14:textFill>
        </w:rPr>
        <w:t>同类工程施工期</w:t>
      </w:r>
      <w:r>
        <w:rPr>
          <w:color w:val="000000" w:themeColor="text1"/>
          <w:sz w:val="24"/>
          <w14:textFill>
            <w14:solidFill>
              <w14:schemeClr w14:val="tx1"/>
            </w14:solidFill>
          </w14:textFill>
        </w:rPr>
        <w:t>常用机械的实测资料</w:t>
      </w:r>
      <w:r>
        <w:rPr>
          <w:color w:val="000000" w:themeColor="text1"/>
          <w:kern w:val="0"/>
          <w:sz w:val="24"/>
          <w:szCs w:val="20"/>
          <w14:textFill>
            <w14:solidFill>
              <w14:schemeClr w14:val="tx1"/>
            </w14:solidFill>
          </w14:textFill>
        </w:rPr>
        <w:t>，</w:t>
      </w:r>
      <w:r>
        <w:rPr>
          <w:color w:val="000000" w:themeColor="text1"/>
          <w:sz w:val="24"/>
          <w14:textFill>
            <w14:solidFill>
              <w14:schemeClr w14:val="tx1"/>
            </w14:solidFill>
          </w14:textFill>
        </w:rPr>
        <w:t>本项目施工期机械设备噪声源源强见下表。</w:t>
      </w:r>
    </w:p>
    <w:p>
      <w:pPr>
        <w:autoSpaceDE w:val="0"/>
        <w:autoSpaceDN w:val="0"/>
        <w:adjustRightInd w:val="0"/>
        <w:snapToGrid w:val="0"/>
        <w:ind w:firstLine="480" w:firstLineChars="200"/>
        <w:jc w:val="center"/>
        <w:rPr>
          <w:rFonts w:hint="eastAsia" w:ascii="Times New Roman" w:hAnsi="Times New Roman" w:eastAsia="黑体" w:cs="Times New Roman"/>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w:t>
      </w:r>
      <w:r>
        <w:rPr>
          <w:rFonts w:hint="eastAsia" w:ascii="Times New Roman" w:hAnsi="Times New Roman" w:eastAsia="黑体" w:cs="Times New Roman"/>
          <w:color w:val="000000" w:themeColor="text1"/>
          <w:kern w:val="0"/>
          <w:sz w:val="24"/>
          <w:szCs w:val="24"/>
          <w14:textFill>
            <w14:solidFill>
              <w14:schemeClr w14:val="tx1"/>
            </w14:solidFill>
          </w14:textFill>
        </w:rPr>
        <w:t>2.6-4</w:t>
      </w:r>
      <w:r>
        <w:rPr>
          <w:rFonts w:hint="eastAsia" w:ascii="Times New Roman" w:hAnsi="Times New Roman" w:eastAsia="黑体" w:cs="Times New Roman"/>
          <w:color w:val="000000" w:themeColor="text1"/>
          <w:kern w:val="0"/>
          <w:sz w:val="24"/>
          <w:szCs w:val="24"/>
          <w:lang w:val="en-US" w:eastAsia="zh-CN"/>
          <w14:textFill>
            <w14:solidFill>
              <w14:schemeClr w14:val="tx1"/>
            </w14:solidFill>
          </w14:textFill>
        </w:rPr>
        <w:t xml:space="preserve">   </w:t>
      </w:r>
      <w:r>
        <w:rPr>
          <w:rFonts w:hint="eastAsia" w:ascii="Times New Roman" w:hAnsi="Times New Roman" w:eastAsia="黑体" w:cs="Times New Roman"/>
          <w:color w:val="000000" w:themeColor="text1"/>
          <w:kern w:val="0"/>
          <w:sz w:val="24"/>
          <w:szCs w:val="24"/>
          <w14:textFill>
            <w14:solidFill>
              <w14:schemeClr w14:val="tx1"/>
            </w14:solidFill>
          </w14:textFill>
        </w:rPr>
        <w:t>施工期主要施工机械设备的噪声声级    单位：dB（A）</w:t>
      </w:r>
    </w:p>
    <w:tbl>
      <w:tblPr>
        <w:tblStyle w:val="38"/>
        <w:tblW w:w="4717" w:type="pct"/>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20"/>
        <w:gridCol w:w="2006"/>
        <w:gridCol w:w="2558"/>
        <w:gridCol w:w="24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2"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b/>
                <w:color w:val="000000" w:themeColor="text1"/>
                <w:kern w:val="0"/>
                <w:szCs w:val="21"/>
                <w14:textFill>
                  <w14:solidFill>
                    <w14:schemeClr w14:val="tx1"/>
                  </w14:solidFill>
                </w14:textFill>
              </w:rPr>
            </w:pPr>
            <w:r>
              <w:rPr>
                <w:rFonts w:hint="default"/>
                <w:b/>
                <w:color w:val="000000" w:themeColor="text1"/>
                <w:kern w:val="0"/>
                <w:szCs w:val="21"/>
                <w14:textFill>
                  <w14:solidFill>
                    <w14:schemeClr w14:val="tx1"/>
                  </w14:solidFill>
                </w14:textFill>
              </w:rPr>
              <w:t>序号</w:t>
            </w:r>
          </w:p>
        </w:tc>
        <w:tc>
          <w:tcPr>
            <w:tcW w:w="2006"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b/>
                <w:color w:val="000000" w:themeColor="text1"/>
                <w:kern w:val="0"/>
                <w:szCs w:val="21"/>
                <w14:textFill>
                  <w14:solidFill>
                    <w14:schemeClr w14:val="tx1"/>
                  </w14:solidFill>
                </w14:textFill>
              </w:rPr>
            </w:pPr>
            <w:r>
              <w:rPr>
                <w:rFonts w:hint="default"/>
                <w:b/>
                <w:color w:val="000000" w:themeColor="text1"/>
                <w:kern w:val="0"/>
                <w:szCs w:val="21"/>
                <w14:textFill>
                  <w14:solidFill>
                    <w14:schemeClr w14:val="tx1"/>
                  </w14:solidFill>
                </w14:textFill>
              </w:rPr>
              <w:t>机械类型</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b/>
                <w:color w:val="000000" w:themeColor="text1"/>
                <w:kern w:val="0"/>
                <w:szCs w:val="21"/>
                <w14:textFill>
                  <w14:solidFill>
                    <w14:schemeClr w14:val="tx1"/>
                  </w14:solidFill>
                </w14:textFill>
              </w:rPr>
            </w:pPr>
            <w:r>
              <w:rPr>
                <w:rFonts w:hint="default"/>
                <w:b/>
                <w:color w:val="000000" w:themeColor="text1"/>
                <w14:textFill>
                  <w14:solidFill>
                    <w14:schemeClr w14:val="tx1"/>
                  </w14:solidFill>
                </w14:textFill>
              </w:rPr>
              <w:t>测点距施工机械距离（m）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b/>
                <w:color w:val="000000" w:themeColor="text1"/>
                <w:kern w:val="0"/>
                <w:szCs w:val="21"/>
                <w14:textFill>
                  <w14:solidFill>
                    <w14:schemeClr w14:val="tx1"/>
                  </w14:solidFill>
                </w14:textFill>
              </w:rPr>
            </w:pPr>
            <w:r>
              <w:rPr>
                <w:rFonts w:hint="default"/>
                <w:b/>
                <w:color w:val="000000" w:themeColor="text1"/>
                <w:kern w:val="0"/>
                <w:szCs w:val="21"/>
                <w14:textFill>
                  <w14:solidFill>
                    <w14:schemeClr w14:val="tx1"/>
                  </w14:solidFill>
                </w14:textFill>
              </w:rPr>
              <w:t>噪声源强值dB(A)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1</w:t>
            </w:r>
          </w:p>
        </w:tc>
        <w:tc>
          <w:tcPr>
            <w:tcW w:w="2006" w:type="dxa"/>
            <w:noWrap w:val="0"/>
            <w:vAlign w:val="center"/>
          </w:tcPr>
          <w:p>
            <w:pPr>
              <w:keepNext w:val="0"/>
              <w:keepLines w:val="0"/>
              <w:suppressLineNumbers w:val="0"/>
              <w:spacing w:before="0" w:beforeAutospacing="0" w:after="0" w:afterAutospacing="0"/>
              <w:ind w:left="-20" w:right="-45"/>
              <w:jc w:val="center"/>
              <w:rPr>
                <w:rFonts w:hint="default"/>
                <w:color w:val="000000" w:themeColor="text1"/>
                <w:szCs w:val="21"/>
                <w14:textFill>
                  <w14:solidFill>
                    <w14:schemeClr w14:val="tx1"/>
                  </w14:solidFill>
                </w14:textFill>
              </w:rPr>
            </w:pPr>
            <w:r>
              <w:rPr>
                <w:rFonts w:hint="eastAsia"/>
                <w:color w:val="000000" w:themeColor="text1"/>
                <w:kern w:val="0"/>
                <w:szCs w:val="22"/>
                <w14:textFill>
                  <w14:solidFill>
                    <w14:schemeClr w14:val="tx1"/>
                  </w14:solidFill>
                </w14:textFill>
              </w:rPr>
              <w:t>电动</w:t>
            </w:r>
            <w:r>
              <w:rPr>
                <w:rFonts w:hint="default"/>
                <w:color w:val="000000" w:themeColor="text1"/>
                <w:kern w:val="0"/>
                <w:szCs w:val="22"/>
                <w14:textFill>
                  <w14:solidFill>
                    <w14:schemeClr w14:val="tx1"/>
                  </w14:solidFill>
                </w14:textFill>
              </w:rPr>
              <w:t>挖掘机</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2</w:t>
            </w:r>
          </w:p>
        </w:tc>
        <w:tc>
          <w:tcPr>
            <w:tcW w:w="2006" w:type="dxa"/>
            <w:noWrap w:val="0"/>
            <w:vAlign w:val="center"/>
          </w:tcPr>
          <w:p>
            <w:pPr>
              <w:keepNext w:val="0"/>
              <w:keepLines w:val="0"/>
              <w:suppressLineNumbers w:val="0"/>
              <w:spacing w:before="0" w:beforeAutospacing="0" w:after="0" w:afterAutospacing="0"/>
              <w:ind w:left="-20" w:right="-45"/>
              <w:jc w:val="center"/>
              <w:rPr>
                <w:rFonts w:hint="default"/>
                <w:color w:val="000000" w:themeColor="text1"/>
                <w:szCs w:val="21"/>
                <w14:textFill>
                  <w14:solidFill>
                    <w14:schemeClr w14:val="tx1"/>
                  </w14:solidFill>
                </w14:textFill>
              </w:rPr>
            </w:pPr>
            <w:r>
              <w:rPr>
                <w:rFonts w:hint="default"/>
                <w:color w:val="000000" w:themeColor="text1"/>
                <w:kern w:val="0"/>
                <w:szCs w:val="22"/>
                <w14:textFill>
                  <w14:solidFill>
                    <w14:schemeClr w14:val="tx1"/>
                  </w14:solidFill>
                </w14:textFill>
              </w:rPr>
              <w:t>推土机</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83</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88</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85</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3</w:t>
            </w:r>
          </w:p>
        </w:tc>
        <w:tc>
          <w:tcPr>
            <w:tcW w:w="2006" w:type="dxa"/>
            <w:noWrap w:val="0"/>
            <w:vAlign w:val="center"/>
          </w:tcPr>
          <w:p>
            <w:pPr>
              <w:keepNext w:val="0"/>
              <w:keepLines w:val="0"/>
              <w:suppressLineNumbers w:val="0"/>
              <w:spacing w:before="0" w:beforeAutospacing="0" w:after="0" w:afterAutospacing="0"/>
              <w:ind w:left="-20" w:right="-45"/>
              <w:jc w:val="center"/>
              <w:rPr>
                <w:rFonts w:hint="default"/>
                <w:color w:val="000000" w:themeColor="text1"/>
                <w:kern w:val="0"/>
                <w:szCs w:val="22"/>
                <w14:textFill>
                  <w14:solidFill>
                    <w14:schemeClr w14:val="tx1"/>
                  </w14:solidFill>
                </w14:textFill>
              </w:rPr>
            </w:pPr>
            <w:r>
              <w:rPr>
                <w:rFonts w:hint="default" w:ascii="宋体" w:hAnsi="宋体" w:cs="宋体"/>
                <w:color w:val="000000" w:themeColor="text1"/>
                <w14:textFill>
                  <w14:solidFill>
                    <w14:schemeClr w14:val="tx1"/>
                  </w14:solidFill>
                </w14:textFill>
              </w:rPr>
              <w:t>拖拉机</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4</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振动碾拖式</w:t>
            </w:r>
            <w:r>
              <w:rPr>
                <w:rFonts w:hint="default" w:eastAsia="Times New Roman"/>
                <w:color w:val="000000" w:themeColor="text1"/>
                <w14:textFill>
                  <w14:solidFill>
                    <w14:schemeClr w14:val="tx1"/>
                  </w14:solidFill>
                </w14:textFill>
              </w:rPr>
              <w:t>13-14t</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5</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eastAsia="宋体" w:cs="宋体"/>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刨毛机</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6</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蛙式夯实机</w:t>
            </w:r>
            <w:r>
              <w:rPr>
                <w:rFonts w:hint="default" w:eastAsia="Times New Roman"/>
                <w:color w:val="000000" w:themeColor="text1"/>
                <w14:textFill>
                  <w14:solidFill>
                    <w14:schemeClr w14:val="tx1"/>
                  </w14:solidFill>
                </w14:textFill>
              </w:rPr>
              <w:t>2.8kw</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7</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电钻</w:t>
            </w:r>
            <w:r>
              <w:rPr>
                <w:rFonts w:hint="default" w:eastAsia="Times New Roman"/>
                <w:color w:val="000000" w:themeColor="text1"/>
                <w14:textFill>
                  <w14:solidFill>
                    <w14:schemeClr w14:val="tx1"/>
                  </w14:solidFill>
                </w14:textFill>
              </w:rPr>
              <w:t>1.5kw</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9"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8</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振捣器插入式</w:t>
            </w:r>
            <w:r>
              <w:rPr>
                <w:rFonts w:hint="default" w:eastAsia="Times New Roman"/>
                <w:color w:val="000000" w:themeColor="text1"/>
                <w14:textFill>
                  <w14:solidFill>
                    <w14:schemeClr w14:val="tx1"/>
                  </w14:solidFill>
                </w14:textFill>
              </w:rPr>
              <w:t>1.1kw</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9"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9</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振捣器插入式</w:t>
            </w:r>
            <w:r>
              <w:rPr>
                <w:rFonts w:hint="default" w:eastAsia="Times New Roman"/>
                <w:color w:val="000000" w:themeColor="text1"/>
                <w14:textFill>
                  <w14:solidFill>
                    <w14:schemeClr w14:val="tx1"/>
                  </w14:solidFill>
                </w14:textFill>
              </w:rPr>
              <w:t>2.2kw</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000000" w:themeColor="text1"/>
                <w:kern w:val="0"/>
                <w:szCs w:val="21"/>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9"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10</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风</w:t>
            </w:r>
            <w:r>
              <w:rPr>
                <w:rFonts w:hint="eastAsia" w:ascii="宋体" w:hAnsi="宋体" w:cs="宋体"/>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砂</w:t>
            </w:r>
            <w:r>
              <w:rPr>
                <w:rFonts w:hint="eastAsia" w:ascii="宋体" w:hAnsi="宋体" w:cs="宋体"/>
                <w:color w:val="000000" w:themeColor="text1"/>
                <w14:textFill>
                  <w14:solidFill>
                    <w14:schemeClr w14:val="tx1"/>
                  </w14:solidFill>
                </w14:textFill>
              </w:rPr>
              <w:t>）</w:t>
            </w:r>
            <w:r>
              <w:rPr>
                <w:rFonts w:hint="default" w:ascii="宋体" w:hAnsi="宋体" w:cs="宋体"/>
                <w:color w:val="000000" w:themeColor="text1"/>
                <w14:textFill>
                  <w14:solidFill>
                    <w14:schemeClr w14:val="tx1"/>
                  </w14:solidFill>
                </w14:textFill>
              </w:rPr>
              <w:t>水枪</w:t>
            </w:r>
            <w:r>
              <w:rPr>
                <w:rFonts w:hint="default" w:eastAsia="Times New Roman"/>
                <w:color w:val="000000" w:themeColor="text1"/>
                <w14:textFill>
                  <w14:solidFill>
                    <w14:schemeClr w14:val="tx1"/>
                  </w14:solidFill>
                </w14:textFill>
              </w:rPr>
              <w:t>6m</w:t>
            </w:r>
            <w:r>
              <w:rPr>
                <w:rFonts w:hint="default" w:eastAsia="Times New Roman"/>
                <w:color w:val="000000" w:themeColor="text1"/>
                <w:vertAlign w:val="superscript"/>
                <w14:textFill>
                  <w14:solidFill>
                    <w14:schemeClr w14:val="tx1"/>
                  </w14:solidFill>
                </w14:textFill>
              </w:rPr>
              <w:t>3</w:t>
            </w:r>
            <w:r>
              <w:rPr>
                <w:rFonts w:hint="default" w:eastAsia="Times New Roman"/>
                <w:color w:val="000000" w:themeColor="text1"/>
                <w14:textFill>
                  <w14:solidFill>
                    <w14:schemeClr w14:val="tx1"/>
                  </w14:solidFill>
                </w14:textFill>
              </w:rPr>
              <w:t>/min</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11</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载重汽车</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12</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自卸汽车</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13</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eastAsia="宋体" w:cs="宋体"/>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胶轮车</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14</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塔式起重机</w:t>
            </w:r>
            <w:r>
              <w:rPr>
                <w:rFonts w:hint="default" w:eastAsia="Times New Roman"/>
                <w:color w:val="000000" w:themeColor="text1"/>
                <w14:textFill>
                  <w14:solidFill>
                    <w14:schemeClr w14:val="tx1"/>
                  </w14:solidFill>
                </w14:textFill>
              </w:rPr>
              <w:t>10t</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90</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15</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汽车起重机</w:t>
            </w:r>
            <w:r>
              <w:rPr>
                <w:rFonts w:hint="default" w:eastAsia="Times New Roman"/>
                <w:color w:val="000000" w:themeColor="text1"/>
                <w14:textFill>
                  <w14:solidFill>
                    <w14:schemeClr w14:val="tx1"/>
                  </w14:solidFill>
                </w14:textFill>
              </w:rPr>
              <w:t>5t</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82</w:t>
            </w:r>
            <w:r>
              <w:rPr>
                <w:rFonts w:hint="default"/>
                <w:color w:val="000000" w:themeColor="text1"/>
                <w:kern w:val="0"/>
                <w:szCs w:val="21"/>
                <w14:textFill>
                  <w14:solidFill>
                    <w14:schemeClr w14:val="tx1"/>
                  </w14:solidFill>
                </w14:textFill>
              </w:rPr>
              <w:t>~9</w:t>
            </w:r>
            <w:r>
              <w:rPr>
                <w:rFonts w:hint="eastAsia"/>
                <w:color w:val="000000" w:themeColor="text1"/>
                <w:kern w:val="0"/>
                <w:szCs w:val="21"/>
                <w14:textFill>
                  <w14:solidFill>
                    <w14:schemeClr w14:val="tx1"/>
                  </w14:solidFill>
                </w14:textFill>
              </w:rPr>
              <w:t>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16</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电动葫芦</w:t>
            </w:r>
            <w:r>
              <w:rPr>
                <w:rFonts w:hint="default" w:eastAsia="Times New Roman"/>
                <w:color w:val="000000" w:themeColor="text1"/>
                <w14:textFill>
                  <w14:solidFill>
                    <w14:schemeClr w14:val="tx1"/>
                  </w14:solidFill>
                </w14:textFill>
              </w:rPr>
              <w:t>3t</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17</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卷扬机单筒慢速</w:t>
            </w:r>
            <w:r>
              <w:rPr>
                <w:rFonts w:hint="default" w:eastAsia="Times New Roman"/>
                <w:color w:val="000000" w:themeColor="text1"/>
                <w14:textFill>
                  <w14:solidFill>
                    <w14:schemeClr w14:val="tx1"/>
                  </w14:solidFill>
                </w14:textFill>
              </w:rPr>
              <w:t>3t</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18</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电焊机交流</w:t>
            </w:r>
            <w:r>
              <w:rPr>
                <w:rFonts w:hint="default" w:eastAsia="Times New Roman"/>
                <w:color w:val="000000" w:themeColor="text1"/>
                <w:spacing w:val="-7"/>
                <w14:textFill>
                  <w14:solidFill>
                    <w14:schemeClr w14:val="tx1"/>
                  </w14:solidFill>
                </w14:textFill>
              </w:rPr>
              <w:t>25kVA</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19</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对焊机电弧型</w:t>
            </w:r>
            <w:r>
              <w:rPr>
                <w:rFonts w:hint="default" w:eastAsia="Times New Roman"/>
                <w:color w:val="000000" w:themeColor="text1"/>
                <w14:textFill>
                  <w14:solidFill>
                    <w14:schemeClr w14:val="tx1"/>
                  </w14:solidFill>
                </w14:textFill>
              </w:rPr>
              <w:t>150</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9"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20</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钢筋弯曲机Φ</w:t>
            </w:r>
            <w:r>
              <w:rPr>
                <w:rFonts w:hint="default" w:eastAsia="Times New Roman"/>
                <w:color w:val="000000" w:themeColor="text1"/>
                <w14:textFill>
                  <w14:solidFill>
                    <w14:schemeClr w14:val="tx1"/>
                  </w14:solidFill>
                </w14:textFill>
              </w:rPr>
              <w:t>6</w:t>
            </w:r>
            <w:r>
              <w:rPr>
                <w:rFonts w:hint="default" w:ascii="宋体" w:hAnsi="宋体" w:cs="宋体"/>
                <w:color w:val="000000" w:themeColor="text1"/>
                <w14:textFill>
                  <w14:solidFill>
                    <w14:schemeClr w14:val="tx1"/>
                  </w14:solidFill>
                </w14:textFill>
              </w:rPr>
              <w:t>－</w:t>
            </w:r>
            <w:r>
              <w:rPr>
                <w:rFonts w:hint="default" w:eastAsia="Times New Roman"/>
                <w:color w:val="000000" w:themeColor="text1"/>
                <w14:textFill>
                  <w14:solidFill>
                    <w14:schemeClr w14:val="tx1"/>
                  </w14:solidFill>
                </w14:textFill>
              </w:rPr>
              <w:t>40</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21</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钢筋切断机</w:t>
            </w:r>
            <w:r>
              <w:rPr>
                <w:rFonts w:hint="default" w:eastAsia="Times New Roman"/>
                <w:color w:val="000000" w:themeColor="text1"/>
                <w14:textFill>
                  <w14:solidFill>
                    <w14:schemeClr w14:val="tx1"/>
                  </w14:solidFill>
                </w14:textFill>
              </w:rPr>
              <w:t>20kW</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9"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22</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钢筋调直机</w:t>
            </w:r>
            <w:r>
              <w:rPr>
                <w:rFonts w:hint="default" w:eastAsia="Times New Roman"/>
                <w:color w:val="000000" w:themeColor="text1"/>
                <w14:textFill>
                  <w14:solidFill>
                    <w14:schemeClr w14:val="tx1"/>
                  </w14:solidFill>
                </w14:textFill>
              </w:rPr>
              <w:t>4-14kW</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23</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Times New Roman" w:hAnsi="Times New Roman" w:eastAsia="Times New Roman" w:cs="Times New Roman"/>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型钢剪断机</w:t>
            </w:r>
            <w:r>
              <w:rPr>
                <w:rFonts w:hint="default" w:eastAsia="Times New Roman"/>
                <w:color w:val="000000" w:themeColor="text1"/>
                <w14:textFill>
                  <w14:solidFill>
                    <w14:schemeClr w14:val="tx1"/>
                  </w14:solidFill>
                </w14:textFill>
              </w:rPr>
              <w:t>13kW</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80</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86</w:t>
            </w:r>
            <w:r>
              <w:rPr>
                <w:rFonts w:hint="default"/>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020"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24</w:t>
            </w:r>
          </w:p>
        </w:tc>
        <w:tc>
          <w:tcPr>
            <w:tcW w:w="2006" w:type="dxa"/>
            <w:noWrap w:val="0"/>
            <w:vAlign w:val="center"/>
          </w:tcPr>
          <w:p>
            <w:pPr>
              <w:pStyle w:val="60"/>
              <w:keepNext w:val="0"/>
              <w:keepLines w:val="0"/>
              <w:suppressLineNumbers w:val="0"/>
              <w:autoSpaceDE/>
              <w:autoSpaceDN/>
              <w:adjustRightInd w:val="0"/>
              <w:snapToGrid w:val="0"/>
              <w:spacing w:before="0" w:beforeAutospacing="0" w:after="0" w:afterAutospacing="0"/>
              <w:ind w:left="0" w:right="0"/>
              <w:rPr>
                <w:rFonts w:hint="default" w:ascii="宋体" w:hAnsi="宋体" w:eastAsia="宋体" w:cs="宋体"/>
                <w:color w:val="000000" w:themeColor="text1"/>
                <w:kern w:val="2"/>
                <w:sz w:val="21"/>
                <w:szCs w:val="21"/>
                <w:lang w:val="zh-CN" w:eastAsia="zh-CN" w:bidi="zh-CN"/>
                <w14:textFill>
                  <w14:solidFill>
                    <w14:schemeClr w14:val="tx1"/>
                  </w14:solidFill>
                </w14:textFill>
              </w:rPr>
            </w:pPr>
            <w:r>
              <w:rPr>
                <w:rFonts w:hint="default" w:ascii="宋体" w:hAnsi="宋体" w:cs="宋体"/>
                <w:color w:val="000000" w:themeColor="text1"/>
                <w14:textFill>
                  <w14:solidFill>
                    <w14:schemeClr w14:val="tx1"/>
                  </w14:solidFill>
                </w14:textFill>
              </w:rPr>
              <w:t>柴油发电机组</w:t>
            </w:r>
          </w:p>
        </w:tc>
        <w:tc>
          <w:tcPr>
            <w:tcW w:w="255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szCs w:val="21"/>
                <w14:textFill>
                  <w14:solidFill>
                    <w14:schemeClr w14:val="tx1"/>
                  </w14:solidFill>
                </w14:textFill>
              </w:rPr>
              <w:t>5m</w:t>
            </w:r>
          </w:p>
        </w:tc>
        <w:tc>
          <w:tcPr>
            <w:tcW w:w="2454"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textAlignment w:val="baseline"/>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95~102（96）</w:t>
            </w:r>
          </w:p>
        </w:tc>
      </w:tr>
    </w:tbl>
    <w:p>
      <w:pPr>
        <w:snapToGrid w:val="0"/>
        <w:spacing w:line="360" w:lineRule="auto"/>
        <w:ind w:firstLine="480" w:firstLineChars="200"/>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根据上表可知，保利湖心岛和狮子湖南侧居民点距离工程区较近，在不采取任何防护措施的情况下，施工期昼间噪声</w:t>
      </w:r>
      <w:r>
        <w:rPr>
          <w:rFonts w:hint="eastAsia"/>
          <w:color w:val="000000" w:themeColor="text1"/>
          <w:kern w:val="0"/>
          <w:sz w:val="24"/>
          <w:szCs w:val="20"/>
          <w:lang w:val="en-US" w:eastAsia="zh-CN"/>
          <w14:textFill>
            <w14:solidFill>
              <w14:schemeClr w14:val="tx1"/>
            </w14:solidFill>
          </w14:textFill>
        </w:rPr>
        <w:t>可能会不</w:t>
      </w:r>
      <w:r>
        <w:rPr>
          <w:rFonts w:hint="eastAsia"/>
          <w:color w:val="000000" w:themeColor="text1"/>
          <w:kern w:val="0"/>
          <w:sz w:val="24"/>
          <w:szCs w:val="20"/>
          <w14:textFill>
            <w14:solidFill>
              <w14:schemeClr w14:val="tx1"/>
            </w14:solidFill>
          </w14:textFill>
        </w:rPr>
        <w:t>达标。</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6</w:t>
      </w:r>
      <w:r>
        <w:rPr>
          <w:b/>
          <w:color w:val="000000" w:themeColor="text1"/>
          <w:kern w:val="0"/>
          <w:sz w:val="24"/>
          <w:szCs w:val="24"/>
          <w14:textFill>
            <w14:solidFill>
              <w14:schemeClr w14:val="tx1"/>
            </w14:solidFill>
          </w14:textFill>
        </w:rPr>
        <w:t>.2.4固体废物</w:t>
      </w:r>
    </w:p>
    <w:p>
      <w:pPr>
        <w:snapToGrid w:val="0"/>
        <w:spacing w:line="360" w:lineRule="auto"/>
        <w:ind w:firstLine="480" w:firstLineChars="200"/>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施工期固体废物主要包括建筑垃圾、渠底淤泥、废弃土石方、沉淀池沉渣及施工人员生活垃圾等。</w:t>
      </w:r>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1、建筑</w:t>
      </w:r>
      <w:r>
        <w:rPr>
          <w:b/>
          <w:color w:val="000000" w:themeColor="text1"/>
          <w:kern w:val="0"/>
          <w:sz w:val="24"/>
          <w:szCs w:val="20"/>
          <w14:textFill>
            <w14:solidFill>
              <w14:schemeClr w14:val="tx1"/>
            </w14:solidFill>
          </w14:textFill>
        </w:rPr>
        <w:t>垃圾</w:t>
      </w:r>
    </w:p>
    <w:p>
      <w:pPr>
        <w:snapToGrid w:val="0"/>
        <w:spacing w:line="360" w:lineRule="auto"/>
        <w:ind w:firstLine="480" w:firstLineChars="200"/>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本项目在施工的过程中产的工程建筑垃圾主要是对破损渠系建筑物破碎产生的混凝废料、拆除的废旧设施、废钢筋等。施工过程中产生的建筑垃圾约1580t。其中不可回收的建筑垃圾（如混凝土废料、含砖、石、砂的杂土等）占总量的90%，约1422t，可回收建筑垃圾约158t。施工产生的废料首先考虑废料的回收利用，对拆除的设备、钢筋、钢板、木材等下角料可分类回收，送废品回收站，</w:t>
      </w:r>
      <w:r>
        <w:rPr>
          <w:color w:val="000000" w:themeColor="text1"/>
          <w:kern w:val="0"/>
          <w:sz w:val="24"/>
          <w:szCs w:val="20"/>
          <w14:textFill>
            <w14:solidFill>
              <w14:schemeClr w14:val="tx1"/>
            </w14:solidFill>
          </w14:textFill>
        </w:rPr>
        <w:t>不能利用的</w:t>
      </w:r>
      <w:r>
        <w:rPr>
          <w:rFonts w:hint="eastAsia"/>
          <w:color w:val="000000" w:themeColor="text1"/>
          <w:kern w:val="0"/>
          <w:sz w:val="24"/>
          <w:szCs w:val="20"/>
          <w14:textFill>
            <w14:solidFill>
              <w14:schemeClr w14:val="tx1"/>
            </w14:solidFill>
          </w14:textFill>
        </w:rPr>
        <w:t>砖、石、砂等</w:t>
      </w:r>
      <w:r>
        <w:rPr>
          <w:color w:val="000000" w:themeColor="text1"/>
          <w:kern w:val="0"/>
          <w:sz w:val="24"/>
          <w:szCs w:val="20"/>
          <w14:textFill>
            <w14:solidFill>
              <w14:schemeClr w14:val="tx1"/>
            </w14:solidFill>
          </w14:textFill>
        </w:rPr>
        <w:t>集中堆置，</w:t>
      </w:r>
      <w:r>
        <w:rPr>
          <w:rFonts w:hint="eastAsia"/>
          <w:color w:val="000000" w:themeColor="text1"/>
          <w:sz w:val="24"/>
          <w14:textFill>
            <w14:solidFill>
              <w14:schemeClr w14:val="tx1"/>
            </w14:solidFill>
          </w14:textFill>
        </w:rPr>
        <w:t>交政府</w:t>
      </w:r>
      <w:r>
        <w:rPr>
          <w:rFonts w:hint="eastAsia" w:ascii="Times New Roman" w:hAnsi="Times New Roman" w:eastAsia="宋体" w:cs="Times New Roman"/>
          <w:color w:val="000000" w:themeColor="text1"/>
          <w:kern w:val="0"/>
          <w:sz w:val="24"/>
          <w:lang w:val="zh-CN"/>
          <w14:textFill>
            <w14:solidFill>
              <w14:schemeClr w14:val="tx1"/>
            </w14:solidFill>
          </w14:textFill>
        </w:rPr>
        <w:t>指定建筑垃圾堆放场</w:t>
      </w:r>
      <w:r>
        <w:rPr>
          <w:rFonts w:hint="eastAsia"/>
          <w:color w:val="000000" w:themeColor="text1"/>
          <w:sz w:val="24"/>
          <w14:textFill>
            <w14:solidFill>
              <w14:schemeClr w14:val="tx1"/>
            </w14:solidFill>
          </w14:textFill>
        </w:rPr>
        <w:t>处置</w:t>
      </w:r>
      <w:r>
        <w:rPr>
          <w:color w:val="000000" w:themeColor="text1"/>
          <w:kern w:val="0"/>
          <w:sz w:val="24"/>
          <w:szCs w:val="20"/>
          <w14:textFill>
            <w14:solidFill>
              <w14:schemeClr w14:val="tx1"/>
            </w14:solidFill>
          </w14:textFill>
        </w:rPr>
        <w:t>。</w:t>
      </w:r>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2、</w:t>
      </w:r>
      <w:r>
        <w:rPr>
          <w:b/>
          <w:color w:val="000000" w:themeColor="text1"/>
          <w:kern w:val="0"/>
          <w:sz w:val="24"/>
          <w:szCs w:val="20"/>
          <w14:textFill>
            <w14:solidFill>
              <w14:schemeClr w14:val="tx1"/>
            </w14:solidFill>
          </w14:textFill>
        </w:rPr>
        <w:t>土石方、淤泥</w:t>
      </w:r>
      <w:r>
        <w:rPr>
          <w:rFonts w:hint="eastAsia"/>
          <w:b/>
          <w:color w:val="000000" w:themeColor="text1"/>
          <w:kern w:val="0"/>
          <w:sz w:val="24"/>
          <w:szCs w:val="20"/>
          <w14:textFill>
            <w14:solidFill>
              <w14:schemeClr w14:val="tx1"/>
            </w14:solidFill>
          </w14:textFill>
        </w:rPr>
        <w:t>、沉淀池沉渣</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szCs w:val="24"/>
          <w14:textFill>
            <w14:solidFill>
              <w14:schemeClr w14:val="tx1"/>
            </w14:solidFill>
          </w14:textFill>
        </w:rPr>
        <w:t>根据土石方平衡，开挖总量</w:t>
      </w:r>
      <w:r>
        <w:rPr>
          <w:rFonts w:hint="eastAsia"/>
          <w:color w:val="000000" w:themeColor="text1"/>
          <w:sz w:val="24"/>
          <w:szCs w:val="24"/>
          <w14:textFill>
            <w14:solidFill>
              <w14:schemeClr w14:val="tx1"/>
            </w14:solidFill>
          </w14:textFill>
        </w:rPr>
        <w:t>8.28</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含表土剥离</w:t>
      </w:r>
      <w:r>
        <w:rPr>
          <w:rFonts w:hint="eastAsia"/>
          <w:color w:val="000000" w:themeColor="text1"/>
          <w:sz w:val="24"/>
          <w:szCs w:val="24"/>
          <w14:textFill>
            <w14:solidFill>
              <w14:schemeClr w14:val="tx1"/>
            </w14:solidFill>
          </w14:textFill>
        </w:rPr>
        <w:t>3.22</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开挖淤泥0.06万</w:t>
      </w:r>
      <w:r>
        <w:rPr>
          <w:rFonts w:hint="eastAsia"/>
          <w:color w:val="000000" w:themeColor="text1"/>
          <w:kern w:val="0"/>
          <w:sz w:val="24"/>
          <w:szCs w:val="24"/>
          <w:lang w:val="en"/>
          <w14:textFill>
            <w14:solidFill>
              <w14:schemeClr w14:val="tx1"/>
            </w14:solidFill>
          </w14:textFill>
        </w:rPr>
        <w:t>m</w:t>
      </w:r>
      <w:r>
        <w:rPr>
          <w:rFonts w:hint="eastAsia"/>
          <w:color w:val="000000" w:themeColor="text1"/>
          <w:kern w:val="0"/>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；回填总量</w:t>
      </w:r>
      <w:r>
        <w:rPr>
          <w:rFonts w:hint="eastAsia"/>
          <w:color w:val="000000" w:themeColor="text1"/>
          <w:sz w:val="24"/>
          <w:szCs w:val="24"/>
          <w14:textFill>
            <w14:solidFill>
              <w14:schemeClr w14:val="tx1"/>
            </w14:solidFill>
          </w14:textFill>
        </w:rPr>
        <w:t>5.83</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含表土回覆</w:t>
      </w:r>
      <w:r>
        <w:rPr>
          <w:rFonts w:hint="eastAsia"/>
          <w:color w:val="000000" w:themeColor="text1"/>
          <w:sz w:val="24"/>
          <w:szCs w:val="24"/>
          <w14:textFill>
            <w14:solidFill>
              <w14:schemeClr w14:val="tx1"/>
            </w14:solidFill>
          </w14:textFill>
        </w:rPr>
        <w:t>3.22</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，无借方，余方</w:t>
      </w:r>
      <w:r>
        <w:rPr>
          <w:rFonts w:hint="eastAsia"/>
          <w:color w:val="000000" w:themeColor="text1"/>
          <w:sz w:val="24"/>
          <w:szCs w:val="24"/>
          <w14:textFill>
            <w14:solidFill>
              <w14:schemeClr w14:val="tx1"/>
            </w14:solidFill>
          </w14:textFill>
        </w:rPr>
        <w:t>2.45</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，余方主要为灌排渠道工程开挖土石方</w:t>
      </w:r>
      <w:r>
        <w:rPr>
          <w:rFonts w:hint="eastAsia"/>
          <w:color w:val="000000" w:themeColor="text1"/>
          <w:sz w:val="24"/>
          <w:szCs w:val="24"/>
          <w14:textFill>
            <w14:solidFill>
              <w14:schemeClr w14:val="tx1"/>
            </w14:solidFill>
          </w14:textFill>
        </w:rPr>
        <w:t>。</w:t>
      </w:r>
      <w:r>
        <w:rPr>
          <w:rFonts w:hint="eastAsia" w:eastAsia="宋"/>
          <w:color w:val="000000" w:themeColor="text1"/>
          <w:sz w:val="24"/>
          <w14:textFill>
            <w14:solidFill>
              <w14:schemeClr w14:val="tx1"/>
            </w14:solidFill>
          </w14:textFill>
        </w:rPr>
        <w:t>工程施工前剥离的表土（3.22</w:t>
      </w:r>
      <w:r>
        <w:rPr>
          <w:rFonts w:hint="eastAsia"/>
          <w:color w:val="000000" w:themeColor="text1"/>
          <w:sz w:val="24"/>
          <w14:textFill>
            <w14:solidFill>
              <w14:schemeClr w14:val="tx1"/>
            </w14:solidFill>
          </w14:textFill>
        </w:rPr>
        <w:t>万m</w:t>
      </w:r>
      <w:r>
        <w:rPr>
          <w:rFonts w:hint="eastAsia"/>
          <w:color w:val="000000" w:themeColor="text1"/>
          <w:sz w:val="24"/>
          <w:vertAlign w:val="superscript"/>
          <w14:textFill>
            <w14:solidFill>
              <w14:schemeClr w14:val="tx1"/>
            </w14:solidFill>
          </w14:textFill>
        </w:rPr>
        <w:t>3</w:t>
      </w:r>
      <w:r>
        <w:rPr>
          <w:rFonts w:hint="eastAsia" w:eastAsia="宋"/>
          <w:color w:val="000000" w:themeColor="text1"/>
          <w:sz w:val="24"/>
          <w14:textFill>
            <w14:solidFill>
              <w14:schemeClr w14:val="tx1"/>
            </w14:solidFill>
          </w14:textFill>
        </w:rPr>
        <w:t>）在施工后用于渠道施工现场、临时占地区域的表土回填。</w:t>
      </w:r>
      <w:r>
        <w:rPr>
          <w:rFonts w:hint="eastAsia"/>
          <w:color w:val="000000" w:themeColor="text1"/>
          <w:sz w:val="24"/>
          <w14:textFill>
            <w14:solidFill>
              <w14:schemeClr w14:val="tx1"/>
            </w14:solidFill>
          </w14:textFill>
        </w:rPr>
        <w:t>淤泥（0.06万m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）主要以泥沙淤积为主，</w:t>
      </w:r>
      <w:r>
        <w:rPr>
          <w:rFonts w:hint="eastAsia" w:eastAsia="宋"/>
          <w:color w:val="000000" w:themeColor="text1"/>
          <w:sz w:val="24"/>
          <w14:textFill>
            <w14:solidFill>
              <w14:schemeClr w14:val="tx1"/>
            </w14:solidFill>
          </w14:textFill>
        </w:rPr>
        <w:t>同开挖土石余方一起，</w:t>
      </w:r>
      <w:r>
        <w:rPr>
          <w:rFonts w:hint="eastAsia"/>
          <w:color w:val="000000" w:themeColor="text1"/>
          <w:sz w:val="24"/>
          <w:lang w:val="zh-CN"/>
          <w14:textFill>
            <w14:solidFill>
              <w14:schemeClr w14:val="tx1"/>
            </w14:solidFill>
          </w14:textFill>
        </w:rPr>
        <w:t>全部运至</w:t>
      </w:r>
      <w:r>
        <w:rPr>
          <w:rFonts w:hint="eastAsia"/>
          <w:color w:val="000000" w:themeColor="text1"/>
          <w:sz w:val="24"/>
          <w14:textFill>
            <w14:solidFill>
              <w14:schemeClr w14:val="tx1"/>
            </w14:solidFill>
          </w14:textFill>
        </w:rPr>
        <w:t>指定弃土消纳场（临时堆土场）暂存，之后</w:t>
      </w:r>
      <w:r>
        <w:rPr>
          <w:rFonts w:hint="eastAsia"/>
          <w:color w:val="000000" w:themeColor="text1"/>
          <w:sz w:val="24"/>
          <w:lang w:val="zh-CN"/>
          <w14:textFill>
            <w14:solidFill>
              <w14:schemeClr w14:val="tx1"/>
            </w14:solidFill>
          </w14:textFill>
        </w:rPr>
        <w:t>运往临时堆土区用作成都市环城生态区农田综合整治及农业灌区设施建设项目农</w:t>
      </w:r>
      <w:r>
        <w:rPr>
          <w:rFonts w:hint="eastAsia"/>
          <w:color w:val="000000" w:themeColor="text1"/>
          <w:sz w:val="24"/>
          <w:lang w:val="en-US" w:eastAsia="zh-CN"/>
          <w14:textFill>
            <w14:solidFill>
              <w14:schemeClr w14:val="tx1"/>
            </w14:solidFill>
          </w14:textFill>
        </w:rPr>
        <w:t>综合利用</w:t>
      </w:r>
      <w:r>
        <w:rPr>
          <w:rFonts w:hint="eastAsia"/>
          <w:color w:val="000000" w:themeColor="text1"/>
          <w:sz w:val="24"/>
          <w:lang w:val="zh-CN"/>
          <w14:textFill>
            <w14:solidFill>
              <w14:schemeClr w14:val="tx1"/>
            </w14:solidFill>
          </w14:textFill>
        </w:rPr>
        <w:t>，或者运至</w:t>
      </w:r>
      <w:r>
        <w:rPr>
          <w:rFonts w:hint="eastAsia"/>
          <w:color w:val="000000" w:themeColor="text1"/>
          <w:sz w:val="24"/>
          <w:lang w:val="en-US" w:eastAsia="zh-CN"/>
          <w14:textFill>
            <w14:solidFill>
              <w14:schemeClr w14:val="tx1"/>
            </w14:solidFill>
          </w14:textFill>
        </w:rPr>
        <w:t>余土摊平处理区回填</w:t>
      </w:r>
      <w:r>
        <w:rPr>
          <w:rFonts w:hint="eastAsia"/>
          <w:color w:val="000000" w:themeColor="text1"/>
          <w:sz w:val="24"/>
          <w:lang w:val="zh-CN"/>
          <w14:textFill>
            <w14:solidFill>
              <w14:schemeClr w14:val="tx1"/>
            </w14:solidFill>
          </w14:textFill>
        </w:rPr>
        <w:t>利用。</w:t>
      </w:r>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3、</w:t>
      </w:r>
      <w:r>
        <w:rPr>
          <w:b/>
          <w:color w:val="000000" w:themeColor="text1"/>
          <w:kern w:val="0"/>
          <w:sz w:val="24"/>
          <w:szCs w:val="20"/>
          <w14:textFill>
            <w14:solidFill>
              <w14:schemeClr w14:val="tx1"/>
            </w14:solidFill>
          </w14:textFill>
        </w:rPr>
        <w:t>生活垃圾</w:t>
      </w:r>
    </w:p>
    <w:p>
      <w:pPr>
        <w:snapToGrid w:val="0"/>
        <w:spacing w:line="360" w:lineRule="auto"/>
        <w:ind w:firstLine="480" w:firstLineChars="200"/>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本项目施工人员租用</w:t>
      </w:r>
      <w:r>
        <w:rPr>
          <w:rFonts w:hint="eastAsia"/>
          <w:color w:val="000000" w:themeColor="text1"/>
          <w:kern w:val="0"/>
          <w:sz w:val="24"/>
          <w:szCs w:val="20"/>
          <w:lang w:val="en-US" w:eastAsia="zh-CN"/>
          <w14:textFill>
            <w14:solidFill>
              <w14:schemeClr w14:val="tx1"/>
            </w14:solidFill>
          </w14:textFill>
        </w:rPr>
        <w:t>城区内</w:t>
      </w:r>
      <w:r>
        <w:rPr>
          <w:color w:val="000000" w:themeColor="text1"/>
          <w:kern w:val="0"/>
          <w:sz w:val="24"/>
          <w:szCs w:val="20"/>
          <w14:textFill>
            <w14:solidFill>
              <w14:schemeClr w14:val="tx1"/>
            </w14:solidFill>
          </w14:textFill>
        </w:rPr>
        <w:t>民房，施工高峰人数为</w:t>
      </w:r>
      <w:r>
        <w:rPr>
          <w:rFonts w:hint="eastAsia"/>
          <w:color w:val="000000" w:themeColor="text1"/>
          <w:kern w:val="0"/>
          <w:sz w:val="24"/>
          <w:szCs w:val="20"/>
          <w14:textFill>
            <w14:solidFill>
              <w14:schemeClr w14:val="tx1"/>
            </w14:solidFill>
          </w14:textFill>
        </w:rPr>
        <w:t>预计为40</w:t>
      </w:r>
      <w:r>
        <w:rPr>
          <w:color w:val="000000" w:themeColor="text1"/>
          <w:kern w:val="0"/>
          <w:sz w:val="24"/>
          <w:szCs w:val="20"/>
          <w14:textFill>
            <w14:solidFill>
              <w14:schemeClr w14:val="tx1"/>
            </w14:solidFill>
          </w14:textFill>
        </w:rPr>
        <w:t>人，以每人每天产生垃圾0.5kg计，</w:t>
      </w:r>
      <w:r>
        <w:rPr>
          <w:rFonts w:hint="eastAsia"/>
          <w:color w:val="000000" w:themeColor="text1"/>
          <w:kern w:val="0"/>
          <w:sz w:val="24"/>
          <w:szCs w:val="20"/>
          <w14:textFill>
            <w14:solidFill>
              <w14:schemeClr w14:val="tx1"/>
            </w14:solidFill>
          </w14:textFill>
        </w:rPr>
        <w:t>则施工期施工人员产生的生活垃圾总量为2</w:t>
      </w:r>
      <w:r>
        <w:rPr>
          <w:rFonts w:hint="eastAsia"/>
          <w:color w:val="000000" w:themeColor="text1"/>
          <w:kern w:val="0"/>
          <w:sz w:val="24"/>
          <w:szCs w:val="20"/>
          <w:lang w:val="en-US" w:eastAsia="zh-CN"/>
          <w14:textFill>
            <w14:solidFill>
              <w14:schemeClr w14:val="tx1"/>
            </w14:solidFill>
          </w14:textFill>
        </w:rPr>
        <w:t>0</w:t>
      </w:r>
      <w:r>
        <w:rPr>
          <w:color w:val="000000" w:themeColor="text1"/>
          <w:kern w:val="0"/>
          <w:sz w:val="24"/>
          <w:szCs w:val="20"/>
          <w14:textFill>
            <w14:solidFill>
              <w14:schemeClr w14:val="tx1"/>
            </w14:solidFill>
          </w14:textFill>
        </w:rPr>
        <w:t>kg/d，集中收集后由当地环卫部门清运处理。</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2</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6</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2</w:t>
      </w:r>
      <w:r>
        <w:rPr>
          <w:b/>
          <w:color w:val="000000" w:themeColor="text1"/>
          <w:kern w:val="0"/>
          <w:sz w:val="24"/>
          <w:szCs w:val="24"/>
          <w14:textFill>
            <w14:solidFill>
              <w14:schemeClr w14:val="tx1"/>
            </w14:solidFill>
          </w14:textFill>
        </w:rPr>
        <w:t>.5施工期生态环境影响分析</w:t>
      </w:r>
    </w:p>
    <w:p>
      <w:pPr>
        <w:snapToGrid w:val="0"/>
        <w:spacing w:line="360" w:lineRule="auto"/>
        <w:ind w:firstLine="482" w:firstLineChars="200"/>
        <w:rPr>
          <w:rFonts w:cs="宋体"/>
          <w:b/>
          <w:bCs/>
          <w:color w:val="000000" w:themeColor="text1"/>
          <w:sz w:val="24"/>
          <w14:textFill>
            <w14:solidFill>
              <w14:schemeClr w14:val="tx1"/>
            </w14:solidFill>
          </w14:textFill>
        </w:rPr>
      </w:pPr>
      <w:r>
        <w:rPr>
          <w:rFonts w:hint="eastAsia" w:cs="宋体"/>
          <w:b/>
          <w:bCs/>
          <w:color w:val="000000" w:themeColor="text1"/>
          <w:sz w:val="24"/>
          <w14:textFill>
            <w14:solidFill>
              <w14:schemeClr w14:val="tx1"/>
            </w14:solidFill>
          </w14:textFill>
        </w:rPr>
        <w:t>1、直接影响</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①项目新增占地对区域植被产生永久性破坏，同时地表开挖造成施工期临时性水土流失影响加剧；临时堆土场、施工便道、施工工区等临时工程新增临时占地对地表植被、野生动植物生境产生临时性破坏，同时造成施工期临时性水土流失影响加剧。这不仅影响植物的生长和分布，还可能对周边水系的水质产生负面影响。</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②施工过程中的机械作业、车辆运输等会产生大量噪音和扬尘，对周边动物的栖息环境造成干扰，甚至可能导致部分动物迁移，区域施工也可能使项目沿线两侧的野生动物物种扩散、种群交流受到阻隔影响。</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③施工噪声、振动、灯光等对野生动物行为活动产生直接干扰，迫使野生动物远离施工作业区。</w:t>
      </w:r>
    </w:p>
    <w:p>
      <w:pPr>
        <w:snapToGrid w:val="0"/>
        <w:spacing w:line="360" w:lineRule="auto"/>
        <w:ind w:firstLine="482" w:firstLineChars="200"/>
        <w:rPr>
          <w:rFonts w:cs="宋体"/>
          <w:b/>
          <w:bCs/>
          <w:color w:val="000000" w:themeColor="text1"/>
          <w:sz w:val="24"/>
          <w14:textFill>
            <w14:solidFill>
              <w14:schemeClr w14:val="tx1"/>
            </w14:solidFill>
          </w14:textFill>
        </w:rPr>
      </w:pPr>
      <w:r>
        <w:rPr>
          <w:rFonts w:hint="eastAsia" w:cs="宋体"/>
          <w:b/>
          <w:bCs/>
          <w:color w:val="000000" w:themeColor="text1"/>
          <w:sz w:val="24"/>
          <w14:textFill>
            <w14:solidFill>
              <w14:schemeClr w14:val="tx1"/>
            </w14:solidFill>
          </w14:textFill>
        </w:rPr>
        <w:t>2、间接影响</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①施工占地、施工噪声和振动、施工扬尘、夜间灯光等造成生境面积和质量下降导致种群数量下降或种群生存能力降低。</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②施工永久、临时占地造成的生境空间、食物等资源减少及分布变化，可能导致生物捕食、寄生、互利共生、竞争等种间或种内关系发生变化，从而导致种群结构或种群动态发生变化。</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③因施工阻隔影响造成种群间基因交流减少，导致评价区小种群物种数量进一步减少，甚至在评价区消失，受影响的主要是生性胆小、对人为活动较敏感的物种</w:t>
      </w:r>
      <w:r>
        <w:rPr>
          <w:rFonts w:cs="宋体"/>
          <w:color w:val="000000" w:themeColor="text1"/>
          <w:sz w:val="24"/>
          <w14:textFill>
            <w14:solidFill>
              <w14:schemeClr w14:val="tx1"/>
            </w14:solidFill>
          </w14:textFill>
        </w:rPr>
        <w:t>。</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2</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6</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2</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6对环境敏感区的</w:t>
      </w:r>
      <w:r>
        <w:rPr>
          <w:b/>
          <w:color w:val="000000" w:themeColor="text1"/>
          <w:kern w:val="0"/>
          <w:sz w:val="24"/>
          <w:szCs w:val="24"/>
          <w14:textFill>
            <w14:solidFill>
              <w14:schemeClr w14:val="tx1"/>
            </w14:solidFill>
          </w14:textFill>
        </w:rPr>
        <w:t>影响</w:t>
      </w:r>
      <w:r>
        <w:rPr>
          <w:rFonts w:hint="eastAsia"/>
          <w:b/>
          <w:color w:val="000000" w:themeColor="text1"/>
          <w:kern w:val="0"/>
          <w:sz w:val="24"/>
          <w:szCs w:val="24"/>
          <w14:textFill>
            <w14:solidFill>
              <w14:schemeClr w14:val="tx1"/>
            </w14:solidFill>
          </w14:textFill>
        </w:rPr>
        <w:t>分析</w:t>
      </w:r>
    </w:p>
    <w:p>
      <w:pPr>
        <w:snapToGrid w:val="0"/>
        <w:spacing w:line="360" w:lineRule="auto"/>
        <w:ind w:firstLine="482" w:firstLineChars="200"/>
        <w:rPr>
          <w:rFonts w:cs="宋体"/>
          <w:b/>
          <w:color w:val="000000" w:themeColor="text1"/>
          <w:sz w:val="24"/>
          <w14:textFill>
            <w14:solidFill>
              <w14:schemeClr w14:val="tx1"/>
            </w14:solidFill>
          </w14:textFill>
        </w:rPr>
      </w:pPr>
      <w:r>
        <w:rPr>
          <w:rFonts w:hint="eastAsia" w:cs="宋体"/>
          <w:b/>
          <w:color w:val="000000" w:themeColor="text1"/>
          <w:sz w:val="24"/>
          <w14:textFill>
            <w14:solidFill>
              <w14:schemeClr w14:val="tx1"/>
            </w14:solidFill>
          </w14:textFill>
        </w:rPr>
        <w:t>1、对龙泉花果山风景名胜区的影响分析</w:t>
      </w:r>
    </w:p>
    <w:p>
      <w:pPr>
        <w:snapToGrid w:val="0"/>
        <w:spacing w:line="360" w:lineRule="auto"/>
        <w:ind w:firstLine="480" w:firstLineChars="200"/>
        <w:rPr>
          <w:rFonts w:hint="eastAsia"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根据《龙泉花果山风景名胜区总体规划》（2022—2035）报告，本项目南五支渠和南六支渠大部分渠道</w:t>
      </w:r>
      <w:r>
        <w:rPr>
          <w:rFonts w:hint="eastAsia" w:cs="宋体"/>
          <w:color w:val="000000" w:themeColor="text1"/>
          <w:sz w:val="24"/>
          <w:lang w:val="en-US" w:eastAsia="zh-CN"/>
          <w14:textFill>
            <w14:solidFill>
              <w14:schemeClr w14:val="tx1"/>
            </w14:solidFill>
          </w14:textFill>
        </w:rPr>
        <w:t>位于</w:t>
      </w:r>
      <w:r>
        <w:rPr>
          <w:rFonts w:hint="eastAsia" w:cs="宋体"/>
          <w:color w:val="000000" w:themeColor="text1"/>
          <w:sz w:val="24"/>
          <w14:textFill>
            <w14:solidFill>
              <w14:schemeClr w14:val="tx1"/>
            </w14:solidFill>
          </w14:textFill>
        </w:rPr>
        <w:t>龙泉花果山风景名胜区的三级保护区</w:t>
      </w:r>
      <w:r>
        <w:rPr>
          <w:rFonts w:hint="eastAsia" w:cs="宋体"/>
          <w:color w:val="000000" w:themeColor="text1"/>
          <w:sz w:val="24"/>
          <w:lang w:val="en-US" w:eastAsia="zh-CN"/>
          <w14:textFill>
            <w14:solidFill>
              <w14:schemeClr w14:val="tx1"/>
            </w14:solidFill>
          </w14:textFill>
        </w:rPr>
        <w:t>内</w:t>
      </w:r>
      <w:r>
        <w:rPr>
          <w:rFonts w:hint="eastAsia" w:cs="宋体"/>
          <w:color w:val="000000" w:themeColor="text1"/>
          <w:sz w:val="24"/>
          <w14:textFill>
            <w14:solidFill>
              <w14:schemeClr w14:val="tx1"/>
            </w14:solidFill>
          </w14:textFill>
        </w:rPr>
        <w:t>，将占用该风景名胜区土地1.4966公顷</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永久使用土地0.3791公顷，临时使用土地1.1175公顷</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，其中林地0.8678公顷</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永久0.2169公顷，临时0.6509公顷</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14:textFill>
            <w14:solidFill>
              <w14:schemeClr w14:val="tx1"/>
            </w14:solidFill>
          </w14:textFill>
        </w:rPr>
        <w:t>，在风景名胜区的主要建设内容为项目永久占地用于渠道建设，临时占地</w:t>
      </w:r>
      <w:r>
        <w:rPr>
          <w:rFonts w:hint="eastAsia" w:cs="宋体"/>
          <w:color w:val="000000" w:themeColor="text1"/>
          <w:sz w:val="24"/>
          <w:lang w:val="en-US" w:eastAsia="zh-CN"/>
          <w14:textFill>
            <w14:solidFill>
              <w14:schemeClr w14:val="tx1"/>
            </w14:solidFill>
          </w14:textFill>
        </w:rPr>
        <w:t>主要为</w:t>
      </w:r>
      <w:r>
        <w:rPr>
          <w:rFonts w:hint="eastAsia" w:cs="宋体"/>
          <w:color w:val="000000" w:themeColor="text1"/>
          <w:sz w:val="24"/>
          <w14:textFill>
            <w14:solidFill>
              <w14:schemeClr w14:val="tx1"/>
            </w14:solidFill>
          </w14:textFill>
        </w:rPr>
        <w:t>施工作业带</w:t>
      </w:r>
      <w:r>
        <w:rPr>
          <w:rFonts w:hint="eastAsia" w:cs="宋体"/>
          <w:color w:val="000000" w:themeColor="text1"/>
          <w:sz w:val="24"/>
          <w:lang w:val="en-US" w:eastAsia="zh-CN"/>
          <w14:textFill>
            <w14:solidFill>
              <w14:schemeClr w14:val="tx1"/>
            </w14:solidFill>
          </w14:textFill>
        </w:rPr>
        <w:t>占地</w:t>
      </w:r>
      <w:r>
        <w:rPr>
          <w:rFonts w:hint="eastAsia" w:cs="宋体"/>
          <w:color w:val="000000" w:themeColor="text1"/>
          <w:sz w:val="24"/>
          <w14:textFill>
            <w14:solidFill>
              <w14:schemeClr w14:val="tx1"/>
            </w14:solidFill>
          </w14:textFill>
        </w:rPr>
        <w:t>。由于南五、南六支渠均为已有渠道，施工期间对渠道两侧植物、周边动物可能造成一定影响，通过施工尽量减少在风景名胜区内占地，施工结束后进行迹地恢复，可减少施工活动对区域内动植物产生的影响。根据叠图分析成果，项目不涉及风景名胜区内的重要景观资源，其建设和施工过程中对风景名胜区内景观生态的干扰极小。</w:t>
      </w:r>
    </w:p>
    <w:p>
      <w:pPr>
        <w:snapToGrid w:val="0"/>
        <w:spacing w:line="360" w:lineRule="auto"/>
        <w:ind w:firstLine="482" w:firstLineChars="200"/>
        <w:rPr>
          <w:rFonts w:cs="宋体"/>
          <w:b/>
          <w:color w:val="000000" w:themeColor="text1"/>
          <w:sz w:val="24"/>
          <w14:textFill>
            <w14:solidFill>
              <w14:schemeClr w14:val="tx1"/>
            </w14:solidFill>
          </w14:textFill>
        </w:rPr>
      </w:pPr>
      <w:r>
        <w:rPr>
          <w:rFonts w:hint="eastAsia" w:cs="宋体"/>
          <w:b/>
          <w:color w:val="000000" w:themeColor="text1"/>
          <w:sz w:val="24"/>
          <w14:textFill>
            <w14:solidFill>
              <w14:schemeClr w14:val="tx1"/>
            </w14:solidFill>
          </w14:textFill>
        </w:rPr>
        <w:t>2、对成都市龙泉驿区东风渠、东干渠麻石桥集中式饮用水水源地保护区的影响</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根据叠图分析，项目南五支渠、南六支渠起点至下游约11~20m位于成都市龙泉驿区东风渠、东干渠麻石桥集中式饮用水水源地准保护区上游保护范围内，本次整治渠道仅涉及准保护区内的部分陆域。</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本工程南五支渠和南六支渠起点处采用进水闸进行断流、分段围堰导流的方式施工。因此，施工均在围堰内进行，不直接涉水，施工不影响东风渠流量和渠道水质，对水源保护区基本无影响。</w:t>
      </w:r>
    </w:p>
    <w:p>
      <w:pPr>
        <w:snapToGrid w:val="0"/>
        <w:spacing w:line="360" w:lineRule="auto"/>
        <w:ind w:firstLine="482" w:firstLineChars="200"/>
        <w:rPr>
          <w:rFonts w:cs="宋体"/>
          <w:b/>
          <w:color w:val="000000" w:themeColor="text1"/>
          <w:sz w:val="24"/>
          <w14:textFill>
            <w14:solidFill>
              <w14:schemeClr w14:val="tx1"/>
            </w14:solidFill>
          </w14:textFill>
        </w:rPr>
      </w:pPr>
      <w:r>
        <w:rPr>
          <w:rFonts w:hint="eastAsia" w:cs="宋体"/>
          <w:b/>
          <w:color w:val="000000" w:themeColor="text1"/>
          <w:sz w:val="24"/>
          <w14:textFill>
            <w14:solidFill>
              <w14:schemeClr w14:val="tx1"/>
            </w14:solidFill>
          </w14:textFill>
        </w:rPr>
        <w:t>3、对明蜀王陵（龙泉驿区）的影响分析</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本项目南五支渠其西侧约742m为明蜀定王次妃墓，西侧约962m为信王赵妃墓。由于项目建设场地不在明蜀王陵（龙泉驿区）保护范围和建设控制地带范围内，明蜀王陵（龙泉驿区）</w:t>
      </w:r>
      <w:r>
        <w:rPr>
          <w:rFonts w:hint="eastAsia" w:cs="宋体"/>
          <w:color w:val="000000" w:themeColor="text1"/>
          <w:sz w:val="24"/>
          <w:lang w:val="en-US" w:eastAsia="zh-CN"/>
          <w14:textFill>
            <w14:solidFill>
              <w14:schemeClr w14:val="tx1"/>
            </w14:solidFill>
          </w14:textFill>
        </w:rPr>
        <w:t>不在本项目大气环境、声环境评价范围内、不属于本项目保护目标，</w:t>
      </w:r>
      <w:r>
        <w:rPr>
          <w:rFonts w:hint="eastAsia" w:cs="宋体"/>
          <w:color w:val="000000" w:themeColor="text1"/>
          <w:sz w:val="24"/>
          <w14:textFill>
            <w14:solidFill>
              <w14:schemeClr w14:val="tx1"/>
            </w14:solidFill>
          </w14:textFill>
        </w:rPr>
        <w:t>且项目属于已有渠道整治；故本项目的建设几乎不会对明蜀王陵（龙泉驿区）及其文物造成影响。</w:t>
      </w:r>
    </w:p>
    <w:p>
      <w:pPr>
        <w:autoSpaceDE/>
        <w:autoSpaceDN/>
        <w:spacing w:line="360" w:lineRule="auto"/>
        <w:ind w:firstLine="643"/>
        <w:jc w:val="both"/>
        <w:outlineLvl w:val="1"/>
        <w:rPr>
          <w:b/>
          <w:bCs/>
          <w:color w:val="000000" w:themeColor="text1"/>
          <w:kern w:val="0"/>
          <w:sz w:val="32"/>
          <w:szCs w:val="32"/>
          <w14:textFill>
            <w14:solidFill>
              <w14:schemeClr w14:val="tx1"/>
            </w14:solidFill>
          </w14:textFill>
        </w:rPr>
      </w:pPr>
      <w:bookmarkStart w:id="352" w:name="_Toc70496278"/>
      <w:bookmarkStart w:id="353" w:name="_Toc25240"/>
      <w:r>
        <w:rPr>
          <w:b/>
          <w:bCs/>
          <w:color w:val="000000" w:themeColor="text1"/>
          <w:kern w:val="0"/>
          <w:sz w:val="32"/>
          <w:szCs w:val="32"/>
          <w14:textFill>
            <w14:solidFill>
              <w14:schemeClr w14:val="tx1"/>
            </w14:solidFill>
          </w14:textFill>
        </w:rPr>
        <w:t>2.7运营期</w:t>
      </w:r>
      <w:r>
        <w:rPr>
          <w:rFonts w:hint="eastAsia"/>
          <w:b/>
          <w:bCs/>
          <w:color w:val="000000" w:themeColor="text1"/>
          <w:kern w:val="0"/>
          <w:sz w:val="32"/>
          <w:szCs w:val="32"/>
          <w14:textFill>
            <w14:solidFill>
              <w14:schemeClr w14:val="tx1"/>
            </w14:solidFill>
          </w14:textFill>
        </w:rPr>
        <w:t>环境影响</w:t>
      </w:r>
      <w:r>
        <w:rPr>
          <w:b/>
          <w:bCs/>
          <w:color w:val="000000" w:themeColor="text1"/>
          <w:kern w:val="0"/>
          <w:sz w:val="32"/>
          <w:szCs w:val="32"/>
          <w14:textFill>
            <w14:solidFill>
              <w14:schemeClr w14:val="tx1"/>
            </w14:solidFill>
          </w14:textFill>
        </w:rPr>
        <w:t>分析</w:t>
      </w:r>
      <w:bookmarkEnd w:id="352"/>
      <w:bookmarkEnd w:id="353"/>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54" w:name="_Toc12323"/>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.1</w:t>
      </w:r>
      <w:r>
        <w:rPr>
          <w:rFonts w:hint="eastAsia" w:eastAsia="黑体"/>
          <w:b/>
          <w:color w:val="000000" w:themeColor="text1"/>
          <w:kern w:val="0"/>
          <w:sz w:val="28"/>
          <w:szCs w:val="24"/>
          <w14:textFill>
            <w14:solidFill>
              <w14:schemeClr w14:val="tx1"/>
            </w14:solidFill>
          </w14:textFill>
        </w:rPr>
        <w:t>水文情势的影响</w:t>
      </w:r>
      <w:bookmarkEnd w:id="354"/>
    </w:p>
    <w:p>
      <w:pPr>
        <w:snapToGrid w:val="0"/>
        <w:spacing w:line="360" w:lineRule="auto"/>
        <w:ind w:firstLine="480" w:firstLineChars="200"/>
        <w:rPr>
          <w:color w:val="000000" w:themeColor="text1"/>
          <w:kern w:val="0"/>
          <w:sz w:val="24"/>
          <w:szCs w:val="20"/>
          <w14:textFill>
            <w14:solidFill>
              <w14:schemeClr w14:val="tx1"/>
            </w14:solidFill>
          </w14:textFill>
        </w:rPr>
      </w:pPr>
      <w:r>
        <w:rPr>
          <w:rFonts w:hint="eastAsia" w:cs="宋体"/>
          <w:color w:val="000000" w:themeColor="text1"/>
          <w:sz w:val="24"/>
          <w14:textFill>
            <w14:solidFill>
              <w14:schemeClr w14:val="tx1"/>
            </w14:solidFill>
          </w14:textFill>
        </w:rPr>
        <w:t>本工程实施后，南五、南六支渠均能恢复原有灌溉功能，董家堰补水渠（上、下）整改后流量都将恢复自然流态，各渠道的规模与原设计规模基本一致；渠道整治后，各渠道的水位、流量、流速</w:t>
      </w:r>
      <w:r>
        <w:rPr>
          <w:rFonts w:hint="eastAsia"/>
          <w:color w:val="000000" w:themeColor="text1"/>
          <w:kern w:val="0"/>
          <w:sz w:val="24"/>
          <w:szCs w:val="20"/>
          <w14:textFill>
            <w14:solidFill>
              <w14:schemeClr w14:val="tx1"/>
            </w14:solidFill>
          </w14:textFill>
        </w:rPr>
        <w:t>等均不会产生改变，运营期对水文情势不会产生影响。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55" w:name="_Toc19304"/>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2地表水的影响</w:t>
      </w:r>
      <w:bookmarkEnd w:id="355"/>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工程运营期工程本身不产生污染物，运营期对地表水可能产生影响的主要为管理人员生活污水，本工程运行期管理部门为东风渠管理处，运行期不新增管理人员。管理人员产生的生活污水依托</w:t>
      </w:r>
      <w:r>
        <w:rPr>
          <w:rFonts w:hint="eastAsia" w:cs="宋体"/>
          <w:color w:val="000000" w:themeColor="text1"/>
          <w:szCs w:val="21"/>
          <w:lang w:val="en-US" w:eastAsia="zh-CN"/>
          <w14:textFill>
            <w14:solidFill>
              <w14:schemeClr w14:val="tx1"/>
            </w14:solidFill>
          </w14:textFill>
        </w:rPr>
        <w:t>现有</w:t>
      </w:r>
      <w:r>
        <w:rPr>
          <w:rFonts w:hint="eastAsia" w:cs="宋体"/>
          <w:color w:val="000000" w:themeColor="text1"/>
          <w:szCs w:val="21"/>
          <w14:textFill>
            <w14:solidFill>
              <w14:schemeClr w14:val="tx1"/>
            </w14:solidFill>
          </w14:textFill>
        </w:rPr>
        <w:t>污水处理设施进入市政污水管网，经城市污水处理厂处理后外排；故运行期管理人员生活污水不会对地表水体和土壤等造成不利影响。</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本工程实施后，渠道清淤和渠道整治总体将对渠系内水环境带来一定的有利影响。因此，本次渠道整治后，对渠道内水体的水环境质量影响以有利为主，主要体现在以下两个方面：</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w:t>
      </w:r>
      <w:r>
        <w:rPr>
          <w:rFonts w:cs="宋体"/>
          <w:color w:val="000000" w:themeColor="text1"/>
          <w:szCs w:val="21"/>
          <w14:textFill>
            <w14:solidFill>
              <w14:schemeClr w14:val="tx1"/>
            </w14:solidFill>
          </w14:textFill>
        </w:rPr>
        <w:t>1</w:t>
      </w:r>
      <w:r>
        <w:rPr>
          <w:rFonts w:hint="eastAsia" w:cs="宋体"/>
          <w:color w:val="000000" w:themeColor="text1"/>
          <w:szCs w:val="21"/>
          <w14:textFill>
            <w14:solidFill>
              <w14:schemeClr w14:val="tx1"/>
            </w14:solidFill>
          </w14:textFill>
        </w:rPr>
        <w:t>）渠道清淤对水环境的影响分析</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本次工程针对东风渠总干渠渠道清淤疏浚后，可进一步提高渠道的过水能力。同时，根据同类疏浚工程经验可得，渠道清淤清除了表层底泥，减少了内源污染物，有利于抑制渠道内源污染物释放，对渠道内水环境改善有积极意义。</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w:t>
      </w:r>
      <w:r>
        <w:rPr>
          <w:rFonts w:cs="宋体"/>
          <w:color w:val="000000" w:themeColor="text1"/>
          <w:szCs w:val="21"/>
          <w14:textFill>
            <w14:solidFill>
              <w14:schemeClr w14:val="tx1"/>
            </w14:solidFill>
          </w14:textFill>
        </w:rPr>
        <w:t>2</w:t>
      </w:r>
      <w:r>
        <w:rPr>
          <w:rFonts w:hint="eastAsia" w:cs="宋体"/>
          <w:color w:val="000000" w:themeColor="text1"/>
          <w:szCs w:val="21"/>
          <w14:textFill>
            <w14:solidFill>
              <w14:schemeClr w14:val="tx1"/>
            </w14:solidFill>
          </w14:textFill>
        </w:rPr>
        <w:t>）渠道整治对水环境影响分析</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本次工程是在现有渠道的基础上进行整治，对现有破损渠道进行拆除重建，在一定程度上可以清除了渠道内现状存在的垃圾、杂物，减少了面源污染量；对现有土渠进行采取</w:t>
      </w:r>
      <w:r>
        <w:rPr>
          <w:color w:val="000000" w:themeColor="text1"/>
          <w14:textFill>
            <w14:solidFill>
              <w14:schemeClr w14:val="tx1"/>
            </w14:solidFill>
          </w14:textFill>
        </w:rPr>
        <w:t>现浇钢筋混凝土矩形渠</w:t>
      </w:r>
      <w:r>
        <w:rPr>
          <w:rFonts w:hint="eastAsia" w:cs="宋体"/>
          <w:color w:val="000000" w:themeColor="text1"/>
          <w:szCs w:val="21"/>
          <w14:textFill>
            <w14:solidFill>
              <w14:schemeClr w14:val="tx1"/>
            </w14:solidFill>
          </w14:textFill>
        </w:rPr>
        <w:t>改造后可进一步提高渠系面板抗冲、抗风蚀及抗渗能力，进而有效减缓汛期水土流失导致的水质降低问题。</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56" w:name="_Toc1498"/>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3大气环境的影响</w:t>
      </w:r>
      <w:bookmarkEnd w:id="356"/>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项目运营期不产生废气，对周围大气环境不会产生影响。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57" w:name="_Toc10738"/>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4声环境的影响</w:t>
      </w:r>
      <w:bookmarkEnd w:id="357"/>
    </w:p>
    <w:p>
      <w:pPr>
        <w:pStyle w:val="37"/>
        <w:spacing w:after="0"/>
        <w:ind w:left="0" w:leftChars="0" w:firstLine="48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本工程实施后，运行期间的噪声主要来自渠道水流声，运行期间不会对周边环境造成明显的不利影响。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58" w:name="_Toc6862"/>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5固体废物的影响</w:t>
      </w:r>
      <w:bookmarkEnd w:id="358"/>
    </w:p>
    <w:p>
      <w:pPr>
        <w:pStyle w:val="37"/>
        <w:spacing w:after="0"/>
        <w:ind w:left="0" w:leftChars="0" w:firstLine="480"/>
        <w:rPr>
          <w:rFonts w:cs="宋体"/>
          <w:color w:val="000000" w:themeColor="text1"/>
          <w:szCs w:val="21"/>
          <w14:textFill>
            <w14:solidFill>
              <w14:schemeClr w14:val="tx1"/>
            </w14:solidFill>
          </w14:textFill>
        </w:rPr>
      </w:pPr>
      <w:r>
        <w:rPr>
          <w:rFonts w:hint="eastAsia" w:eastAsia="宋"/>
          <w:color w:val="000000" w:themeColor="text1"/>
          <w14:textFill>
            <w14:solidFill>
              <w14:schemeClr w14:val="tx1"/>
            </w14:solidFill>
          </w14:textFill>
        </w:rPr>
        <w:t>工程实施后，</w:t>
      </w:r>
      <w:r>
        <w:rPr>
          <w:rFonts w:hint="eastAsia" w:eastAsia="宋"/>
          <w:color w:val="000000" w:themeColor="text1"/>
          <w:lang w:val="en-US" w:eastAsia="zh-CN"/>
          <w14:textFill>
            <w14:solidFill>
              <w14:schemeClr w14:val="tx1"/>
            </w14:solidFill>
          </w14:textFill>
        </w:rPr>
        <w:t>渠道底部均为混凝土，</w:t>
      </w:r>
      <w:r>
        <w:rPr>
          <w:rFonts w:hint="eastAsia" w:eastAsia="宋"/>
          <w:color w:val="000000" w:themeColor="text1"/>
          <w14:textFill>
            <w14:solidFill>
              <w14:schemeClr w14:val="tx1"/>
            </w14:solidFill>
          </w14:textFill>
        </w:rPr>
        <w:t>有一定的泥沙</w:t>
      </w:r>
      <w:r>
        <w:rPr>
          <w:rFonts w:hint="eastAsia" w:eastAsia="宋"/>
          <w:color w:val="000000" w:themeColor="text1"/>
          <w:lang w:val="en-US" w:eastAsia="zh-CN"/>
          <w14:textFill>
            <w14:solidFill>
              <w14:schemeClr w14:val="tx1"/>
            </w14:solidFill>
          </w14:textFill>
        </w:rPr>
        <w:t>可以</w:t>
      </w:r>
      <w:r>
        <w:rPr>
          <w:rFonts w:hint="eastAsia" w:eastAsia="宋"/>
          <w:color w:val="000000" w:themeColor="text1"/>
          <w14:textFill>
            <w14:solidFill>
              <w14:schemeClr w14:val="tx1"/>
            </w14:solidFill>
          </w14:textFill>
        </w:rPr>
        <w:t>直接被输送到田间或斗渠，能有效减少渠道淤堵的情况；项目不新增管理人员，原有管理人员生产的生活垃圾采用垃圾桶收集后交当地环卫部门清运处理，不会对外环境造成影响。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59" w:name="_Toc27267"/>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6地下水的影响</w:t>
      </w:r>
      <w:bookmarkEnd w:id="359"/>
    </w:p>
    <w:p>
      <w:pPr>
        <w:widowControl/>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本次整治渠段设计主要采用对原渠道衬砌拆除重建进行整治，原有部分渠道由于衬砌破裂渠底渗流严重，已威胁渠道安全。工程建成后，由于渠道衬砌厚度满足防渗需要，既不影响地下水位，也避免了外部的污染源进入渠道，污染渠道水质。因此，评价认为本工程不会对地下水水位、水质造成不利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360" w:name="_Toc10107"/>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7生态环境的影响</w:t>
      </w:r>
      <w:bookmarkEnd w:id="360"/>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1、直接影响</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①永久占地会导致评价区内生境的长期性破坏和丧失。</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②灌渠的建成将进一步丰富区域水系分布，一些对水源依赖性强、陆上活动能力不高的动物，如两栖类生物，随着</w:t>
      </w:r>
      <w:r>
        <w:rPr>
          <w:rFonts w:hint="eastAsia" w:cs="宋体"/>
          <w:color w:val="000000" w:themeColor="text1"/>
          <w:sz w:val="24"/>
          <w:lang w:val="en-US" w:eastAsia="zh-CN"/>
          <w14:textFill>
            <w14:solidFill>
              <w14:schemeClr w14:val="tx1"/>
            </w14:solidFill>
          </w14:textFill>
        </w:rPr>
        <w:t>水域的丰富</w:t>
      </w:r>
      <w:r>
        <w:rPr>
          <w:rFonts w:hint="eastAsia" w:cs="宋体"/>
          <w:color w:val="000000" w:themeColor="text1"/>
          <w:sz w:val="24"/>
          <w14:textFill>
            <w14:solidFill>
              <w14:schemeClr w14:val="tx1"/>
            </w14:solidFill>
          </w14:textFill>
        </w:rPr>
        <w:t>也能将种群扩散到更大的区域。</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2、间接影响</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①项目运营期，灌渠附近人类活动频率增大，对人类活动较敏感的野生生物种群可能会因此迁徙出当前生境。</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②</w:t>
      </w:r>
      <w:bookmarkStart w:id="361" w:name="_Hlk164936889"/>
      <w:r>
        <w:rPr>
          <w:rFonts w:hint="eastAsia" w:cs="宋体"/>
          <w:color w:val="000000" w:themeColor="text1"/>
          <w:sz w:val="24"/>
          <w14:textFill>
            <w14:solidFill>
              <w14:schemeClr w14:val="tx1"/>
            </w14:solidFill>
          </w14:textFill>
        </w:rPr>
        <w:t>水渠建成后将影响渠道两岸小型野生动物的种群交流。在丰水期部分小体型野生兽类难以跨越灌渠，生境因此被切割为小斑块，可能会导致评价区内小种群动物的基因交流减少，甚至消失，对评价区生物多样性造成不利影响。</w:t>
      </w:r>
    </w:p>
    <w:bookmarkEnd w:id="361"/>
    <w:p>
      <w:pPr>
        <w:autoSpaceDE/>
        <w:autoSpaceDN/>
        <w:spacing w:line="360" w:lineRule="auto"/>
        <w:ind w:firstLine="562"/>
        <w:jc w:val="both"/>
        <w:outlineLvl w:val="2"/>
        <w:rPr>
          <w:rFonts w:cs="宋体"/>
          <w:color w:val="000000" w:themeColor="text1"/>
          <w:sz w:val="24"/>
          <w14:textFill>
            <w14:solidFill>
              <w14:schemeClr w14:val="tx1"/>
            </w14:solidFill>
          </w14:textFill>
        </w:rPr>
      </w:pPr>
      <w:bookmarkStart w:id="362" w:name="_Toc29562"/>
      <w:r>
        <w:rPr>
          <w:rFonts w:eastAsia="黑体"/>
          <w:b/>
          <w:color w:val="000000" w:themeColor="text1"/>
          <w:kern w:val="0"/>
          <w:sz w:val="28"/>
          <w:szCs w:val="24"/>
          <w14:textFill>
            <w14:solidFill>
              <w14:schemeClr w14:val="tx1"/>
            </w14:solidFill>
          </w14:textFill>
        </w:rPr>
        <w:t>2.</w:t>
      </w:r>
      <w:r>
        <w:rPr>
          <w:rFonts w:hint="eastAsia" w:eastAsia="黑体"/>
          <w:b/>
          <w:color w:val="000000" w:themeColor="text1"/>
          <w:kern w:val="0"/>
          <w:sz w:val="28"/>
          <w:szCs w:val="24"/>
          <w14:textFill>
            <w14:solidFill>
              <w14:schemeClr w14:val="tx1"/>
            </w14:solidFill>
          </w14:textFill>
        </w:rPr>
        <w:t>7</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8土壤环境的影响</w:t>
      </w:r>
      <w:bookmarkEnd w:id="362"/>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bCs/>
          <w:color w:val="000000" w:themeColor="text1"/>
          <w:sz w:val="24"/>
          <w:szCs w:val="24"/>
          <w14:textFill>
            <w14:solidFill>
              <w14:schemeClr w14:val="tx1"/>
            </w14:solidFill>
          </w14:textFill>
        </w:rPr>
        <w:t>项目建成后解决当地居民农田的灌溉，实施后有效改善土</w:t>
      </w:r>
      <w:r>
        <w:rPr>
          <w:rFonts w:hint="eastAsia"/>
          <w:bCs/>
          <w:color w:val="000000" w:themeColor="text1"/>
          <w:sz w:val="24"/>
          <w:szCs w:val="24"/>
          <w:lang w:val="en-US" w:eastAsia="zh-CN"/>
          <w14:textFill>
            <w14:solidFill>
              <w14:schemeClr w14:val="tx1"/>
            </w14:solidFill>
          </w14:textFill>
        </w:rPr>
        <w:t>壤</w:t>
      </w:r>
      <w:r>
        <w:rPr>
          <w:rFonts w:hint="eastAsia"/>
          <w:bCs/>
          <w:color w:val="000000" w:themeColor="text1"/>
          <w:sz w:val="24"/>
          <w:szCs w:val="24"/>
          <w14:textFill>
            <w14:solidFill>
              <w14:schemeClr w14:val="tx1"/>
            </w14:solidFill>
          </w14:textFill>
        </w:rPr>
        <w:t>质量，促进地区生态环境的良性发展。</w:t>
      </w:r>
    </w:p>
    <w:p>
      <w:pPr>
        <w:pStyle w:val="37"/>
        <w:spacing w:after="0"/>
        <w:ind w:left="0" w:leftChars="0" w:firstLine="480"/>
        <w:rPr>
          <w:rFonts w:cs="宋体"/>
          <w:color w:val="000000" w:themeColor="text1"/>
          <w:szCs w:val="21"/>
          <w14:textFill>
            <w14:solidFill>
              <w14:schemeClr w14:val="tx1"/>
            </w14:solidFill>
          </w14:textFill>
        </w:rPr>
      </w:pPr>
    </w:p>
    <w:p>
      <w:pPr>
        <w:pStyle w:val="37"/>
        <w:spacing w:after="0"/>
        <w:ind w:left="0" w:leftChars="0" w:firstLine="480"/>
        <w:rPr>
          <w:rFonts w:cs="宋体"/>
          <w:color w:val="000000" w:themeColor="text1"/>
          <w:szCs w:val="21"/>
          <w14:textFill>
            <w14:solidFill>
              <w14:schemeClr w14:val="tx1"/>
            </w14:solidFill>
          </w14:textFill>
        </w:rPr>
        <w:sectPr>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pPr>
    </w:p>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363" w:name="5.0建设项目周围环境概况"/>
      <w:bookmarkEnd w:id="363"/>
      <w:bookmarkStart w:id="364" w:name="_bookmark82"/>
      <w:bookmarkEnd w:id="364"/>
      <w:bookmarkStart w:id="365" w:name="_Toc6026"/>
      <w:bookmarkStart w:id="366" w:name="_Toc15713"/>
      <w:bookmarkStart w:id="367" w:name="_Toc31909"/>
      <w:bookmarkStart w:id="368" w:name="_Toc12599"/>
      <w:bookmarkStart w:id="369" w:name="_Toc12586"/>
      <w:bookmarkStart w:id="370" w:name="_Toc70496279"/>
      <w:r>
        <w:rPr>
          <w:rFonts w:ascii="Times New Roman" w:hAnsi="Times New Roman" w:cs="Times New Roman"/>
          <w:color w:val="000000" w:themeColor="text1"/>
          <w14:textFill>
            <w14:solidFill>
              <w14:schemeClr w14:val="tx1"/>
            </w14:solidFill>
          </w14:textFill>
        </w:rPr>
        <w:t>3环境现状调查与评价</w:t>
      </w:r>
      <w:bookmarkEnd w:id="365"/>
      <w:bookmarkEnd w:id="366"/>
      <w:bookmarkEnd w:id="367"/>
      <w:bookmarkEnd w:id="368"/>
      <w:bookmarkEnd w:id="369"/>
      <w:bookmarkEnd w:id="370"/>
    </w:p>
    <w:p>
      <w:pPr>
        <w:pStyle w:val="3"/>
        <w:spacing w:line="360" w:lineRule="auto"/>
        <w:ind w:left="0" w:firstLine="640"/>
        <w:rPr>
          <w:rFonts w:eastAsia="黑体"/>
          <w:color w:val="000000" w:themeColor="text1"/>
          <w14:textFill>
            <w14:solidFill>
              <w14:schemeClr w14:val="tx1"/>
            </w14:solidFill>
          </w14:textFill>
        </w:rPr>
      </w:pPr>
      <w:bookmarkStart w:id="371" w:name="_bookmark83"/>
      <w:bookmarkEnd w:id="371"/>
      <w:bookmarkStart w:id="372" w:name="5.1自然环境概况"/>
      <w:bookmarkEnd w:id="372"/>
      <w:bookmarkStart w:id="373" w:name="_Toc9442"/>
      <w:bookmarkStart w:id="374" w:name="_Toc21678"/>
      <w:bookmarkStart w:id="375" w:name="_Toc21382"/>
      <w:bookmarkStart w:id="376" w:name="_Toc70496280"/>
      <w:bookmarkStart w:id="377" w:name="_Toc32246"/>
      <w:bookmarkStart w:id="378" w:name="_Toc21258"/>
      <w:r>
        <w:rPr>
          <w:rFonts w:eastAsia="黑体"/>
          <w:color w:val="000000" w:themeColor="text1"/>
          <w14:textFill>
            <w14:solidFill>
              <w14:schemeClr w14:val="tx1"/>
            </w14:solidFill>
          </w14:textFill>
        </w:rPr>
        <w:t>3.1自然环境概况</w:t>
      </w:r>
      <w:bookmarkEnd w:id="373"/>
      <w:bookmarkEnd w:id="374"/>
      <w:bookmarkEnd w:id="375"/>
      <w:bookmarkEnd w:id="376"/>
      <w:bookmarkEnd w:id="377"/>
      <w:bookmarkEnd w:id="378"/>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379" w:name="5.1.1地理位置"/>
      <w:bookmarkEnd w:id="379"/>
      <w:bookmarkStart w:id="380" w:name="_bookmark84"/>
      <w:bookmarkEnd w:id="380"/>
      <w:bookmarkStart w:id="381" w:name="_Toc70496281"/>
      <w:bookmarkStart w:id="382" w:name="_Toc32724"/>
      <w:bookmarkStart w:id="383" w:name="_Toc4141"/>
      <w:bookmarkStart w:id="384" w:name="_Toc23370"/>
      <w:bookmarkStart w:id="385" w:name="_Toc22517"/>
      <w:bookmarkStart w:id="386" w:name="_Toc8751"/>
      <w:r>
        <w:rPr>
          <w:rFonts w:ascii="Times New Roman" w:hAnsi="Times New Roman" w:cs="Times New Roman"/>
          <w:color w:val="000000" w:themeColor="text1"/>
          <w14:textFill>
            <w14:solidFill>
              <w14:schemeClr w14:val="tx1"/>
            </w14:solidFill>
          </w14:textFill>
        </w:rPr>
        <w:t>3.1.1地理位置</w:t>
      </w:r>
      <w:bookmarkEnd w:id="381"/>
      <w:bookmarkEnd w:id="382"/>
      <w:bookmarkEnd w:id="383"/>
      <w:bookmarkEnd w:id="384"/>
      <w:bookmarkEnd w:id="385"/>
      <w:bookmarkEnd w:id="386"/>
    </w:p>
    <w:p>
      <w:pPr>
        <w:adjustRightIn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成都市位于四川省中部，地处四川盆地西部，青藏高原东缘。东北与德阳市、东南与资阳市毗邻，南面与眉山市相连，西南与雅安市、西北与阿坝藏族羌族自治州接壤。成都市是国务院批复确定的国家重要的高新技术产业基地、商贸物流中心和综合交通枢纽、西部地区重要的中心城市，重要的电子信息产业基地。环城生态区是成都环城生态区是成都市构建的一条为市中心城区提供绿色生态隔离空间的屏障，沿中心城区绕城高速公路两侧各五百米范围，以及周边七大楔形地块内的生态用地和建设用地所构成的控制区，总面积为187.15k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。东风渠南片区面积为39.86km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。东风渠北片区面积为48.24km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w:t>
      </w:r>
    </w:p>
    <w:p>
      <w:pPr>
        <w:adjustRightIn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成都市中心城区地处四川盆地底部，径流以大气降水补给为主，地下水补给为辅，属于混合补给类型。径流的年内年际变化及地区分布与降水的变化趋势基本一致，具有年内分配不均、年际变化大、空间分布不均等特点。径流深大致从西北平原区向东南丘陵区逐渐递减，西北部平原区径流深在350-450mm。地表径流地区分布不均，其多年平均径流深地区分布规律为西北平原地区大于东部台地区，具有西北高东南低的特点。本次治理北支一渠（上）、董家堰补水渠（上）、董家堰补水渠（下）位于东风渠北片区。南五支渠和南六支渠位于东风渠南片区。</w:t>
      </w:r>
    </w:p>
    <w:p>
      <w:pPr>
        <w:adjustRightIn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项目区内地理位置图见附图1</w:t>
      </w:r>
      <w:r>
        <w:rPr>
          <w:color w:val="000000" w:themeColor="text1"/>
          <w:sz w:val="24"/>
          <w14:textFill>
            <w14:solidFill>
              <w14:schemeClr w14:val="tx1"/>
            </w14:solidFill>
          </w14:textFill>
        </w:rPr>
        <w:t>。</w:t>
      </w:r>
    </w:p>
    <w:p>
      <w:pPr>
        <w:pStyle w:val="4"/>
        <w:spacing w:line="360" w:lineRule="auto"/>
        <w:ind w:left="0" w:firstLine="560"/>
        <w:jc w:val="both"/>
        <w:rPr>
          <w:rFonts w:ascii="Times New Roman" w:hAnsi="Times New Roman" w:cs="Times New Roman"/>
          <w:color w:val="000000" w:themeColor="text1"/>
          <w14:textFill>
            <w14:solidFill>
              <w14:schemeClr w14:val="tx1"/>
            </w14:solidFill>
          </w14:textFill>
        </w:rPr>
      </w:pPr>
      <w:bookmarkStart w:id="387" w:name="_bookmark85"/>
      <w:bookmarkEnd w:id="387"/>
      <w:bookmarkStart w:id="388" w:name="5.1.2地形地貌"/>
      <w:bookmarkEnd w:id="388"/>
      <w:bookmarkStart w:id="389" w:name="_Toc10597"/>
      <w:bookmarkStart w:id="390" w:name="_Toc70496282"/>
      <w:bookmarkStart w:id="391" w:name="_Toc27799"/>
      <w:bookmarkStart w:id="392" w:name="_Toc30460"/>
      <w:bookmarkStart w:id="393" w:name="_Toc27704"/>
      <w:bookmarkStart w:id="394" w:name="_Toc20163"/>
      <w:r>
        <w:rPr>
          <w:rFonts w:ascii="Times New Roman" w:hAnsi="Times New Roman" w:cs="Times New Roman"/>
          <w:color w:val="000000" w:themeColor="text1"/>
          <w14:textFill>
            <w14:solidFill>
              <w14:schemeClr w14:val="tx1"/>
            </w14:solidFill>
          </w14:textFill>
        </w:rPr>
        <w:t>3.1.2</w:t>
      </w:r>
      <w:bookmarkEnd w:id="389"/>
      <w:bookmarkEnd w:id="390"/>
      <w:bookmarkEnd w:id="391"/>
      <w:bookmarkEnd w:id="392"/>
      <w:bookmarkEnd w:id="393"/>
      <w:r>
        <w:rPr>
          <w:rFonts w:hint="eastAsia" w:ascii="Times New Roman" w:hAnsi="Times New Roman" w:cs="Times New Roman"/>
          <w:color w:val="000000" w:themeColor="text1"/>
          <w14:textFill>
            <w14:solidFill>
              <w14:schemeClr w14:val="tx1"/>
            </w14:solidFill>
          </w14:textFill>
        </w:rPr>
        <w:t>河流水系</w:t>
      </w:r>
      <w:bookmarkEnd w:id="394"/>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成都市主要为长江流域岷江、沱江两大水系。市境内岷江流域面积占全市幅员面积70.4%，沱江流域面积占29.6%。成都市西南部为岷江水系，东北部为沱江水系，水域面积逾700km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在上述河流形成的骨干水系下，项目区内的东风渠管理处灌区内建有东风渠总干渠、北干渠、牧马山干渠等主要干渠，干渠下属支渠、斗渠密布，形成了灌区的灌溉渠系，项目取水涉及的相关渠系基本情况如下：</w:t>
      </w:r>
    </w:p>
    <w:p>
      <w:pPr>
        <w:pStyle w:val="14"/>
        <w:adjustRightInd w:val="0"/>
        <w:snapToGrid w:val="0"/>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东风渠总干渠，东风渠是引用都江堰内江渠系水源的大型引水灌溉工程，又名东山引水灌溉工程。始建于1956年春，时称东山引水灌溉工程，至1966年方改称东风渠。东风渠总干渠是都江堰灌区的一条重要输水干渠。始于府河郫都区安靖东风渠总干引水枢纽，东南流进入成都市城区，至南北节制闸、麻石桥节制闸、团结节制闸、罗家河坝分水枢纽分出北干渠、东干渠、老南干渠和新南干渠。东风渠总干渠全长54.3km，进水闸设计流量80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/s。绕城高速公路以内，东风渠总干渠河道岸线总长度22.2km，工程共分六期建设。</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一期工程自郫都区安靖乡引府河水源，向东南开总干渠13.6km至南北闸；并左分北干渠35.6km。1956年3月开工，次月建成。二期工程向南及东南延伸总干渠22.4km，至麻石桥，此段时称东山东南干渠。又自麻石桥左分东干渠53.4km；再右分老南干渠（时称东山南干渠）10km。1956年冬开工，1957年春建成。三期工程主要为延长老南干渠49.7km。1958年春开工，当年建成。四期工程再向南延伸总干渠12.8km至罗家河坝，使总干渠全长达到54.8km；又自罗家河坝右分新南干渠77.6km。此期于1959年冬开工，次年春即因经济困难而停建。至1966年春复工，1970年冬建成。一至四期共建总干渠一条，灌溉农田19.4万。干渠4条，支渠20条，其中灌溉农田：北干渠10.45万亩；东干渠23.19万亩；老南干渠18.92万亩；新南干渠则承担东风渠四、五期灌区及井研14.87万亩扩灌区输水任务。设计总灌溉面积为159.81万亩，其中四期38.88万亩；解决了龙泉山以西平原及浅丘区农灌问题。</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为将水源引至龙泉山以东丘陵旱区，采取引洪囤蓄方式，兴建五期工程，即以黑龙滩水库为充囤工程，在新南干渠60km流程处引水充库，充水渠长3.6km；水库以下左分黑龙滩东干渠121km，右分黑龙滩南干渠119km。1970年冬开工，1978年建成。同时兴建六期工程，以张家岩水库左右串联石盘、三岔水库充囤工程为主体﹐自总干渠末端通过7.42km（其中隧洞6.37km）充水渠至张家岩水库。</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水库左分北干渠17.37km至盘石水库，右分南干渠13.5km至官河堰，充水入三岔水库；再延伸32.44km仍入三岔水库库区。1970年春开工，1980年基本建成。</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东风渠灌区跨越龙泉山西与东的龙泉山前平原及山后丘陵区1738km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山前灌区有总干渠、北干渠、东干渠、老南干渠、新南干渠5条主干，全长283.1km；有支渠19条，总长452.7km，灌溉农田110.75万亩。山后丘陵灌区有骨干充囤工程4处，主干渠4条，干渠8条，设计控灌农田241.18万亩。一至六期设计灌溉面积为351.93万亩，灌区包括郫都区、新都、</w:t>
      </w:r>
      <w:r>
        <w:rPr>
          <w:rFonts w:hint="eastAsia"/>
          <w:color w:val="000000" w:themeColor="text1"/>
          <w14:textFill>
            <w14:solidFill>
              <w14:schemeClr w14:val="tx1"/>
            </w14:solidFill>
          </w14:textFill>
        </w:rPr>
        <w:t>青白</w:t>
      </w:r>
      <w:r>
        <w:rPr>
          <w:color w:val="000000" w:themeColor="text1"/>
          <w14:textFill>
            <w14:solidFill>
              <w14:schemeClr w14:val="tx1"/>
            </w14:solidFill>
          </w14:textFill>
        </w:rPr>
        <w:t>江区、金牛区、龙泉驿区、双流、金堂、仁寿、井研、眉山、简阳、资阳、资中等区市县。</w:t>
      </w:r>
    </w:p>
    <w:p>
      <w:pPr>
        <w:pStyle w:val="14"/>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东风渠灌区北干渠是东风渠灌区总干渠中三条重要的分干渠之一的骨干渠系工程，于1956年3月初动工，同年4月初，初具规模，形成通水能力并正式通水运行。它起于总干渠南北闸（15+640km）左岸，经成都市的新都区和青白江区，至青白江区的日新乡境内注入西江河，全长35.967km，实测北干渠长度为34.832km。根据业主“三查三定”资料以及本次设计时的水量衡计算复核，渠首设计流量10.5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/s，该渠有1条支渠，渠长13.36km。</w:t>
      </w:r>
    </w:p>
    <w:p>
      <w:pPr>
        <w:pStyle w:val="4"/>
        <w:keepNext w:val="0"/>
        <w:keepLines w:val="0"/>
        <w:pageBreakBefore w:val="0"/>
        <w:widowControl w:val="0"/>
        <w:kinsoku/>
        <w:wordWrap/>
        <w:overflowPunct/>
        <w:topLinePunct w:val="0"/>
        <w:autoSpaceDE w:val="0"/>
        <w:autoSpaceDN w:val="0"/>
        <w:bidi w:val="0"/>
        <w:adjustRightInd w:val="0"/>
        <w:snapToGrid w:val="0"/>
        <w:spacing w:line="360" w:lineRule="auto"/>
        <w:ind w:left="0" w:firstLine="560"/>
        <w:textAlignment w:val="auto"/>
        <w:rPr>
          <w:rFonts w:ascii="Times New Roman" w:hAnsi="Times New Roman" w:cs="Times New Roman"/>
          <w:color w:val="000000" w:themeColor="text1"/>
          <w14:textFill>
            <w14:solidFill>
              <w14:schemeClr w14:val="tx1"/>
            </w14:solidFill>
          </w14:textFill>
        </w:rPr>
      </w:pPr>
      <w:bookmarkStart w:id="395" w:name="_Toc19317"/>
      <w:r>
        <w:rPr>
          <w:rFonts w:ascii="Times New Roman" w:hAnsi="Times New Roman" w:cs="Times New Roman"/>
          <w:color w:val="000000" w:themeColor="text1"/>
          <w14:textFill>
            <w14:solidFill>
              <w14:schemeClr w14:val="tx1"/>
            </w14:solidFill>
          </w14:textFill>
        </w:rPr>
        <w:t>3.1.3</w:t>
      </w:r>
      <w:r>
        <w:rPr>
          <w:rFonts w:hint="eastAsia" w:ascii="Times New Roman" w:hAnsi="Times New Roman" w:cs="Times New Roman"/>
          <w:color w:val="000000" w:themeColor="text1"/>
          <w14:textFill>
            <w14:solidFill>
              <w14:schemeClr w14:val="tx1"/>
            </w14:solidFill>
          </w14:textFill>
        </w:rPr>
        <w:t>气候气象</w:t>
      </w:r>
      <w:bookmarkEnd w:id="395"/>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工程区处于四川盆地亚热带季风湿润气候区，又处于鹿头山暴雨区向平原的过渡带。气候温和、湿润多雨、四季分明，年气温变化不大。</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工程区位于成都市中心城区，成都气象站具有1951年~至今的资料，监测项目主要为雨量、风速、湿度、温度等。据成都气象站资料统计，多年平均气温为16.3℃，极端最高气温38.3℃，极端最低气温-5.9℃。最热月平均温度37.3℃，最冷月平均温度为-4.6℃，年平均相对湿度83%。云雾多，日照少，年平均日照1155小时，年平均太阳辐射总量为90.95千卡/平方厘米，年平均无霜期293天。多年平均蒸发量1020mm，平均水面蒸发量为694.3mm，最大月7月为126.0mm，最小月12月为28.2mm。</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最大年平均降水量为1147mm，最大日降水量为195.2mm。年降水量主要集中在6~9月，约占全年的73.8%。1~3月、11~12月的五个月降雨量，仅占全年降雨量6%。暴雨一般发生在5~10月，与此相应，洪水也主要发生在5~10月，尤以7~8月居多。</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396" w:name="_Toc70496283"/>
      <w:bookmarkStart w:id="397" w:name="_Toc28316"/>
      <w:bookmarkStart w:id="398" w:name="_Toc5210"/>
      <w:bookmarkStart w:id="399" w:name="_Toc22422"/>
      <w:bookmarkStart w:id="400" w:name="_Toc13024"/>
      <w:bookmarkStart w:id="401" w:name="_Toc10688"/>
      <w:r>
        <w:rPr>
          <w:rFonts w:ascii="Times New Roman" w:hAnsi="Times New Roman" w:cs="Times New Roman"/>
          <w:color w:val="000000" w:themeColor="text1"/>
          <w14:textFill>
            <w14:solidFill>
              <w14:schemeClr w14:val="tx1"/>
            </w14:solidFill>
          </w14:textFill>
        </w:rPr>
        <w:t>3.1.</w:t>
      </w:r>
      <w:bookmarkEnd w:id="396"/>
      <w:bookmarkEnd w:id="397"/>
      <w:bookmarkEnd w:id="398"/>
      <w:bookmarkEnd w:id="399"/>
      <w:bookmarkEnd w:id="400"/>
      <w:r>
        <w:rPr>
          <w:rFonts w:hint="eastAsia" w:ascii="Times New Roman" w:hAnsi="Times New Roman" w:cs="Times New Roman"/>
          <w:color w:val="000000" w:themeColor="text1"/>
          <w14:textFill>
            <w14:solidFill>
              <w14:schemeClr w14:val="tx1"/>
            </w14:solidFill>
          </w14:textFill>
        </w:rPr>
        <w:t>4地形地貌</w:t>
      </w:r>
      <w:bookmarkEnd w:id="401"/>
    </w:p>
    <w:p>
      <w:pPr>
        <w:pStyle w:val="14"/>
        <w:spacing w:line="352" w:lineRule="auto"/>
        <w:ind w:right="45" w:firstLine="482"/>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工程区位于成都市，属于岷江冲洪积扇的东南边缘。市区以西为川西平原岷江水系一、二级阶地，地形开阔、平坦；市区以东为成都市东部台地，地形起伏相对较大，坡度平缓。成都市区内地形平坦，地势受扇状平原的控制，总体上西高东低、北高南低，海拔为484m~540m。受区间内数条现代河流及古河道的影响，地形有一定起伏，但在市区内因长期的人类活动改造，原始地形已不甚清晰。</w:t>
      </w:r>
    </w:p>
    <w:p>
      <w:pPr>
        <w:pStyle w:val="14"/>
        <w:spacing w:line="360" w:lineRule="auto"/>
        <w:ind w:firstLine="480" w:firstLineChars="200"/>
        <w:jc w:val="both"/>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区内地貌类型单一，均为侵蚀、堆积地貌，其主体地貌单元为冰水堆积扇状平原阶地，受后期河流的切割改造，表现为东南展布的相互平行的条带状河间地块。</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402" w:name="_Toc30741"/>
      <w:bookmarkStart w:id="403" w:name="_Toc5452"/>
      <w:bookmarkStart w:id="404" w:name="_Toc8884"/>
      <w:bookmarkStart w:id="405" w:name="_Toc25569"/>
      <w:bookmarkStart w:id="406" w:name="_Toc70496284"/>
      <w:bookmarkStart w:id="407" w:name="_Toc27308"/>
      <w:r>
        <w:rPr>
          <w:rFonts w:ascii="Times New Roman" w:hAnsi="Times New Roman" w:cs="Times New Roman"/>
          <w:color w:val="000000" w:themeColor="text1"/>
          <w14:textFill>
            <w14:solidFill>
              <w14:schemeClr w14:val="tx1"/>
            </w14:solidFill>
          </w14:textFill>
        </w:rPr>
        <w:t>3.1.</w:t>
      </w:r>
      <w:bookmarkEnd w:id="402"/>
      <w:bookmarkEnd w:id="403"/>
      <w:bookmarkEnd w:id="404"/>
      <w:bookmarkEnd w:id="405"/>
      <w:bookmarkEnd w:id="406"/>
      <w:bookmarkStart w:id="408" w:name="_Toc466290263"/>
      <w:r>
        <w:rPr>
          <w:rFonts w:hint="eastAsia" w:ascii="Times New Roman" w:hAnsi="Times New Roman" w:cs="Times New Roman"/>
          <w:color w:val="000000" w:themeColor="text1"/>
          <w14:textFill>
            <w14:solidFill>
              <w14:schemeClr w14:val="tx1"/>
            </w14:solidFill>
          </w14:textFill>
        </w:rPr>
        <w:t>5地质构造</w:t>
      </w:r>
      <w:bookmarkEnd w:id="407"/>
    </w:p>
    <w:bookmarkEnd w:id="408"/>
    <w:p>
      <w:pPr>
        <w:pStyle w:val="14"/>
        <w:adjustRightInd w:val="0"/>
        <w:snapToGrid w:val="0"/>
        <w:spacing w:line="360" w:lineRule="auto"/>
        <w:ind w:firstLine="480" w:firstLineChars="200"/>
        <w:jc w:val="both"/>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拟建项目位于成都盆地，该盆地地处青藏高原东缘，西以龙门山为界，东以龙泉山为界，呈</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两山夹一盆</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构造格局（见图3.</w:t>
      </w:r>
      <w:r>
        <w:rPr>
          <w:rFonts w:hint="eastAsia"/>
          <w:color w:val="000000" w:themeColor="text1"/>
          <w:kern w:val="0"/>
          <w:szCs w:val="21"/>
          <w14:textFill>
            <w14:solidFill>
              <w14:schemeClr w14:val="tx1"/>
            </w14:solidFill>
          </w14:textFill>
        </w:rPr>
        <w:t>1</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1项目</w:t>
      </w:r>
      <w:r>
        <w:rPr>
          <w:color w:val="000000" w:themeColor="text1"/>
          <w:kern w:val="0"/>
          <w:szCs w:val="21"/>
          <w14:textFill>
            <w14:solidFill>
              <w14:schemeClr w14:val="tx1"/>
            </w14:solidFill>
          </w14:textFill>
        </w:rPr>
        <w:t>区域地质构造图），并显示为狭窄的线性盆地。盆地的长轴方向为北东—南西（NNE30°～40°），平行于龙门山断裂，</w:t>
      </w:r>
    </w:p>
    <w:p>
      <w:pPr>
        <w:pStyle w:val="14"/>
        <w:adjustRightInd w:val="0"/>
        <w:snapToGrid w:val="0"/>
        <w:spacing w:line="360" w:lineRule="auto"/>
        <w:ind w:firstLine="480" w:firstLineChars="200"/>
        <w:jc w:val="both"/>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长度为180～210km；盆地的短轴方向为北西—南东向，垂直于龙门山断裂，宽度约为50～60km，面积约8400km</w:t>
      </w:r>
      <w:r>
        <w:rPr>
          <w:color w:val="000000" w:themeColor="text1"/>
          <w:kern w:val="0"/>
          <w:szCs w:val="21"/>
          <w:vertAlign w:val="superscript"/>
          <w14:textFill>
            <w14:solidFill>
              <w14:schemeClr w14:val="tx1"/>
            </w14:solidFill>
          </w14:textFill>
        </w:rPr>
        <w:t>2</w:t>
      </w:r>
      <w:r>
        <w:rPr>
          <w:color w:val="000000" w:themeColor="text1"/>
          <w:kern w:val="0"/>
          <w:szCs w:val="21"/>
          <w14:textFill>
            <w14:solidFill>
              <w14:schemeClr w14:val="tx1"/>
            </w14:solidFill>
          </w14:textFill>
        </w:rPr>
        <w:t>。盆地的西部已卷入龙门山造山带。受喜马拉雅山构造运动的内力地质作用，龙门山和龙泉山构造带相对上升，而坳陷盆地相对下降，受岷江水系长期的搬运和沉积作用，在坳陷盆地内堆积了厚度不等的第四系冲洪积地层，不整合于白垩系地层之上，形成了成都地区现今的构造轮廓和地貌特征。</w:t>
      </w:r>
    </w:p>
    <w:p>
      <w:pPr>
        <w:pStyle w:val="14"/>
        <w:adjustRightInd w:val="0"/>
        <w:snapToGrid w:val="0"/>
        <w:spacing w:line="360" w:lineRule="auto"/>
        <w:ind w:firstLine="480" w:firstLineChars="200"/>
        <w:jc w:val="both"/>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龙泉山断裂带：距工程区约30公里，位于成都平原与川中陆内盆地过渡带，西邻龙门山断裂带，属龙门山前陆隆起，总体走向NE20°～30°，其发生、发展与青藏高原龙门山隆升演化密切相关。龙泉山断裂带主要出露侏罗系和白垩系，第四系仅分布堆积阶地和部分残坡积物。该断裂历史上曾发生1967年1月14日双流、仁寿间5.5级、1969年2月24日金堂南4.1级地震。2020年2月3日00时05分，四川成都市青白江区清泉镇附近（北纬30.74度，东经104.46度）发生5.1级地震，震源深度21km，距成都市区38km。</w:t>
      </w:r>
    </w:p>
    <w:p>
      <w:pPr>
        <w:pStyle w:val="14"/>
        <w:adjustRightInd w:val="0"/>
        <w:snapToGrid w:val="0"/>
        <w:spacing w:line="360" w:lineRule="auto"/>
        <w:ind w:firstLine="480" w:firstLineChars="20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四川龙门山断裂带：龙门山断裂带南起泸定、天全，向东北经灌县、茂汶、北川、广元北后进入陕西勉县一带，总体呈NE-SW向展布，长约500km，宽30-40km（见图），是一条北西盘向南东逆冲并兼有右旋走滑分量的断裂带。该断裂带是由龙门山后山断裂（由耿达一陇东断裂、茂汶一汶川断裂和青川断裂组成）、中央断裂（由盐井一五龙断裂、北川一映秀断裂和茶坝一林庵寺断裂组成）、山前断裂（由大川一双石断裂、灌县一安县断裂和江油断裂组成）和山前隐伏断裂等四条主干断裂及其控制的逆冲构造岩片（推覆体）组成的具有前展式发育特点的推覆构造带（唐荣昌等，1993；邓起东等，1994）。龙门山断裂带沿走向可以被分为北、中和南三个段落，北段：青川断裂、茶坝一林庵寺断裂和江油断裂；中段：茂汶一汶川断裂、北川一映秀断裂和灌县一安县断裂；南段：耿达一陇东断裂、盐井一五龙断裂和大川一双石断裂。龙门山断裂带距成都市区约70km。</w:t>
      </w:r>
    </w:p>
    <w:p>
      <w:pPr>
        <w:pStyle w:val="14"/>
        <w:adjustRightInd w:val="0"/>
        <w:snapToGrid w:val="0"/>
        <w:spacing w:line="360" w:lineRule="auto"/>
        <w:ind w:firstLine="480" w:firstLineChars="20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本工程范围内无断裂构造。场地表层为第四系土层覆盖，下伏基岩为单斜构造，岩层近于水平产出。</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409" w:name="_Toc70496285"/>
      <w:bookmarkStart w:id="410" w:name="_Toc18869"/>
      <w:r>
        <w:rPr>
          <w:rFonts w:ascii="Times New Roman" w:hAnsi="Times New Roman" w:cs="Times New Roman"/>
          <w:color w:val="000000" w:themeColor="text1"/>
          <w14:textFill>
            <w14:solidFill>
              <w14:schemeClr w14:val="tx1"/>
            </w14:solidFill>
          </w14:textFill>
        </w:rPr>
        <w:t>3.1.</w:t>
      </w:r>
      <w:bookmarkEnd w:id="409"/>
      <w:r>
        <w:rPr>
          <w:rFonts w:hint="eastAsia" w:ascii="Times New Roman" w:hAnsi="Times New Roman" w:cs="Times New Roman"/>
          <w:color w:val="000000" w:themeColor="text1"/>
          <w14:textFill>
            <w14:solidFill>
              <w14:schemeClr w14:val="tx1"/>
            </w14:solidFill>
          </w14:textFill>
        </w:rPr>
        <w:t>6水文地质条件</w:t>
      </w:r>
      <w:bookmarkEnd w:id="410"/>
    </w:p>
    <w:p>
      <w:pPr>
        <w:pStyle w:val="14"/>
        <w:adjustRightInd w:val="0"/>
        <w:snapToGrid w:val="0"/>
        <w:spacing w:line="360" w:lineRule="auto"/>
        <w:ind w:firstLine="472" w:firstLineChars="200"/>
        <w:jc w:val="both"/>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1、地表水</w:t>
      </w:r>
    </w:p>
    <w:p>
      <w:pPr>
        <w:pStyle w:val="14"/>
        <w:adjustRightInd w:val="0"/>
        <w:snapToGrid w:val="0"/>
        <w:spacing w:line="360" w:lineRule="auto"/>
        <w:ind w:firstLine="472" w:firstLineChars="200"/>
        <w:jc w:val="both"/>
        <w:rPr>
          <w:color w:val="000000" w:themeColor="text1"/>
          <w14:textFill>
            <w14:solidFill>
              <w14:schemeClr w14:val="tx1"/>
            </w14:solidFill>
          </w14:textFill>
        </w:rPr>
      </w:pPr>
      <w:r>
        <w:rPr>
          <w:color w:val="000000" w:themeColor="text1"/>
          <w:spacing w:val="-2"/>
          <w14:textFill>
            <w14:solidFill>
              <w14:schemeClr w14:val="tx1"/>
            </w14:solidFill>
          </w14:textFill>
        </w:rPr>
        <w:t>本项目为渠道整治、改扩建项目，勘察区地表水体主要为渠道、湖、堰等。渠道宽度及深度不一，勘察期间水流较为平缓，大多渠道渠底淤积情况严重，水草丛生。部分渠道为土渠，岸坡较缓，出露地层主要为人工填土及粘性土，抗冲刷能力差，存在塌岸</w:t>
      </w:r>
      <w:r>
        <w:rPr>
          <w:color w:val="000000" w:themeColor="text1"/>
          <w14:textFill>
            <w14:solidFill>
              <w14:schemeClr w14:val="tx1"/>
            </w14:solidFill>
          </w14:textFill>
        </w:rPr>
        <w:t>现象。已进行护岸的渠道岸坡现状较稳定，两侧多为杂草或人工种植物。</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2、地下水类型、分布及渗透性</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根据收集的水文地质资料、邻近场地勘察资料及本次勘察结果，勘察区范围的地下水类型主要为上层滞水。上层滞水主要赋存于填土、粘土、粉质粘土层中，受大气降水、地表水及地下水径流补给，向地势低洼地带排泄；本次勘察期间，实测稳定地下水位埋深0.4～4.4m，高程介于498.49～505.26m之间，该类型地下水广泛分布于工程区。</w:t>
      </w:r>
    </w:p>
    <w:p>
      <w:pPr>
        <w:pStyle w:val="14"/>
        <w:adjustRightInd w:val="0"/>
        <w:snapToGrid w:val="0"/>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根据渗透实验，结合区域水文地质资料，粘土渗透系数约4.5×10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cm/s，粉质粘土渗透系数约2.5×10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cm/s。</w:t>
      </w:r>
    </w:p>
    <w:p>
      <w:pPr>
        <w:pStyle w:val="3"/>
        <w:spacing w:line="360" w:lineRule="auto"/>
        <w:ind w:left="0" w:firstLine="640"/>
        <w:rPr>
          <w:rFonts w:eastAsia="黑体"/>
          <w:color w:val="000000" w:themeColor="text1"/>
          <w14:textFill>
            <w14:solidFill>
              <w14:schemeClr w14:val="tx1"/>
            </w14:solidFill>
          </w14:textFill>
        </w:rPr>
      </w:pPr>
      <w:bookmarkStart w:id="411" w:name="5.2环境质量现状"/>
      <w:bookmarkEnd w:id="411"/>
      <w:bookmarkStart w:id="412" w:name="_bookmark92"/>
      <w:bookmarkEnd w:id="412"/>
      <w:bookmarkStart w:id="413" w:name="_Toc24382"/>
      <w:bookmarkStart w:id="414" w:name="_Toc70496292"/>
      <w:bookmarkStart w:id="415" w:name="_Toc476"/>
      <w:bookmarkStart w:id="416" w:name="_Toc16275"/>
      <w:bookmarkStart w:id="417" w:name="_Toc24713"/>
      <w:bookmarkStart w:id="418" w:name="_Toc26529"/>
      <w:r>
        <w:rPr>
          <w:rFonts w:eastAsia="黑体"/>
          <w:color w:val="000000" w:themeColor="text1"/>
          <w14:textFill>
            <w14:solidFill>
              <w14:schemeClr w14:val="tx1"/>
            </w14:solidFill>
          </w14:textFill>
        </w:rPr>
        <w:t>3.2环境质量现状及评价</w:t>
      </w:r>
      <w:bookmarkEnd w:id="413"/>
      <w:bookmarkEnd w:id="414"/>
      <w:bookmarkEnd w:id="415"/>
      <w:bookmarkEnd w:id="416"/>
      <w:bookmarkEnd w:id="417"/>
      <w:bookmarkEnd w:id="418"/>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为了解评价区内的环境质量现状，本次评价委托</w:t>
      </w:r>
      <w:r>
        <w:rPr>
          <w:rFonts w:hint="eastAsia"/>
          <w:color w:val="000000" w:themeColor="text1"/>
          <w14:textFill>
            <w14:solidFill>
              <w14:schemeClr w14:val="tx1"/>
            </w14:solidFill>
          </w14:textFill>
        </w:rPr>
        <w:t>四川卡夫检测技术有限公司分别</w:t>
      </w:r>
      <w:r>
        <w:rPr>
          <w:color w:val="000000" w:themeColor="text1"/>
          <w14:textFill>
            <w14:solidFill>
              <w14:schemeClr w14:val="tx1"/>
            </w14:solidFill>
          </w14:textFill>
        </w:rPr>
        <w:t>于202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23日~24日、</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12日</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委托中优环境检测成都有限责任公司2024年6月26日</w:t>
      </w:r>
      <w:r>
        <w:rPr>
          <w:color w:val="000000" w:themeColor="text1"/>
          <w14:textFill>
            <w14:solidFill>
              <w14:schemeClr w14:val="tx1"/>
            </w14:solidFill>
          </w14:textFill>
        </w:rPr>
        <w:t>对项目区的声环境现状</w:t>
      </w:r>
      <w:r>
        <w:rPr>
          <w:rFonts w:hint="eastAsia"/>
          <w:color w:val="000000" w:themeColor="text1"/>
          <w14:textFill>
            <w14:solidFill>
              <w14:schemeClr w14:val="tx1"/>
            </w14:solidFill>
          </w14:textFill>
        </w:rPr>
        <w:t>、渠道</w:t>
      </w:r>
      <w:r>
        <w:rPr>
          <w:color w:val="000000" w:themeColor="text1"/>
          <w14:textFill>
            <w14:solidFill>
              <w14:schemeClr w14:val="tx1"/>
            </w14:solidFill>
          </w14:textFill>
        </w:rPr>
        <w:t>底泥进行了现场取样监测分析</w:t>
      </w:r>
      <w:r>
        <w:rPr>
          <w:rFonts w:hint="eastAsia"/>
          <w:color w:val="000000" w:themeColor="text1"/>
          <w14:textFill>
            <w14:solidFill>
              <w14:schemeClr w14:val="tx1"/>
            </w14:solidFill>
          </w14:textFill>
        </w:rPr>
        <w:t>；同时委托四川铁环检测技术有限公司于2024年3月22日~24日对区域地表水环境质量进行了</w:t>
      </w:r>
      <w:r>
        <w:rPr>
          <w:color w:val="000000" w:themeColor="text1"/>
          <w14:textFill>
            <w14:solidFill>
              <w14:schemeClr w14:val="tx1"/>
            </w14:solidFill>
          </w14:textFill>
        </w:rPr>
        <w:t>现场取样监测分析。</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419" w:name="5.2.1大气环境质量现状"/>
      <w:bookmarkEnd w:id="419"/>
      <w:bookmarkStart w:id="420" w:name="_bookmark93"/>
      <w:bookmarkEnd w:id="420"/>
      <w:bookmarkStart w:id="421" w:name="_Toc13950"/>
      <w:bookmarkStart w:id="422" w:name="_Toc22658"/>
      <w:bookmarkStart w:id="423" w:name="_Toc32271"/>
      <w:bookmarkStart w:id="424" w:name="_Toc15222"/>
      <w:bookmarkStart w:id="425" w:name="_Toc23177"/>
      <w:bookmarkStart w:id="426" w:name="_Toc70496293"/>
      <w:r>
        <w:rPr>
          <w:rFonts w:ascii="Times New Roman" w:hAnsi="Times New Roman" w:cs="Times New Roman"/>
          <w:color w:val="000000" w:themeColor="text1"/>
          <w14:textFill>
            <w14:solidFill>
              <w14:schemeClr w14:val="tx1"/>
            </w14:solidFill>
          </w14:textFill>
        </w:rPr>
        <w:t>3.2.1环境空气质量现状与评价</w:t>
      </w:r>
      <w:bookmarkEnd w:id="421"/>
      <w:bookmarkEnd w:id="422"/>
      <w:bookmarkEnd w:id="423"/>
      <w:bookmarkEnd w:id="424"/>
      <w:bookmarkEnd w:id="425"/>
      <w:bookmarkEnd w:id="426"/>
    </w:p>
    <w:p>
      <w:pPr>
        <w:pStyle w:val="14"/>
        <w:adjustRightInd w:val="0"/>
        <w:snapToGrid w:val="0"/>
        <w:spacing w:line="360" w:lineRule="auto"/>
        <w:ind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1、环境空气质量达标区判定</w:t>
      </w:r>
    </w:p>
    <w:p>
      <w:pPr>
        <w:adjustRightInd w:val="0"/>
        <w:snapToGrid w:val="0"/>
        <w:spacing w:line="360" w:lineRule="auto"/>
        <w:ind w:firstLine="480" w:firstLineChars="200"/>
        <w:jc w:val="both"/>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本项目位于</w:t>
      </w:r>
      <w:r>
        <w:rPr>
          <w:rFonts w:hint="eastAsia"/>
          <w:color w:val="000000" w:themeColor="text1"/>
          <w:kern w:val="0"/>
          <w:sz w:val="24"/>
          <w14:textFill>
            <w14:solidFill>
              <w14:schemeClr w14:val="tx1"/>
            </w14:solidFill>
          </w14:textFill>
        </w:rPr>
        <w:t>成都市新都区、龙泉驿区</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位于成都市绕城高速旁</w:t>
      </w:r>
      <w:r>
        <w:rPr>
          <w:color w:val="000000" w:themeColor="text1"/>
          <w:kern w:val="0"/>
          <w:sz w:val="24"/>
          <w14:textFill>
            <w14:solidFill>
              <w14:schemeClr w14:val="tx1"/>
            </w14:solidFill>
          </w14:textFill>
        </w:rPr>
        <w:t>。因此，根据《环境影响评价技术导则大气环境》（HJ2.2-2018）要求，采用</w:t>
      </w:r>
      <w:r>
        <w:rPr>
          <w:rFonts w:hint="eastAsia"/>
          <w:color w:val="000000" w:themeColor="text1"/>
          <w:kern w:val="0"/>
          <w:sz w:val="24"/>
          <w14:textFill>
            <w14:solidFill>
              <w14:schemeClr w14:val="tx1"/>
            </w14:solidFill>
          </w14:textFill>
        </w:rPr>
        <w:t>成都市</w:t>
      </w:r>
      <w:r>
        <w:rPr>
          <w:color w:val="000000" w:themeColor="text1"/>
          <w:kern w:val="0"/>
          <w:sz w:val="24"/>
          <w14:textFill>
            <w14:solidFill>
              <w14:schemeClr w14:val="tx1"/>
            </w14:solidFill>
          </w14:textFill>
        </w:rPr>
        <w:t>环境主管部门发布的《202</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年</w:t>
      </w:r>
      <w:r>
        <w:rPr>
          <w:rFonts w:hint="eastAsia"/>
          <w:color w:val="000000" w:themeColor="text1"/>
          <w:kern w:val="0"/>
          <w:sz w:val="24"/>
          <w14:textFill>
            <w14:solidFill>
              <w14:schemeClr w14:val="tx1"/>
            </w14:solidFill>
          </w14:textFill>
        </w:rPr>
        <w:t>成都</w:t>
      </w:r>
      <w:r>
        <w:rPr>
          <w:color w:val="000000" w:themeColor="text1"/>
          <w:kern w:val="0"/>
          <w:sz w:val="24"/>
          <w14:textFill>
            <w14:solidFill>
              <w14:schemeClr w14:val="tx1"/>
            </w14:solidFill>
          </w14:textFill>
        </w:rPr>
        <w:t>市年度环境质量状况》中的数据作为区域环境空气质量达标判断依据。</w:t>
      </w:r>
    </w:p>
    <w:p>
      <w:pPr>
        <w:overflowPunct w:val="0"/>
        <w:autoSpaceDE/>
        <w:autoSpaceDN/>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根据《202</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年成都市生态环境状况公报》中监测数据进行统计分析来对项目所在区域环境空气质量达标情况进行评价：</w:t>
      </w:r>
    </w:p>
    <w:p>
      <w:pPr>
        <w:pStyle w:val="11"/>
        <w:autoSpaceDE/>
        <w:autoSpaceDN/>
        <w:adjustRightInd w:val="0"/>
        <w:snapToGrid w:val="0"/>
        <w:spacing w:line="360" w:lineRule="auto"/>
        <w:ind w:firstLine="480" w:firstLineChars="20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2023年，成都市城区环境空气质量90天优，195天良，60天轻度污染，19天中度污染、1天重度污染，达标天数比例78.1%。主要污染物二氧化硫（SO</w:t>
      </w:r>
      <w:r>
        <w:rPr>
          <w:rFonts w:hint="eastAsia"/>
          <w:color w:val="000000" w:themeColor="text1"/>
          <w:szCs w:val="24"/>
          <w:vertAlign w:val="subscript"/>
          <w14:textFill>
            <w14:solidFill>
              <w14:schemeClr w14:val="tx1"/>
            </w14:solidFill>
          </w14:textFill>
        </w:rPr>
        <w:t>2</w:t>
      </w:r>
      <w:r>
        <w:rPr>
          <w:rFonts w:hint="eastAsia"/>
          <w:color w:val="000000" w:themeColor="text1"/>
          <w:szCs w:val="24"/>
          <w14:textFill>
            <w14:solidFill>
              <w14:schemeClr w14:val="tx1"/>
            </w14:solidFill>
          </w14:textFill>
        </w:rPr>
        <w:t>）、二氧化氮（NO</w:t>
      </w:r>
      <w:r>
        <w:rPr>
          <w:rFonts w:hint="eastAsia"/>
          <w:color w:val="000000" w:themeColor="text1"/>
          <w:szCs w:val="24"/>
          <w:vertAlign w:val="subscript"/>
          <w14:textFill>
            <w14:solidFill>
              <w14:schemeClr w14:val="tx1"/>
            </w14:solidFill>
          </w14:textFill>
        </w:rPr>
        <w:t>2</w:t>
      </w:r>
      <w:r>
        <w:rPr>
          <w:rFonts w:hint="eastAsia"/>
          <w:color w:val="000000" w:themeColor="text1"/>
          <w:szCs w:val="24"/>
          <w14:textFill>
            <w14:solidFill>
              <w14:schemeClr w14:val="tx1"/>
            </w14:solidFill>
          </w14:textFill>
        </w:rPr>
        <w:t>）、可吸入颗粒物（PM</w:t>
      </w:r>
      <w:r>
        <w:rPr>
          <w:rFonts w:hint="eastAsia"/>
          <w:color w:val="000000" w:themeColor="text1"/>
          <w:szCs w:val="24"/>
          <w:vertAlign w:val="subscript"/>
          <w14:textFill>
            <w14:solidFill>
              <w14:schemeClr w14:val="tx1"/>
            </w14:solidFill>
          </w14:textFill>
        </w:rPr>
        <w:t>10</w:t>
      </w:r>
      <w:r>
        <w:rPr>
          <w:rFonts w:hint="eastAsia"/>
          <w:color w:val="000000" w:themeColor="text1"/>
          <w:szCs w:val="24"/>
          <w14:textFill>
            <w14:solidFill>
              <w14:schemeClr w14:val="tx1"/>
            </w14:solidFill>
          </w14:textFill>
        </w:rPr>
        <w:t>）、细颗粒物（PM</w:t>
      </w:r>
      <w:r>
        <w:rPr>
          <w:rFonts w:hint="eastAsia"/>
          <w:color w:val="000000" w:themeColor="text1"/>
          <w:szCs w:val="24"/>
          <w:vertAlign w:val="subscript"/>
          <w14:textFill>
            <w14:solidFill>
              <w14:schemeClr w14:val="tx1"/>
            </w14:solidFill>
          </w14:textFill>
        </w:rPr>
        <w:t>2.5</w:t>
      </w:r>
      <w:r>
        <w:rPr>
          <w:rFonts w:hint="eastAsia"/>
          <w:color w:val="000000" w:themeColor="text1"/>
          <w:szCs w:val="24"/>
          <w14:textFill>
            <w14:solidFill>
              <w14:schemeClr w14:val="tx1"/>
            </w14:solidFill>
          </w14:textFill>
        </w:rPr>
        <w:t>）浓度分别为3微克/立方米、28微克/立方米、60微克/立方米、39微克/立方米；一氧化碳（CO）日均值第95百分位数为1.0毫克/立方米，臭氧（O</w:t>
      </w:r>
      <w:r>
        <w:rPr>
          <w:rFonts w:hint="eastAsia"/>
          <w:color w:val="000000" w:themeColor="text1"/>
          <w:szCs w:val="24"/>
          <w:vertAlign w:val="subscript"/>
          <w14:textFill>
            <w14:solidFill>
              <w14:schemeClr w14:val="tx1"/>
            </w14:solidFill>
          </w14:textFill>
        </w:rPr>
        <w:t>3</w:t>
      </w:r>
      <w:r>
        <w:rPr>
          <w:rFonts w:hint="eastAsia"/>
          <w:color w:val="000000" w:themeColor="text1"/>
          <w:szCs w:val="24"/>
          <w14:textFill>
            <w14:solidFill>
              <w14:schemeClr w14:val="tx1"/>
            </w14:solidFill>
          </w14:textFill>
        </w:rPr>
        <w:t>）日最大8小时平均浓度值第90百分位数为168微克/立方米。</w:t>
      </w:r>
    </w:p>
    <w:p>
      <w:pPr>
        <w:autoSpaceDE/>
        <w:autoSpaceDN/>
        <w:adjustRightInd w:val="0"/>
        <w:snapToGrid w:val="0"/>
        <w:ind w:firstLine="480" w:firstLineChars="200"/>
        <w:jc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表3.2-1成都市环境空气质量现状评价表</w:t>
      </w:r>
    </w:p>
    <w:tbl>
      <w:tblPr>
        <w:tblStyle w:val="38"/>
        <w:tblW w:w="473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12"/>
        <w:gridCol w:w="1363"/>
        <w:gridCol w:w="1172"/>
        <w:gridCol w:w="1140"/>
        <w:gridCol w:w="1140"/>
        <w:gridCol w:w="1140"/>
        <w:gridCol w:w="11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10" w:hRule="atLeast"/>
          <w:jc w:val="center"/>
        </w:trPr>
        <w:tc>
          <w:tcPr>
            <w:tcW w:w="513" w:type="pct"/>
            <w:vAlign w:val="center"/>
          </w:tcPr>
          <w:p>
            <w:pPr>
              <w:keepNext w:val="0"/>
              <w:keepLines w:val="0"/>
              <w:suppressLineNumbers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污染物</w:t>
            </w:r>
          </w:p>
        </w:tc>
        <w:tc>
          <w:tcPr>
            <w:tcW w:w="861" w:type="pct"/>
            <w:vAlign w:val="center"/>
          </w:tcPr>
          <w:p>
            <w:pPr>
              <w:keepNext w:val="0"/>
              <w:keepLines w:val="0"/>
              <w:suppressLineNumbers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年平价指标</w:t>
            </w:r>
          </w:p>
        </w:tc>
        <w:tc>
          <w:tcPr>
            <w:tcW w:w="740" w:type="pct"/>
            <w:vAlign w:val="center"/>
          </w:tcPr>
          <w:p>
            <w:pPr>
              <w:keepNext w:val="0"/>
              <w:keepLines w:val="0"/>
              <w:suppressLineNumbers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现状浓度（μg/m</w:t>
            </w:r>
            <w:r>
              <w:rPr>
                <w:rFonts w:hint="default"/>
                <w:b/>
                <w:color w:val="000000" w:themeColor="text1"/>
                <w:vertAlign w:val="superscript"/>
                <w14:textFill>
                  <w14:solidFill>
                    <w14:schemeClr w14:val="tx1"/>
                  </w14:solidFill>
                </w14:textFill>
              </w:rPr>
              <w:t>3</w:t>
            </w:r>
            <w:r>
              <w:rPr>
                <w:rFonts w:hint="default"/>
                <w:b/>
                <w:color w:val="000000" w:themeColor="text1"/>
                <w14:textFill>
                  <w14:solidFill>
                    <w14:schemeClr w14:val="tx1"/>
                  </w14:solidFill>
                </w14:textFill>
              </w:rPr>
              <w:t>）</w:t>
            </w:r>
          </w:p>
        </w:tc>
        <w:tc>
          <w:tcPr>
            <w:tcW w:w="720" w:type="pct"/>
            <w:vAlign w:val="center"/>
          </w:tcPr>
          <w:p>
            <w:pPr>
              <w:keepNext w:val="0"/>
              <w:keepLines w:val="0"/>
              <w:suppressLineNumbers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lang w:val="en-US" w:eastAsia="zh-CN"/>
                <w14:textFill>
                  <w14:solidFill>
                    <w14:schemeClr w14:val="tx1"/>
                  </w14:solidFill>
                </w14:textFill>
              </w:rPr>
              <w:t>一级</w:t>
            </w:r>
            <w:r>
              <w:rPr>
                <w:rFonts w:hint="default"/>
                <w:b/>
                <w:color w:val="000000" w:themeColor="text1"/>
                <w14:textFill>
                  <w14:solidFill>
                    <w14:schemeClr w14:val="tx1"/>
                  </w14:solidFill>
                </w14:textFill>
              </w:rPr>
              <w:t>标准值（μg/m</w:t>
            </w:r>
            <w:r>
              <w:rPr>
                <w:rFonts w:hint="default"/>
                <w:b/>
                <w:color w:val="000000" w:themeColor="text1"/>
                <w:vertAlign w:val="superscript"/>
                <w14:textFill>
                  <w14:solidFill>
                    <w14:schemeClr w14:val="tx1"/>
                  </w14:solidFill>
                </w14:textFill>
              </w:rPr>
              <w:t>3</w:t>
            </w:r>
            <w:r>
              <w:rPr>
                <w:rFonts w:hint="default"/>
                <w:b/>
                <w:color w:val="000000" w:themeColor="text1"/>
                <w14:textFill>
                  <w14:solidFill>
                    <w14:schemeClr w14:val="tx1"/>
                  </w14:solidFill>
                </w14:textFill>
              </w:rPr>
              <w:t>）</w:t>
            </w:r>
          </w:p>
        </w:tc>
        <w:tc>
          <w:tcPr>
            <w:tcW w:w="720" w:type="pct"/>
            <w:vAlign w:val="center"/>
          </w:tcPr>
          <w:p>
            <w:pPr>
              <w:keepNext w:val="0"/>
              <w:keepLines w:val="0"/>
              <w:suppressLineNumbers w:val="0"/>
              <w:snapToGrid w:val="0"/>
              <w:spacing w:before="0" w:beforeAutospacing="0" w:after="0" w:afterAutospacing="0"/>
              <w:ind w:left="0" w:right="0"/>
              <w:jc w:val="center"/>
              <w:rPr>
                <w:rFonts w:hint="eastAsia"/>
                <w:b/>
                <w:color w:val="000000" w:themeColor="text1"/>
                <w14:textFill>
                  <w14:solidFill>
                    <w14:schemeClr w14:val="tx1"/>
                  </w14:solidFill>
                </w14:textFill>
              </w:rPr>
            </w:pPr>
            <w:r>
              <w:rPr>
                <w:rFonts w:hint="eastAsia"/>
                <w:b/>
                <w:color w:val="000000" w:themeColor="text1"/>
                <w:lang w:val="en-US" w:eastAsia="zh-CN"/>
                <w14:textFill>
                  <w14:solidFill>
                    <w14:schemeClr w14:val="tx1"/>
                  </w14:solidFill>
                </w14:textFill>
              </w:rPr>
              <w:t>二级</w:t>
            </w:r>
            <w:r>
              <w:rPr>
                <w:rFonts w:hint="default"/>
                <w:b/>
                <w:color w:val="000000" w:themeColor="text1"/>
                <w14:textFill>
                  <w14:solidFill>
                    <w14:schemeClr w14:val="tx1"/>
                  </w14:solidFill>
                </w14:textFill>
              </w:rPr>
              <w:t>标准值（μg/m</w:t>
            </w:r>
            <w:r>
              <w:rPr>
                <w:rFonts w:hint="default"/>
                <w:b/>
                <w:color w:val="000000" w:themeColor="text1"/>
                <w:vertAlign w:val="superscript"/>
                <w14:textFill>
                  <w14:solidFill>
                    <w14:schemeClr w14:val="tx1"/>
                  </w14:solidFill>
                </w14:textFill>
              </w:rPr>
              <w:t>3</w:t>
            </w:r>
            <w:r>
              <w:rPr>
                <w:rFonts w:hint="default"/>
                <w:b/>
                <w:color w:val="000000" w:themeColor="text1"/>
                <w14:textFill>
                  <w14:solidFill>
                    <w14:schemeClr w14:val="tx1"/>
                  </w14:solidFill>
                </w14:textFill>
              </w:rPr>
              <w:t>）</w:t>
            </w:r>
          </w:p>
        </w:tc>
        <w:tc>
          <w:tcPr>
            <w:tcW w:w="720" w:type="pct"/>
            <w:vAlign w:val="center"/>
          </w:tcPr>
          <w:p>
            <w:pPr>
              <w:keepNext w:val="0"/>
              <w:keepLines w:val="0"/>
              <w:suppressLineNumbers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占标率（%）</w:t>
            </w:r>
          </w:p>
        </w:tc>
        <w:tc>
          <w:tcPr>
            <w:tcW w:w="724" w:type="pct"/>
            <w:vAlign w:val="center"/>
          </w:tcPr>
          <w:p>
            <w:pPr>
              <w:keepNext w:val="0"/>
              <w:keepLines w:val="0"/>
              <w:suppressLineNumbers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4" w:hRule="atLeast"/>
          <w:jc w:val="center"/>
        </w:trPr>
        <w:tc>
          <w:tcPr>
            <w:tcW w:w="513"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SO</w:t>
            </w:r>
            <w:r>
              <w:rPr>
                <w:rFonts w:hint="default"/>
                <w:color w:val="000000" w:themeColor="text1"/>
                <w:kern w:val="0"/>
                <w:vertAlign w:val="subscript"/>
                <w14:textFill>
                  <w14:solidFill>
                    <w14:schemeClr w14:val="tx1"/>
                  </w14:solidFill>
                </w14:textFill>
              </w:rPr>
              <w:t>2</w:t>
            </w:r>
          </w:p>
        </w:tc>
        <w:tc>
          <w:tcPr>
            <w:tcW w:w="861" w:type="pct"/>
            <w:vMerge w:val="restar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kern w:val="28"/>
                <w14:textFill>
                  <w14:solidFill>
                    <w14:schemeClr w14:val="tx1"/>
                  </w14:solidFill>
                </w14:textFill>
              </w:rPr>
              <w:t>年平均浓度</w:t>
            </w:r>
          </w:p>
        </w:tc>
        <w:tc>
          <w:tcPr>
            <w:tcW w:w="74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3</w:t>
            </w:r>
          </w:p>
        </w:tc>
        <w:tc>
          <w:tcPr>
            <w:tcW w:w="720" w:type="pct"/>
            <w:vAlign w:val="center"/>
          </w:tcPr>
          <w:p>
            <w:pPr>
              <w:keepNext w:val="0"/>
              <w:keepLines w:val="0"/>
              <w:suppressLineNumbers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20</w:t>
            </w:r>
          </w:p>
        </w:tc>
        <w:tc>
          <w:tcPr>
            <w:tcW w:w="720"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14:textFill>
                  <w14:solidFill>
                    <w14:schemeClr w14:val="tx1"/>
                  </w14:solidFill>
                </w14:textFill>
              </w:rPr>
              <w:t>60</w:t>
            </w:r>
          </w:p>
        </w:tc>
        <w:tc>
          <w:tcPr>
            <w:tcW w:w="72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5</w:t>
            </w:r>
          </w:p>
        </w:tc>
        <w:tc>
          <w:tcPr>
            <w:tcW w:w="724"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4" w:hRule="atLeast"/>
          <w:jc w:val="center"/>
        </w:trPr>
        <w:tc>
          <w:tcPr>
            <w:tcW w:w="513"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NO</w:t>
            </w:r>
            <w:r>
              <w:rPr>
                <w:rFonts w:hint="default"/>
                <w:color w:val="000000" w:themeColor="text1"/>
                <w:kern w:val="0"/>
                <w:vertAlign w:val="subscript"/>
                <w14:textFill>
                  <w14:solidFill>
                    <w14:schemeClr w14:val="tx1"/>
                  </w14:solidFill>
                </w14:textFill>
              </w:rPr>
              <w:t>2</w:t>
            </w:r>
          </w:p>
        </w:tc>
        <w:tc>
          <w:tcPr>
            <w:tcW w:w="861" w:type="pct"/>
            <w:vMerge w:val="continue"/>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4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28</w:t>
            </w:r>
          </w:p>
        </w:tc>
        <w:tc>
          <w:tcPr>
            <w:tcW w:w="720" w:type="pct"/>
            <w:vAlign w:val="center"/>
          </w:tcPr>
          <w:p>
            <w:pPr>
              <w:keepNext w:val="0"/>
              <w:keepLines w:val="0"/>
              <w:suppressLineNumbers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40</w:t>
            </w:r>
          </w:p>
        </w:tc>
        <w:tc>
          <w:tcPr>
            <w:tcW w:w="720"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14:textFill>
                  <w14:solidFill>
                    <w14:schemeClr w14:val="tx1"/>
                  </w14:solidFill>
                </w14:textFill>
              </w:rPr>
              <w:t>40</w:t>
            </w:r>
          </w:p>
        </w:tc>
        <w:tc>
          <w:tcPr>
            <w:tcW w:w="72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70</w:t>
            </w:r>
          </w:p>
        </w:tc>
        <w:tc>
          <w:tcPr>
            <w:tcW w:w="724"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4" w:hRule="atLeast"/>
          <w:jc w:val="center"/>
        </w:trPr>
        <w:tc>
          <w:tcPr>
            <w:tcW w:w="513"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PM</w:t>
            </w:r>
            <w:r>
              <w:rPr>
                <w:rFonts w:hint="default"/>
                <w:color w:val="000000" w:themeColor="text1"/>
                <w:kern w:val="0"/>
                <w:vertAlign w:val="subscript"/>
                <w14:textFill>
                  <w14:solidFill>
                    <w14:schemeClr w14:val="tx1"/>
                  </w14:solidFill>
                </w14:textFill>
              </w:rPr>
              <w:t>10</w:t>
            </w:r>
          </w:p>
        </w:tc>
        <w:tc>
          <w:tcPr>
            <w:tcW w:w="861" w:type="pct"/>
            <w:vMerge w:val="continue"/>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4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60</w:t>
            </w:r>
          </w:p>
        </w:tc>
        <w:tc>
          <w:tcPr>
            <w:tcW w:w="720" w:type="pct"/>
            <w:vAlign w:val="center"/>
          </w:tcPr>
          <w:p>
            <w:pPr>
              <w:keepNext w:val="0"/>
              <w:keepLines w:val="0"/>
              <w:suppressLineNumbers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40</w:t>
            </w:r>
          </w:p>
        </w:tc>
        <w:tc>
          <w:tcPr>
            <w:tcW w:w="720"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14:textFill>
                  <w14:solidFill>
                    <w14:schemeClr w14:val="tx1"/>
                  </w14:solidFill>
                </w14:textFill>
              </w:rPr>
              <w:t>70</w:t>
            </w:r>
          </w:p>
        </w:tc>
        <w:tc>
          <w:tcPr>
            <w:tcW w:w="72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85.7</w:t>
            </w:r>
          </w:p>
        </w:tc>
        <w:tc>
          <w:tcPr>
            <w:tcW w:w="724"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4" w:hRule="atLeast"/>
          <w:jc w:val="center"/>
        </w:trPr>
        <w:tc>
          <w:tcPr>
            <w:tcW w:w="513"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PM</w:t>
            </w:r>
            <w:r>
              <w:rPr>
                <w:rFonts w:hint="default"/>
                <w:b/>
                <w:bCs/>
                <w:color w:val="000000" w:themeColor="text1"/>
                <w:kern w:val="0"/>
                <w:vertAlign w:val="subscript"/>
                <w14:textFill>
                  <w14:solidFill>
                    <w14:schemeClr w14:val="tx1"/>
                  </w14:solidFill>
                </w14:textFill>
              </w:rPr>
              <w:t>2.5</w:t>
            </w:r>
          </w:p>
        </w:tc>
        <w:tc>
          <w:tcPr>
            <w:tcW w:w="861" w:type="pct"/>
            <w:vMerge w:val="continue"/>
            <w:vAlign w:val="center"/>
          </w:tcPr>
          <w:p>
            <w:pPr>
              <w:keepNext w:val="0"/>
              <w:keepLines w:val="0"/>
              <w:suppressLineNumbers w:val="0"/>
              <w:snapToGrid w:val="0"/>
              <w:spacing w:before="0" w:beforeAutospacing="0" w:after="0" w:afterAutospacing="0"/>
              <w:ind w:left="0" w:right="0" w:firstLine="480"/>
              <w:jc w:val="center"/>
              <w:rPr>
                <w:rFonts w:hint="default"/>
                <w:b/>
                <w:bCs/>
                <w:color w:val="000000" w:themeColor="text1"/>
                <w14:textFill>
                  <w14:solidFill>
                    <w14:schemeClr w14:val="tx1"/>
                  </w14:solidFill>
                </w14:textFill>
              </w:rPr>
            </w:pPr>
          </w:p>
        </w:tc>
        <w:tc>
          <w:tcPr>
            <w:tcW w:w="740"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39</w:t>
            </w:r>
          </w:p>
        </w:tc>
        <w:tc>
          <w:tcPr>
            <w:tcW w:w="720" w:type="pct"/>
            <w:vAlign w:val="center"/>
          </w:tcPr>
          <w:p>
            <w:pPr>
              <w:keepNext w:val="0"/>
              <w:keepLines w:val="0"/>
              <w:suppressLineNumbers w:val="0"/>
              <w:spacing w:before="0" w:beforeAutospacing="0" w:after="0" w:afterAutospacing="0"/>
              <w:ind w:left="0" w:right="0"/>
              <w:jc w:val="center"/>
              <w:rPr>
                <w:rFonts w:hint="default" w:eastAsia="宋体"/>
                <w:b/>
                <w:bCs/>
                <w:color w:val="000000" w:themeColor="text1"/>
                <w:kern w:val="0"/>
                <w:lang w:val="en-US" w:eastAsia="zh-CN"/>
                <w14:textFill>
                  <w14:solidFill>
                    <w14:schemeClr w14:val="tx1"/>
                  </w14:solidFill>
                </w14:textFill>
              </w:rPr>
            </w:pPr>
            <w:r>
              <w:rPr>
                <w:rFonts w:hint="eastAsia"/>
                <w:b/>
                <w:bCs/>
                <w:color w:val="000000" w:themeColor="text1"/>
                <w:kern w:val="0"/>
                <w:lang w:val="en-US" w:eastAsia="zh-CN"/>
                <w14:textFill>
                  <w14:solidFill>
                    <w14:schemeClr w14:val="tx1"/>
                  </w14:solidFill>
                </w14:textFill>
              </w:rPr>
              <w:t>15</w:t>
            </w:r>
          </w:p>
        </w:tc>
        <w:tc>
          <w:tcPr>
            <w:tcW w:w="720"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b/>
                <w:bCs/>
                <w:color w:val="000000" w:themeColor="text1"/>
                <w:kern w:val="0"/>
                <w14:textFill>
                  <w14:solidFill>
                    <w14:schemeClr w14:val="tx1"/>
                  </w14:solidFill>
                </w14:textFill>
              </w:rPr>
              <w:t>35</w:t>
            </w:r>
          </w:p>
        </w:tc>
        <w:tc>
          <w:tcPr>
            <w:tcW w:w="720"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111.4</w:t>
            </w:r>
          </w:p>
        </w:tc>
        <w:tc>
          <w:tcPr>
            <w:tcW w:w="724"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8" w:hRule="atLeast"/>
          <w:jc w:val="center"/>
        </w:trPr>
        <w:tc>
          <w:tcPr>
            <w:tcW w:w="513"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CO</w:t>
            </w:r>
          </w:p>
        </w:tc>
        <w:tc>
          <w:tcPr>
            <w:tcW w:w="861" w:type="pct"/>
            <w:vAlign w:val="center"/>
          </w:tcPr>
          <w:p>
            <w:pPr>
              <w:keepNext w:val="0"/>
              <w:keepLines w:val="0"/>
              <w:suppressLineNumbers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kern w:val="28"/>
                <w14:textFill>
                  <w14:solidFill>
                    <w14:schemeClr w14:val="tx1"/>
                  </w14:solidFill>
                </w14:textFill>
              </w:rPr>
              <w:t>日均浓度的第95百分位数</w:t>
            </w:r>
          </w:p>
        </w:tc>
        <w:tc>
          <w:tcPr>
            <w:tcW w:w="74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1000</w:t>
            </w:r>
          </w:p>
        </w:tc>
        <w:tc>
          <w:tcPr>
            <w:tcW w:w="720" w:type="pct"/>
            <w:vAlign w:val="center"/>
          </w:tcPr>
          <w:p>
            <w:pPr>
              <w:keepNext w:val="0"/>
              <w:keepLines w:val="0"/>
              <w:suppressLineNumbers w:val="0"/>
              <w:spacing w:before="0" w:beforeAutospacing="0" w:after="0" w:afterAutospacing="0"/>
              <w:ind w:left="0" w:right="0"/>
              <w:jc w:val="center"/>
              <w:rPr>
                <w:rFonts w:hint="default" w:eastAsia="宋体"/>
                <w:color w:val="000000" w:themeColor="text1"/>
                <w:kern w:val="0"/>
                <w:lang w:val="en-US"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4000</w:t>
            </w:r>
          </w:p>
        </w:tc>
        <w:tc>
          <w:tcPr>
            <w:tcW w:w="720"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color w:val="000000" w:themeColor="text1"/>
                <w:kern w:val="0"/>
                <w14:textFill>
                  <w14:solidFill>
                    <w14:schemeClr w14:val="tx1"/>
                  </w14:solidFill>
                </w14:textFill>
              </w:rPr>
              <w:t>4000</w:t>
            </w:r>
          </w:p>
        </w:tc>
        <w:tc>
          <w:tcPr>
            <w:tcW w:w="720"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25</w:t>
            </w:r>
          </w:p>
        </w:tc>
        <w:tc>
          <w:tcPr>
            <w:tcW w:w="724" w:type="pct"/>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63" w:hRule="atLeast"/>
          <w:jc w:val="center"/>
        </w:trPr>
        <w:tc>
          <w:tcPr>
            <w:tcW w:w="513"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O</w:t>
            </w:r>
            <w:r>
              <w:rPr>
                <w:rFonts w:hint="default"/>
                <w:b/>
                <w:bCs/>
                <w:color w:val="000000" w:themeColor="text1"/>
                <w:kern w:val="0"/>
                <w:vertAlign w:val="subscript"/>
                <w14:textFill>
                  <w14:solidFill>
                    <w14:schemeClr w14:val="tx1"/>
                  </w14:solidFill>
                </w14:textFill>
              </w:rPr>
              <w:t>3</w:t>
            </w:r>
          </w:p>
        </w:tc>
        <w:tc>
          <w:tcPr>
            <w:tcW w:w="861" w:type="pct"/>
            <w:vAlign w:val="center"/>
          </w:tcPr>
          <w:p>
            <w:pPr>
              <w:keepNext w:val="0"/>
              <w:keepLines w:val="0"/>
              <w:suppressLineNumbers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kern w:val="28"/>
                <w14:textFill>
                  <w14:solidFill>
                    <w14:schemeClr w14:val="tx1"/>
                  </w14:solidFill>
                </w14:textFill>
              </w:rPr>
              <w:t>日最大8h平均浓度的第90百分位数</w:t>
            </w:r>
          </w:p>
        </w:tc>
        <w:tc>
          <w:tcPr>
            <w:tcW w:w="740"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168</w:t>
            </w:r>
          </w:p>
        </w:tc>
        <w:tc>
          <w:tcPr>
            <w:tcW w:w="720" w:type="pct"/>
            <w:vAlign w:val="center"/>
          </w:tcPr>
          <w:p>
            <w:pPr>
              <w:keepNext w:val="0"/>
              <w:keepLines w:val="0"/>
              <w:suppressLineNumbers w:val="0"/>
              <w:spacing w:before="0" w:beforeAutospacing="0" w:after="0" w:afterAutospacing="0"/>
              <w:ind w:left="0" w:right="0"/>
              <w:jc w:val="center"/>
              <w:rPr>
                <w:rFonts w:hint="default" w:eastAsia="宋体"/>
                <w:b/>
                <w:bCs/>
                <w:color w:val="000000" w:themeColor="text1"/>
                <w:kern w:val="0"/>
                <w:lang w:val="en-US" w:eastAsia="zh-CN"/>
                <w14:textFill>
                  <w14:solidFill>
                    <w14:schemeClr w14:val="tx1"/>
                  </w14:solidFill>
                </w14:textFill>
              </w:rPr>
            </w:pPr>
            <w:r>
              <w:rPr>
                <w:rFonts w:hint="eastAsia"/>
                <w:b/>
                <w:bCs/>
                <w:color w:val="000000" w:themeColor="text1"/>
                <w:kern w:val="0"/>
                <w:lang w:val="en-US" w:eastAsia="zh-CN"/>
                <w14:textFill>
                  <w14:solidFill>
                    <w14:schemeClr w14:val="tx1"/>
                  </w14:solidFill>
                </w14:textFill>
              </w:rPr>
              <w:t>100</w:t>
            </w:r>
          </w:p>
        </w:tc>
        <w:tc>
          <w:tcPr>
            <w:tcW w:w="720"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b/>
                <w:bCs/>
                <w:color w:val="000000" w:themeColor="text1"/>
                <w:kern w:val="0"/>
                <w14:textFill>
                  <w14:solidFill>
                    <w14:schemeClr w14:val="tx1"/>
                  </w14:solidFill>
                </w14:textFill>
              </w:rPr>
              <w:t>160</w:t>
            </w:r>
          </w:p>
        </w:tc>
        <w:tc>
          <w:tcPr>
            <w:tcW w:w="720"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105</w:t>
            </w:r>
          </w:p>
        </w:tc>
        <w:tc>
          <w:tcPr>
            <w:tcW w:w="724" w:type="pct"/>
            <w:vAlign w:val="center"/>
          </w:tcPr>
          <w:p>
            <w:pPr>
              <w:keepNext w:val="0"/>
              <w:keepLines w:val="0"/>
              <w:suppressLineNumbers w:val="0"/>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不达标</w:t>
            </w:r>
          </w:p>
        </w:tc>
      </w:tr>
    </w:tbl>
    <w:p>
      <w:pPr>
        <w:overflowPunct w:val="0"/>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位于花果山风景名胜区内部分为环境空气质量一类区，其余为环境空气质量二类区。</w:t>
      </w:r>
      <w:r>
        <w:rPr>
          <w:rFonts w:hint="eastAsia"/>
          <w:color w:val="000000" w:themeColor="text1"/>
          <w:sz w:val="24"/>
          <w14:textFill>
            <w14:solidFill>
              <w14:schemeClr w14:val="tx1"/>
            </w14:solidFill>
          </w14:textFill>
        </w:rPr>
        <w:t>依据《环境影响评价技术导则-大气环境》（HJ2.2-2018）相关规定判定，</w:t>
      </w:r>
      <w:r>
        <w:rPr>
          <w:rFonts w:hint="eastAsia"/>
          <w:color w:val="000000" w:themeColor="text1"/>
          <w:sz w:val="24"/>
          <w:lang w:val="en-US" w:eastAsia="zh-CN"/>
          <w14:textFill>
            <w14:solidFill>
              <w14:schemeClr w14:val="tx1"/>
            </w14:solidFill>
          </w14:textFill>
        </w:rPr>
        <w:t>项目所在地</w:t>
      </w:r>
      <w:r>
        <w:rPr>
          <w:rFonts w:hint="eastAsia"/>
          <w:color w:val="000000" w:themeColor="text1"/>
          <w:sz w:val="24"/>
          <w14:textFill>
            <w14:solidFill>
              <w14:schemeClr w14:val="tx1"/>
            </w14:solidFill>
          </w14:textFill>
        </w:rPr>
        <w:t>新都区、龙泉驿区，均属于成都市范围内，所在区域环境空气质量</w:t>
      </w:r>
      <w:r>
        <w:rPr>
          <w:rFonts w:hint="eastAsia"/>
          <w:color w:val="000000" w:themeColor="text1"/>
          <w:sz w:val="24"/>
          <w:lang w:val="en-US" w:eastAsia="zh-CN"/>
          <w14:textFill>
            <w14:solidFill>
              <w14:schemeClr w14:val="tx1"/>
            </w14:solidFill>
          </w14:textFill>
        </w:rPr>
        <w:t>均</w:t>
      </w:r>
      <w:r>
        <w:rPr>
          <w:rFonts w:hint="eastAsia"/>
          <w:color w:val="000000" w:themeColor="text1"/>
          <w:sz w:val="24"/>
          <w14:textFill>
            <w14:solidFill>
              <w14:schemeClr w14:val="tx1"/>
            </w14:solidFill>
          </w14:textFill>
        </w:rPr>
        <w:t>为</w:t>
      </w:r>
      <w:r>
        <w:rPr>
          <w:rFonts w:hint="eastAsia"/>
          <w:b/>
          <w:bCs/>
          <w:color w:val="000000" w:themeColor="text1"/>
          <w:sz w:val="24"/>
          <w14:textFill>
            <w14:solidFill>
              <w14:schemeClr w14:val="tx1"/>
            </w14:solidFill>
          </w14:textFill>
        </w:rPr>
        <w:t>不达标区</w:t>
      </w:r>
      <w:r>
        <w:rPr>
          <w:rFonts w:hint="eastAsia"/>
          <w:color w:val="000000" w:themeColor="text1"/>
          <w:sz w:val="24"/>
          <w14:textFill>
            <w14:solidFill>
              <w14:schemeClr w14:val="tx1"/>
            </w14:solidFill>
          </w14:textFill>
        </w:rPr>
        <w:t>。</w:t>
      </w:r>
    </w:p>
    <w:p>
      <w:pPr>
        <w:overflowPunct w:val="0"/>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（2）达标规划</w:t>
      </w:r>
    </w:p>
    <w:p>
      <w:pPr>
        <w:overflowPunct w:val="0"/>
        <w:adjustRightInd w:val="0"/>
        <w:snapToGrid w:val="0"/>
        <w:spacing w:line="360" w:lineRule="auto"/>
        <w:ind w:firstLine="480" w:firstLineChars="200"/>
        <w:jc w:val="both"/>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成都市生态环境局组织编制了《成都市空气质量达标规划（2018-2027年）》</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根据《成都市空气质量达标规划（2018-2027年）》可知，成都市将采取：①优化城市空间布局与产业结构、②提高清洁能源利用比重、③深化工业源大气污染防治、④推进重点行业VOCs污染防治、⑤强化移动源污染治理、⑥加强扬尘污染整治、⑦全面推进其他面源污染治理、⑧加强重污染天气应对、⑨强化区域大气污染联防联控机制、⑩加强环保能力建设等措施。在采取上述措施后，成都市到2027年，全市环境空气质量全面改善，主要大气污染物浓度稳定达到国家环境空气质量二级标准，全面消除重污染天气。</w:t>
      </w:r>
    </w:p>
    <w:p>
      <w:pPr>
        <w:adjustRightInd w:val="0"/>
        <w:snapToGrid w:val="0"/>
        <w:ind w:firstLine="482"/>
        <w:jc w:val="center"/>
        <w:rPr>
          <w:rFonts w:eastAsia="黑体"/>
          <w:color w:val="000000" w:themeColor="text1"/>
          <w:sz w:val="24"/>
          <w:szCs w:val="24"/>
          <w14:textFill>
            <w14:solidFill>
              <w14:schemeClr w14:val="tx1"/>
            </w14:solidFill>
          </w14:textFill>
        </w:rPr>
      </w:pPr>
      <w:r>
        <w:rPr>
          <w:rFonts w:eastAsia="黑体"/>
          <w:color w:val="000000" w:themeColor="text1"/>
          <w:sz w:val="24"/>
          <w:szCs w:val="24"/>
          <w14:textFill>
            <w14:solidFill>
              <w14:schemeClr w14:val="tx1"/>
            </w14:solidFill>
          </w14:textFill>
        </w:rPr>
        <w:t>表3</w:t>
      </w:r>
      <w:r>
        <w:rPr>
          <w:rFonts w:hint="eastAsia" w:eastAsia="黑体"/>
          <w:color w:val="000000" w:themeColor="text1"/>
          <w:sz w:val="24"/>
          <w:szCs w:val="24"/>
          <w14:textFill>
            <w14:solidFill>
              <w14:schemeClr w14:val="tx1"/>
            </w14:solidFill>
          </w14:textFill>
        </w:rPr>
        <w:t>.2</w:t>
      </w:r>
      <w:r>
        <w:rPr>
          <w:rFonts w:eastAsia="黑体"/>
          <w:color w:val="000000" w:themeColor="text1"/>
          <w:sz w:val="24"/>
          <w:szCs w:val="24"/>
          <w14:textFill>
            <w14:solidFill>
              <w14:schemeClr w14:val="tx1"/>
            </w14:solidFill>
          </w14:textFill>
        </w:rPr>
        <w:t>-</w:t>
      </w:r>
      <w:r>
        <w:rPr>
          <w:rFonts w:hint="eastAsia" w:eastAsia="黑体"/>
          <w:color w:val="000000" w:themeColor="text1"/>
          <w:sz w:val="24"/>
          <w:szCs w:val="24"/>
          <w14:textFill>
            <w14:solidFill>
              <w14:schemeClr w14:val="tx1"/>
            </w14:solidFill>
          </w14:textFill>
        </w:rPr>
        <w:t>2成都市</w:t>
      </w:r>
      <w:r>
        <w:rPr>
          <w:rFonts w:eastAsia="黑体"/>
          <w:color w:val="000000" w:themeColor="text1"/>
          <w:sz w:val="24"/>
          <w:szCs w:val="24"/>
          <w14:textFill>
            <w14:solidFill>
              <w14:schemeClr w14:val="tx1"/>
            </w14:solidFill>
          </w14:textFill>
        </w:rPr>
        <w:t>环境空气质量</w:t>
      </w:r>
      <w:r>
        <w:rPr>
          <w:rFonts w:hint="eastAsia" w:eastAsia="黑体"/>
          <w:color w:val="000000" w:themeColor="text1"/>
          <w:sz w:val="24"/>
          <w:szCs w:val="24"/>
          <w14:textFill>
            <w14:solidFill>
              <w14:schemeClr w14:val="tx1"/>
            </w14:solidFill>
          </w14:textFill>
        </w:rPr>
        <w:t>改善指标</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2722"/>
        <w:gridCol w:w="2427"/>
        <w:gridCol w:w="24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4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时间段</w:t>
            </w:r>
          </w:p>
        </w:tc>
        <w:tc>
          <w:tcPr>
            <w:tcW w:w="1597"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kern w:val="0"/>
                <w14:textFill>
                  <w14:solidFill>
                    <w14:schemeClr w14:val="tx1"/>
                  </w14:solidFill>
                </w14:textFill>
              </w:rPr>
              <w:t>PM</w:t>
            </w:r>
            <w:r>
              <w:rPr>
                <w:rFonts w:hint="default"/>
                <w:b/>
                <w:bCs/>
                <w:color w:val="000000" w:themeColor="text1"/>
                <w:kern w:val="0"/>
                <w:vertAlign w:val="subscript"/>
                <w14:textFill>
                  <w14:solidFill>
                    <w14:schemeClr w14:val="tx1"/>
                  </w14:solidFill>
                </w14:textFill>
              </w:rPr>
              <w:t>2.5</w:t>
            </w:r>
            <w:r>
              <w:rPr>
                <w:rFonts w:hint="eastAsia"/>
                <w:b/>
                <w:bCs/>
                <w:color w:val="000000" w:themeColor="text1"/>
                <w:kern w:val="0"/>
                <w14:textFill>
                  <w14:solidFill>
                    <w14:schemeClr w14:val="tx1"/>
                  </w14:solidFill>
                </w14:textFill>
              </w:rPr>
              <w:t>年均浓度（</w:t>
            </w:r>
            <w:r>
              <w:rPr>
                <w:rFonts w:hint="default"/>
                <w:b/>
                <w:bCs/>
                <w:color w:val="000000" w:themeColor="text1"/>
                <w14:textFill>
                  <w14:solidFill>
                    <w14:schemeClr w14:val="tx1"/>
                  </w14:solidFill>
                </w14:textFill>
              </w:rPr>
              <w:t>μg/m</w:t>
            </w:r>
            <w:r>
              <w:rPr>
                <w:rFonts w:hint="default"/>
                <w:b/>
                <w:bCs/>
                <w:color w:val="000000" w:themeColor="text1"/>
                <w:vertAlign w:val="superscript"/>
                <w14:textFill>
                  <w14:solidFill>
                    <w14:schemeClr w14:val="tx1"/>
                  </w14:solidFill>
                </w14:textFill>
              </w:rPr>
              <w:t>3</w:t>
            </w:r>
            <w:r>
              <w:rPr>
                <w:rFonts w:hint="eastAsia"/>
                <w:b/>
                <w:bCs/>
                <w:color w:val="000000" w:themeColor="text1"/>
                <w:kern w:val="0"/>
                <w14:textFill>
                  <w14:solidFill>
                    <w14:schemeClr w14:val="tx1"/>
                  </w14:solidFill>
                </w14:textFill>
              </w:rPr>
              <w:t>）</w:t>
            </w:r>
          </w:p>
        </w:tc>
        <w:tc>
          <w:tcPr>
            <w:tcW w:w="142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kern w:val="0"/>
                <w14:textFill>
                  <w14:solidFill>
                    <w14:schemeClr w14:val="tx1"/>
                  </w14:solidFill>
                </w14:textFill>
              </w:rPr>
              <w:t>PM</w:t>
            </w:r>
            <w:r>
              <w:rPr>
                <w:rFonts w:hint="eastAsia"/>
                <w:b/>
                <w:bCs/>
                <w:color w:val="000000" w:themeColor="text1"/>
                <w:kern w:val="0"/>
                <w:vertAlign w:val="subscript"/>
                <w14:textFill>
                  <w14:solidFill>
                    <w14:schemeClr w14:val="tx1"/>
                  </w14:solidFill>
                </w14:textFill>
              </w:rPr>
              <w:t>10</w:t>
            </w:r>
            <w:r>
              <w:rPr>
                <w:rFonts w:hint="eastAsia"/>
                <w:b/>
                <w:bCs/>
                <w:color w:val="000000" w:themeColor="text1"/>
                <w:kern w:val="0"/>
                <w14:textFill>
                  <w14:solidFill>
                    <w14:schemeClr w14:val="tx1"/>
                  </w14:solidFill>
                </w14:textFill>
              </w:rPr>
              <w:t>年均浓度（</w:t>
            </w:r>
            <w:r>
              <w:rPr>
                <w:rFonts w:hint="default"/>
                <w:b/>
                <w:bCs/>
                <w:color w:val="000000" w:themeColor="text1"/>
                <w14:textFill>
                  <w14:solidFill>
                    <w14:schemeClr w14:val="tx1"/>
                  </w14:solidFill>
                </w14:textFill>
              </w:rPr>
              <w:t>μg/m</w:t>
            </w:r>
            <w:r>
              <w:rPr>
                <w:rFonts w:hint="default"/>
                <w:b/>
                <w:bCs/>
                <w:color w:val="000000" w:themeColor="text1"/>
                <w:vertAlign w:val="superscript"/>
                <w14:textFill>
                  <w14:solidFill>
                    <w14:schemeClr w14:val="tx1"/>
                  </w14:solidFill>
                </w14:textFill>
              </w:rPr>
              <w:t>3</w:t>
            </w:r>
            <w:r>
              <w:rPr>
                <w:rFonts w:hint="eastAsia"/>
                <w:b/>
                <w:bCs/>
                <w:color w:val="000000" w:themeColor="text1"/>
                <w:kern w:val="0"/>
                <w14:textFill>
                  <w14:solidFill>
                    <w14:schemeClr w14:val="tx1"/>
                  </w14:solidFill>
                </w14:textFill>
              </w:rPr>
              <w:t>）</w:t>
            </w:r>
          </w:p>
        </w:tc>
        <w:tc>
          <w:tcPr>
            <w:tcW w:w="1428"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kern w:val="0"/>
                <w14:textFill>
                  <w14:solidFill>
                    <w14:schemeClr w14:val="tx1"/>
                  </w14:solidFill>
                </w14:textFill>
              </w:rPr>
              <w:t>NO</w:t>
            </w:r>
            <w:r>
              <w:rPr>
                <w:rFonts w:hint="default"/>
                <w:b/>
                <w:bCs/>
                <w:color w:val="000000" w:themeColor="text1"/>
                <w:kern w:val="0"/>
                <w:vertAlign w:val="subscript"/>
                <w14:textFill>
                  <w14:solidFill>
                    <w14:schemeClr w14:val="tx1"/>
                  </w14:solidFill>
                </w14:textFill>
              </w:rPr>
              <w:t>2</w:t>
            </w:r>
            <w:r>
              <w:rPr>
                <w:rFonts w:hint="eastAsia"/>
                <w:b/>
                <w:bCs/>
                <w:color w:val="000000" w:themeColor="text1"/>
                <w:kern w:val="0"/>
                <w14:textFill>
                  <w14:solidFill>
                    <w14:schemeClr w14:val="tx1"/>
                  </w14:solidFill>
                </w14:textFill>
              </w:rPr>
              <w:t>年均浓度（</w:t>
            </w:r>
            <w:r>
              <w:rPr>
                <w:rFonts w:hint="default"/>
                <w:b/>
                <w:bCs/>
                <w:color w:val="000000" w:themeColor="text1"/>
                <w14:textFill>
                  <w14:solidFill>
                    <w14:schemeClr w14:val="tx1"/>
                  </w14:solidFill>
                </w14:textFill>
              </w:rPr>
              <w:t>μg/m</w:t>
            </w:r>
            <w:r>
              <w:rPr>
                <w:rFonts w:hint="default"/>
                <w:b/>
                <w:bCs/>
                <w:color w:val="000000" w:themeColor="text1"/>
                <w:vertAlign w:val="superscript"/>
                <w14:textFill>
                  <w14:solidFill>
                    <w14:schemeClr w14:val="tx1"/>
                  </w14:solidFill>
                </w14:textFill>
              </w:rPr>
              <w:t>3</w:t>
            </w:r>
            <w:r>
              <w:rPr>
                <w:rFonts w:hint="eastAsia"/>
                <w:b/>
                <w:bCs/>
                <w:color w:val="000000" w:themeColor="text1"/>
                <w:kern w:val="0"/>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4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2027年</w:t>
            </w:r>
          </w:p>
        </w:tc>
        <w:tc>
          <w:tcPr>
            <w:tcW w:w="1597"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42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67</w:t>
            </w:r>
          </w:p>
        </w:tc>
        <w:tc>
          <w:tcPr>
            <w:tcW w:w="1428"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r>
    </w:tbl>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427" w:name="_Toc22266"/>
      <w:bookmarkStart w:id="428" w:name="_Toc18942"/>
      <w:bookmarkStart w:id="429" w:name="_Toc25212"/>
      <w:bookmarkStart w:id="430" w:name="_Toc10928"/>
      <w:bookmarkStart w:id="431" w:name="_Toc23326"/>
      <w:bookmarkStart w:id="432" w:name="_Toc70496294"/>
      <w:r>
        <w:rPr>
          <w:rFonts w:ascii="Times New Roman" w:hAnsi="Times New Roman" w:cs="Times New Roman"/>
          <w:color w:val="000000" w:themeColor="text1"/>
          <w14:textFill>
            <w14:solidFill>
              <w14:schemeClr w14:val="tx1"/>
            </w14:solidFill>
          </w14:textFill>
        </w:rPr>
        <w:t>3.2.2地表水环境质量现状与评价</w:t>
      </w:r>
      <w:bookmarkEnd w:id="427"/>
      <w:bookmarkEnd w:id="428"/>
      <w:bookmarkEnd w:id="429"/>
      <w:bookmarkEnd w:id="430"/>
      <w:bookmarkEnd w:id="431"/>
      <w:bookmarkEnd w:id="432"/>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根据《环境影响评价技术导则地表水环境》（HJ2.3-2018）中6环境现状调查与评价6.6.3.2水环境质量调查应优先采用国务院生态环境保护主管部门统一发布的水环境状况信息。</w:t>
      </w:r>
    </w:p>
    <w:p>
      <w:pPr>
        <w:widowControl/>
        <w:autoSpaceDE/>
        <w:autoSpaceDN/>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根据成都市生态环境局在成都市生态环境局官方网站上发布的《</w:t>
      </w:r>
      <w:r>
        <w:rPr>
          <w:color w:val="000000" w:themeColor="text1"/>
          <w:sz w:val="24"/>
          <w14:textFill>
            <w14:solidFill>
              <w14:schemeClr w14:val="tx1"/>
            </w14:solidFill>
          </w14:textFill>
        </w:rPr>
        <w:t>202</w:t>
      </w:r>
      <w:r>
        <w:rPr>
          <w:rFonts w:hint="eastAsia"/>
          <w:color w:val="000000" w:themeColor="text1"/>
          <w:sz w:val="24"/>
          <w14:textFill>
            <w14:solidFill>
              <w14:schemeClr w14:val="tx1"/>
            </w14:solidFill>
          </w14:textFill>
        </w:rPr>
        <w:t>3成都市地表水环境质量状况》：成都市岷、沱江水系成都段共设置市控及以上地表水监测断面114个，2023年监测结果表明，岷、沱江水系成都段地表水水质总体呈优，I~Ⅲ类水质断面114个，占100.0%（I类水质断面4个，占比3.6%；Ⅱ类水质断面90个，占比78.9%；Ⅲ类水质断面20个，占比17.5%）。</w:t>
      </w:r>
    </w:p>
    <w:p>
      <w:pPr>
        <w:widowControl/>
        <w:autoSpaceDE/>
        <w:autoSpaceDN/>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根据水系分析，本项目渠道上游来水均来自府河，进入东风渠后，进入南五、南六支渠，或由东风渠北干渠流入北支一渠，由北支一渠流入董家堰补水渠。董家堰补水渠（上、下）灌溉退水先进入湖江河（小西江河），再进入西江河；北支一渠（上）下游先进入羊叉河之后进入西江河；南五支渠下游进入西江河、南六支渠下游先到半截河，再到西江河。项目所有渠道最终退水均由西江河退到沱江。项目工程渠段地表水断面水质如下：</w:t>
      </w:r>
    </w:p>
    <w:p>
      <w:pPr>
        <w:widowControl/>
        <w:autoSpaceDE/>
        <w:autoSpaceDN/>
        <w:adjustRightInd w:val="0"/>
        <w:snapToGrid w:val="0"/>
        <w:spacing w:line="360" w:lineRule="auto"/>
        <w:ind w:firstLine="480" w:firstLineChars="200"/>
        <w:jc w:val="center"/>
        <w:rPr>
          <w:rFonts w:hint="default" w:eastAsia="黑体"/>
          <w:color w:val="000000" w:themeColor="text1"/>
          <w:sz w:val="24"/>
          <w:lang w:val="en-US" w:eastAsia="zh-CN"/>
          <w14:textFill>
            <w14:solidFill>
              <w14:schemeClr w14:val="tx1"/>
            </w14:solidFill>
          </w14:textFill>
        </w:rPr>
      </w:pPr>
      <w:r>
        <w:rPr>
          <w:rFonts w:eastAsia="黑体"/>
          <w:color w:val="000000" w:themeColor="text1"/>
          <w:sz w:val="24"/>
          <w:szCs w:val="24"/>
          <w14:textFill>
            <w14:solidFill>
              <w14:schemeClr w14:val="tx1"/>
            </w14:solidFill>
          </w14:textFill>
        </w:rPr>
        <w:t>表3</w:t>
      </w:r>
      <w:r>
        <w:rPr>
          <w:rFonts w:hint="eastAsia" w:eastAsia="黑体"/>
          <w:color w:val="000000" w:themeColor="text1"/>
          <w:sz w:val="24"/>
          <w:szCs w:val="24"/>
          <w14:textFill>
            <w14:solidFill>
              <w14:schemeClr w14:val="tx1"/>
            </w14:solidFill>
          </w14:textFill>
        </w:rPr>
        <w:t>.2</w:t>
      </w:r>
      <w:r>
        <w:rPr>
          <w:rFonts w:eastAsia="黑体"/>
          <w:color w:val="000000" w:themeColor="text1"/>
          <w:sz w:val="24"/>
          <w:szCs w:val="24"/>
          <w14:textFill>
            <w14:solidFill>
              <w14:schemeClr w14:val="tx1"/>
            </w14:solidFill>
          </w14:textFill>
        </w:rPr>
        <w:t>-</w:t>
      </w:r>
      <w:r>
        <w:rPr>
          <w:rFonts w:hint="eastAsia" w:eastAsia="黑体"/>
          <w:color w:val="000000" w:themeColor="text1"/>
          <w:sz w:val="24"/>
          <w:szCs w:val="24"/>
          <w:lang w:val="en-US" w:eastAsia="zh-CN"/>
          <w14:textFill>
            <w14:solidFill>
              <w14:schemeClr w14:val="tx1"/>
            </w14:solidFill>
          </w14:textFill>
        </w:rPr>
        <w:t>3本项目地表水上游及下游退水流域水质状况</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1677"/>
        <w:gridCol w:w="1185"/>
        <w:gridCol w:w="1550"/>
        <w:gridCol w:w="1550"/>
        <w:gridCol w:w="15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流域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河流（湖库）</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断面名称</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断面类型</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b/>
                <w:bCs/>
                <w:color w:val="000000" w:themeColor="text1"/>
                <w:kern w:val="0"/>
                <w:lang w:val="en-US" w:eastAsia="zh-CN"/>
                <w14:textFill>
                  <w14:solidFill>
                    <w14:schemeClr w14:val="tx1"/>
                  </w14:solidFill>
                </w14:textFill>
              </w:rPr>
            </w:pPr>
            <w:r>
              <w:rPr>
                <w:rFonts w:hint="eastAsia"/>
                <w:b/>
                <w:bCs/>
                <w:color w:val="000000" w:themeColor="text1"/>
                <w:kern w:val="0"/>
                <w:lang w:val="en-US" w:eastAsia="zh-CN"/>
                <w14:textFill>
                  <w14:solidFill>
                    <w14:schemeClr w14:val="tx1"/>
                  </w14:solidFill>
                </w14:textFill>
              </w:rPr>
              <w:t>上年同期</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b/>
                <w:bCs/>
                <w:color w:val="000000" w:themeColor="text1"/>
                <w:kern w:val="0"/>
                <w:lang w:val="en-US" w:eastAsia="zh-CN"/>
                <w14:textFill>
                  <w14:solidFill>
                    <w14:schemeClr w14:val="tx1"/>
                  </w14:solidFill>
                </w14:textFill>
              </w:rPr>
            </w:pPr>
            <w:r>
              <w:rPr>
                <w:rFonts w:hint="eastAsia"/>
                <w:b/>
                <w:bCs/>
                <w:color w:val="000000" w:themeColor="text1"/>
                <w:kern w:val="0"/>
                <w:lang w:val="en-US" w:eastAsia="zh-CN"/>
                <w14:textFill>
                  <w14:solidFill>
                    <w14:schemeClr w14:val="tx1"/>
                  </w14:solidFill>
                </w14:textFill>
              </w:rPr>
              <w:t>2023年类别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岷江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府河</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高桥</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国控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岷江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府河</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黄龙溪</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国控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14:textFill>
                  <w14:solidFill>
                    <w14:schemeClr w14:val="tx1"/>
                  </w14:solidFill>
                </w14:textFill>
              </w:rPr>
            </w:pPr>
            <w:r>
              <w:rPr>
                <w:rFonts w:hint="eastAsia"/>
                <w:color w:val="000000" w:themeColor="text1"/>
                <w:sz w:val="24"/>
                <w14:textFill>
                  <w14:solidFill>
                    <w14:schemeClr w14:val="tx1"/>
                  </w14:solidFill>
                </w14:textFill>
              </w:rPr>
              <w:t>Ⅲ</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岷江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府河</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永安大桥</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省控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岷江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东风渠</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十陵</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省控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沱江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毗河</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毗河二桥</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国控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沱江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青白江</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三邑大桥</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国控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沱江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沱江</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宏缘</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国控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沱江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毗河</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新毗大桥</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省控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沱江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毗河</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拦河堰</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省控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4"/>
                <w14:textFill>
                  <w14:solidFill>
                    <w14:schemeClr w14:val="tx1"/>
                  </w14:solidFill>
                </w14:textFill>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91"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沱江</w:t>
            </w:r>
          </w:p>
        </w:tc>
        <w:tc>
          <w:tcPr>
            <w:tcW w:w="984"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绛溪河</w:t>
            </w:r>
          </w:p>
        </w:tc>
        <w:tc>
          <w:tcPr>
            <w:tcW w:w="695"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爱民桥</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省控</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Ⅲ</w:t>
            </w:r>
          </w:p>
        </w:tc>
        <w:tc>
          <w:tcPr>
            <w:tcW w:w="909" w:type="pct"/>
            <w:tcBorders>
              <w:tl2br w:val="nil"/>
              <w:tr2bl w:val="nil"/>
            </w:tcBorders>
            <w:vAlign w:val="center"/>
          </w:tcPr>
          <w:p>
            <w:pPr>
              <w:keepNext w:val="0"/>
              <w:keepLines w:val="0"/>
              <w:suppressLineNumbers w:val="0"/>
              <w:overflowPunct w:val="0"/>
              <w:adjustRightInd w:val="0"/>
              <w:snapToGrid w:val="0"/>
              <w:spacing w:before="0" w:beforeAutospacing="0" w:after="0" w:afterAutospacing="0"/>
              <w:ind w:left="0" w:right="0"/>
              <w:jc w:val="center"/>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Ⅲ</w:t>
            </w:r>
          </w:p>
        </w:tc>
      </w:tr>
    </w:tbl>
    <w:p>
      <w:pPr>
        <w:widowControl/>
        <w:autoSpaceDE/>
        <w:autoSpaceDN/>
        <w:adjustRightInd w:val="0"/>
        <w:snapToGrid w:val="0"/>
        <w:spacing w:line="360" w:lineRule="auto"/>
        <w:ind w:firstLine="480" w:firstLineChars="20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根据《</w:t>
      </w:r>
      <w:r>
        <w:rPr>
          <w:color w:val="000000" w:themeColor="text1"/>
          <w:sz w:val="24"/>
          <w14:textFill>
            <w14:solidFill>
              <w14:schemeClr w14:val="tx1"/>
            </w14:solidFill>
          </w14:textFill>
        </w:rPr>
        <w:t>202</w:t>
      </w:r>
      <w:r>
        <w:rPr>
          <w:rFonts w:hint="eastAsia"/>
          <w:color w:val="000000" w:themeColor="text1"/>
          <w:sz w:val="24"/>
          <w14:textFill>
            <w14:solidFill>
              <w14:schemeClr w14:val="tx1"/>
            </w14:solidFill>
          </w14:textFill>
        </w:rPr>
        <w:t>3成都市地表水环境质量状况》，</w:t>
      </w:r>
      <w:r>
        <w:rPr>
          <w:rFonts w:hint="eastAsia"/>
          <w:color w:val="000000" w:themeColor="text1"/>
          <w:sz w:val="24"/>
          <w:lang w:val="en-US" w:eastAsia="zh-CN"/>
          <w14:textFill>
            <w14:solidFill>
              <w14:schemeClr w14:val="tx1"/>
            </w14:solidFill>
          </w14:textFill>
        </w:rPr>
        <w:t>本项目地表水评价</w:t>
      </w:r>
      <w:r>
        <w:rPr>
          <w:rFonts w:hint="eastAsia"/>
          <w:color w:val="000000" w:themeColor="text1"/>
          <w:sz w:val="24"/>
          <w14:textFill>
            <w14:solidFill>
              <w14:schemeClr w14:val="tx1"/>
            </w14:solidFill>
          </w14:textFill>
        </w:rPr>
        <w:t>区域</w:t>
      </w:r>
      <w:r>
        <w:rPr>
          <w:rFonts w:hint="eastAsia"/>
          <w:color w:val="000000" w:themeColor="text1"/>
          <w:sz w:val="24"/>
          <w:lang w:val="en-US" w:eastAsia="zh-CN"/>
          <w14:textFill>
            <w14:solidFill>
              <w14:schemeClr w14:val="tx1"/>
            </w14:solidFill>
          </w14:textFill>
        </w:rPr>
        <w:t>内河流水系均属于</w:t>
      </w:r>
      <w:r>
        <w:rPr>
          <w:rFonts w:hint="eastAsia"/>
          <w:color w:val="000000" w:themeColor="text1"/>
          <w:sz w:val="24"/>
          <w14:textFill>
            <w14:solidFill>
              <w14:schemeClr w14:val="tx1"/>
            </w14:solidFill>
          </w14:textFill>
        </w:rPr>
        <w:t>岷、沱江水系</w:t>
      </w:r>
      <w:r>
        <w:rPr>
          <w:rFonts w:hint="eastAsia"/>
          <w:color w:val="000000" w:themeColor="text1"/>
          <w:sz w:val="24"/>
          <w:lang w:val="en-US" w:eastAsia="zh-CN"/>
          <w14:textFill>
            <w14:solidFill>
              <w14:schemeClr w14:val="tx1"/>
            </w14:solidFill>
          </w14:textFill>
        </w:rPr>
        <w:t>，</w:t>
      </w:r>
      <w:r>
        <w:rPr>
          <w:rFonts w:hint="eastAsia"/>
          <w:color w:val="000000" w:themeColor="text1"/>
          <w:sz w:val="24"/>
          <w14:textFill>
            <w14:solidFill>
              <w14:schemeClr w14:val="tx1"/>
            </w14:solidFill>
          </w14:textFill>
        </w:rPr>
        <w:t>地表水满足《地表水环境质量标准》（</w:t>
      </w:r>
      <w:r>
        <w:rPr>
          <w:color w:val="000000" w:themeColor="text1"/>
          <w:sz w:val="24"/>
          <w14:textFill>
            <w14:solidFill>
              <w14:schemeClr w14:val="tx1"/>
            </w14:solidFill>
          </w14:textFill>
        </w:rPr>
        <w:t>GB3838-2002</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Ⅲ</w:t>
      </w:r>
      <w:r>
        <w:rPr>
          <w:rFonts w:hint="eastAsia"/>
          <w:color w:val="000000" w:themeColor="text1"/>
          <w:sz w:val="24"/>
          <w14:textFill>
            <w14:solidFill>
              <w14:schemeClr w14:val="tx1"/>
            </w14:solidFill>
          </w14:textFill>
        </w:rPr>
        <w:t>类标准</w:t>
      </w:r>
      <w:r>
        <w:rPr>
          <w:color w:val="000000" w:themeColor="text1"/>
          <w14:textFill>
            <w14:solidFill>
              <w14:schemeClr w14:val="tx1"/>
            </w14:solidFill>
          </w14:textFill>
        </w:rPr>
        <w:t>。</w:t>
      </w:r>
    </w:p>
    <w:p>
      <w:pPr>
        <w:pStyle w:val="14"/>
        <w:spacing w:line="360" w:lineRule="auto"/>
        <w:ind w:right="617"/>
        <w:jc w:val="both"/>
        <w:rPr>
          <w:b/>
          <w:color w:val="000000" w:themeColor="text1"/>
          <w14:textFill>
            <w14:solidFill>
              <w14:schemeClr w14:val="tx1"/>
            </w14:solidFill>
          </w14:textFill>
        </w:rPr>
      </w:pPr>
      <w:r>
        <w:rPr>
          <w:b/>
          <w:color w:val="000000" w:themeColor="text1"/>
          <w14:textFill>
            <w14:solidFill>
              <w14:schemeClr w14:val="tx1"/>
            </w14:solidFill>
          </w14:textFill>
        </w:rPr>
        <w:t>3.2.2.1地表水环境质量现状监测</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监测项目：</w:t>
      </w:r>
      <w:r>
        <w:rPr>
          <w:rFonts w:hint="eastAsia"/>
          <w:color w:val="000000" w:themeColor="text1"/>
          <w14:textFill>
            <w14:solidFill>
              <w14:schemeClr w14:val="tx1"/>
            </w14:solidFill>
          </w14:textFill>
        </w:rPr>
        <w:t>水温、</w:t>
      </w:r>
      <w:r>
        <w:rPr>
          <w:color w:val="000000" w:themeColor="text1"/>
          <w14:textFill>
            <w14:solidFill>
              <w14:schemeClr w14:val="tx1"/>
            </w14:solidFill>
          </w14:textFill>
        </w:rPr>
        <w:t>pH、</w:t>
      </w:r>
      <w:r>
        <w:rPr>
          <w:rFonts w:hint="eastAsia"/>
          <w:color w:val="000000" w:themeColor="text1"/>
          <w14:textFill>
            <w14:solidFill>
              <w14:schemeClr w14:val="tx1"/>
            </w14:solidFill>
          </w14:textFill>
        </w:rPr>
        <w:t>高锰酸盐指数</w:t>
      </w:r>
      <w:r>
        <w:rPr>
          <w:color w:val="000000" w:themeColor="text1"/>
          <w14:textFill>
            <w14:solidFill>
              <w14:schemeClr w14:val="tx1"/>
            </w14:solidFill>
          </w14:textFill>
        </w:rPr>
        <w:t>、氨氮、总磷共</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项。</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监测</w:t>
      </w:r>
      <w:r>
        <w:rPr>
          <w:rFonts w:hint="eastAsia"/>
          <w:color w:val="000000" w:themeColor="text1"/>
          <w14:textFill>
            <w14:solidFill>
              <w14:schemeClr w14:val="tx1"/>
            </w14:solidFill>
          </w14:textFill>
        </w:rPr>
        <w:t>点位</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点位</w:t>
      </w:r>
      <w:r>
        <w:rPr>
          <w:color w:val="000000" w:themeColor="text1"/>
          <w14:textFill>
            <w14:solidFill>
              <w14:schemeClr w14:val="tx1"/>
            </w14:solidFill>
          </w14:textFill>
        </w:rPr>
        <w:t>布设详见下表。</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lang w:val="en-US" w:eastAsia="zh-CN"/>
          <w14:textFill>
            <w14:solidFill>
              <w14:schemeClr w14:val="tx1"/>
            </w14:solidFill>
          </w14:textFill>
        </w:rPr>
        <w:t>4</w:t>
      </w:r>
      <w:r>
        <w:rPr>
          <w:rFonts w:eastAsia="黑体"/>
          <w:color w:val="000000" w:themeColor="text1"/>
          <w14:textFill>
            <w14:solidFill>
              <w14:schemeClr w14:val="tx1"/>
            </w14:solidFill>
          </w14:textFill>
        </w:rPr>
        <w:t>监测</w:t>
      </w:r>
      <w:r>
        <w:rPr>
          <w:rFonts w:hint="eastAsia" w:eastAsia="黑体"/>
          <w:color w:val="000000" w:themeColor="text1"/>
          <w14:textFill>
            <w14:solidFill>
              <w14:schemeClr w14:val="tx1"/>
            </w14:solidFill>
          </w14:textFill>
        </w:rPr>
        <w:t>点位</w:t>
      </w:r>
      <w:r>
        <w:rPr>
          <w:rFonts w:eastAsia="黑体"/>
          <w:color w:val="000000" w:themeColor="text1"/>
          <w14:textFill>
            <w14:solidFill>
              <w14:schemeClr w14:val="tx1"/>
            </w14:solidFill>
          </w14:textFill>
        </w:rPr>
        <w:t>设置</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1"/>
        <w:gridCol w:w="4364"/>
        <w:gridCol w:w="23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所属渠道</w:t>
            </w:r>
          </w:p>
        </w:tc>
        <w:tc>
          <w:tcPr>
            <w:tcW w:w="2561" w:type="pct"/>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监测</w:t>
            </w:r>
            <w:r>
              <w:rPr>
                <w:rFonts w:hint="eastAsia"/>
                <w:b/>
                <w:color w:val="000000" w:themeColor="text1"/>
                <w14:textFill>
                  <w14:solidFill>
                    <w14:schemeClr w14:val="tx1"/>
                  </w14:solidFill>
                </w14:textFill>
              </w:rPr>
              <w:t>点位</w:t>
            </w:r>
          </w:p>
        </w:tc>
        <w:tc>
          <w:tcPr>
            <w:tcW w:w="1381" w:type="pct"/>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监测项目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南五、南六支渠</w:t>
            </w:r>
          </w:p>
        </w:tc>
        <w:tc>
          <w:tcPr>
            <w:tcW w:w="2561"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南五、南六支渠上游</w:t>
            </w:r>
            <w:r>
              <w:rPr>
                <w:rFonts w:hint="eastAsia"/>
                <w:color w:val="000000" w:themeColor="text1"/>
                <w:sz w:val="21"/>
                <w:szCs w:val="21"/>
                <w14:textFill>
                  <w14:solidFill>
                    <w14:schemeClr w14:val="tx1"/>
                  </w14:solidFill>
                </w14:textFill>
              </w:rPr>
              <w:t>（东风渠）</w:t>
            </w:r>
          </w:p>
        </w:tc>
        <w:tc>
          <w:tcPr>
            <w:tcW w:w="1381" w:type="pct"/>
            <w:vMerge w:val="restar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r>
              <w:rPr>
                <w:rFonts w:hint="default"/>
                <w:color w:val="000000" w:themeColor="text1"/>
                <w:sz w:val="21"/>
                <w:szCs w:val="21"/>
                <w14:textFill>
                  <w14:solidFill>
                    <w14:schemeClr w14:val="tx1"/>
                  </w14:solidFill>
                </w14:textFill>
              </w:rPr>
              <w:t>pH</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高锰酸盐指数</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氨氮</w:t>
            </w:r>
            <w:r>
              <w:rPr>
                <w:rFonts w:hint="eastAsia"/>
                <w:color w:val="000000" w:themeColor="text1"/>
                <w:sz w:val="21"/>
                <w:szCs w:val="21"/>
                <w14:textFill>
                  <w14:solidFill>
                    <w14:schemeClr w14:val="tx1"/>
                  </w14:solidFill>
                </w14:textFill>
              </w:rPr>
              <w:t>、</w:t>
            </w:r>
            <w:r>
              <w:rPr>
                <w:rFonts w:hint="default"/>
                <w:color w:val="000000" w:themeColor="text1"/>
                <w:sz w:val="21"/>
                <w:szCs w:val="21"/>
                <w14:textFill>
                  <w14:solidFill>
                    <w14:schemeClr w14:val="tx1"/>
                  </w14:solidFill>
                </w14:textFill>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2561"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南五支渠下游（半截河</w:t>
            </w:r>
            <w:r>
              <w:rPr>
                <w:rFonts w:hint="eastAsia"/>
                <w:color w:val="000000" w:themeColor="text1"/>
                <w:sz w:val="21"/>
                <w:szCs w:val="21"/>
                <w14:textFill>
                  <w14:solidFill>
                    <w14:schemeClr w14:val="tx1"/>
                  </w14:solidFill>
                </w14:textFill>
              </w:rPr>
              <w:t>2#支沟</w:t>
            </w:r>
            <w:r>
              <w:rPr>
                <w:rFonts w:hint="default"/>
                <w:color w:val="000000" w:themeColor="text1"/>
                <w:sz w:val="21"/>
                <w:szCs w:val="21"/>
                <w14:textFill>
                  <w14:solidFill>
                    <w14:schemeClr w14:val="tx1"/>
                  </w14:solidFill>
                </w14:textFill>
              </w:rPr>
              <w:t>）</w:t>
            </w:r>
          </w:p>
        </w:tc>
        <w:tc>
          <w:tcPr>
            <w:tcW w:w="1381" w:type="pct"/>
            <w:vMerge w:val="continue"/>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2561"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南五、南六支渠下游（西河）</w:t>
            </w:r>
          </w:p>
        </w:tc>
        <w:tc>
          <w:tcPr>
            <w:tcW w:w="1381" w:type="pct"/>
            <w:vMerge w:val="continue"/>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restar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北支一渠</w:t>
            </w:r>
            <w:r>
              <w:rPr>
                <w:rFonts w:hint="eastAsia"/>
                <w:color w:val="000000" w:themeColor="text1"/>
                <w:sz w:val="21"/>
                <w:szCs w:val="21"/>
                <w14:textFill>
                  <w14:solidFill>
                    <w14:schemeClr w14:val="tx1"/>
                  </w14:solidFill>
                </w14:textFill>
              </w:rPr>
              <w:t>（上）、</w:t>
            </w:r>
            <w:r>
              <w:rPr>
                <w:rFonts w:hint="default"/>
                <w:color w:val="000000" w:themeColor="text1"/>
                <w:sz w:val="21"/>
                <w:szCs w:val="21"/>
                <w14:textFill>
                  <w14:solidFill>
                    <w14:schemeClr w14:val="tx1"/>
                  </w14:solidFill>
                </w14:textFill>
              </w:rPr>
              <w:t>董家堰补水渠</w:t>
            </w:r>
            <w:r>
              <w:rPr>
                <w:rFonts w:hint="eastAsia"/>
                <w:color w:val="000000" w:themeColor="text1"/>
                <w:sz w:val="21"/>
                <w:szCs w:val="21"/>
                <w14:textFill>
                  <w14:solidFill>
                    <w14:schemeClr w14:val="tx1"/>
                  </w14:solidFill>
                </w14:textFill>
              </w:rPr>
              <w:t>（上、下）</w:t>
            </w:r>
          </w:p>
        </w:tc>
        <w:tc>
          <w:tcPr>
            <w:tcW w:w="2561"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北支一渠</w:t>
            </w:r>
            <w:r>
              <w:rPr>
                <w:rFonts w:hint="eastAsia"/>
                <w:color w:val="000000" w:themeColor="text1"/>
                <w:sz w:val="21"/>
                <w:szCs w:val="21"/>
                <w14:textFill>
                  <w14:solidFill>
                    <w14:schemeClr w14:val="tx1"/>
                  </w14:solidFill>
                </w14:textFill>
              </w:rPr>
              <w:t>（上）</w:t>
            </w:r>
            <w:r>
              <w:rPr>
                <w:rFonts w:hint="default"/>
                <w:color w:val="000000" w:themeColor="text1"/>
                <w:sz w:val="21"/>
                <w:szCs w:val="21"/>
                <w14:textFill>
                  <w14:solidFill>
                    <w14:schemeClr w14:val="tx1"/>
                  </w14:solidFill>
                </w14:textFill>
              </w:rPr>
              <w:t>上游、董家堰补水渠</w:t>
            </w:r>
            <w:r>
              <w:rPr>
                <w:rFonts w:hint="eastAsia"/>
                <w:color w:val="000000" w:themeColor="text1"/>
                <w:sz w:val="21"/>
                <w:szCs w:val="21"/>
                <w14:textFill>
                  <w14:solidFill>
                    <w14:schemeClr w14:val="tx1"/>
                  </w14:solidFill>
                </w14:textFill>
              </w:rPr>
              <w:t>（上、下）上</w:t>
            </w:r>
            <w:r>
              <w:rPr>
                <w:rFonts w:hint="default"/>
                <w:color w:val="000000" w:themeColor="text1"/>
                <w:sz w:val="21"/>
                <w:szCs w:val="21"/>
                <w14:textFill>
                  <w14:solidFill>
                    <w14:schemeClr w14:val="tx1"/>
                  </w14:solidFill>
                </w14:textFill>
              </w:rPr>
              <w:t>游</w:t>
            </w:r>
          </w:p>
        </w:tc>
        <w:tc>
          <w:tcPr>
            <w:tcW w:w="1381" w:type="pct"/>
            <w:vMerge w:val="continue"/>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2561"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北支一渠（上）下游</w:t>
            </w:r>
          </w:p>
        </w:tc>
        <w:tc>
          <w:tcPr>
            <w:tcW w:w="1381" w:type="pct"/>
            <w:vMerge w:val="continue"/>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2561"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董家堰补水渠（上、下）下游</w:t>
            </w:r>
          </w:p>
        </w:tc>
        <w:tc>
          <w:tcPr>
            <w:tcW w:w="1381" w:type="pct"/>
            <w:vMerge w:val="continue"/>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r>
    </w:tbl>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监测频次：</w:t>
      </w:r>
      <w:r>
        <w:rPr>
          <w:rFonts w:hint="eastAsia"/>
          <w:color w:val="000000" w:themeColor="text1"/>
          <w14:textFill>
            <w14:solidFill>
              <w14:schemeClr w14:val="tx1"/>
            </w14:solidFill>
          </w14:textFill>
        </w:rPr>
        <w:t>连续</w:t>
      </w:r>
      <w:r>
        <w:rPr>
          <w:color w:val="000000" w:themeColor="text1"/>
          <w14:textFill>
            <w14:solidFill>
              <w14:schemeClr w14:val="tx1"/>
            </w14:solidFill>
          </w14:textFill>
        </w:rPr>
        <w:t>监测</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天，</w:t>
      </w:r>
      <w:r>
        <w:rPr>
          <w:rFonts w:hint="eastAsia"/>
          <w:color w:val="000000" w:themeColor="text1"/>
          <w14:textFill>
            <w14:solidFill>
              <w14:schemeClr w14:val="tx1"/>
            </w14:solidFill>
          </w14:textFill>
        </w:rPr>
        <w:t>每天</w:t>
      </w:r>
      <w:r>
        <w:rPr>
          <w:color w:val="000000" w:themeColor="text1"/>
          <w14:textFill>
            <w14:solidFill>
              <w14:schemeClr w14:val="tx1"/>
            </w14:solidFill>
          </w14:textFill>
        </w:rPr>
        <w:t>采样一次。</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采样和监测方法：按《地表水环境质量标准》（GB3838-2002）推荐的方法进行。</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lang w:val="en-US" w:eastAsia="zh-CN"/>
          <w14:textFill>
            <w14:solidFill>
              <w14:schemeClr w14:val="tx1"/>
            </w14:solidFill>
          </w14:textFill>
        </w:rPr>
        <w:t>5</w:t>
      </w:r>
      <w:r>
        <w:rPr>
          <w:rFonts w:eastAsia="黑体"/>
          <w:color w:val="000000" w:themeColor="text1"/>
          <w14:textFill>
            <w14:solidFill>
              <w14:schemeClr w14:val="tx1"/>
            </w14:solidFill>
          </w14:textFill>
        </w:rPr>
        <w:t>项目检测方法一览表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16"/>
        <w:gridCol w:w="748"/>
        <w:gridCol w:w="4130"/>
        <w:gridCol w:w="938"/>
        <w:gridCol w:w="20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0" w:hRule="exact"/>
          <w:jc w:val="center"/>
        </w:trPr>
        <w:tc>
          <w:tcPr>
            <w:tcW w:w="701" w:type="pct"/>
            <w:gridSpan w:val="2"/>
            <w:tcBorders>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项目类别</w:t>
            </w:r>
          </w:p>
        </w:tc>
        <w:tc>
          <w:tcPr>
            <w:tcW w:w="2485" w:type="pct"/>
            <w:tcBorders>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检测方法</w:t>
            </w:r>
          </w:p>
        </w:tc>
        <w:tc>
          <w:tcPr>
            <w:tcW w:w="564" w:type="pct"/>
            <w:tcBorders>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检出限</w:t>
            </w:r>
          </w:p>
        </w:tc>
        <w:tc>
          <w:tcPr>
            <w:tcW w:w="1248" w:type="pct"/>
            <w:tcBorders>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主要使用仪器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51" w:hRule="exact"/>
          <w:jc w:val="center"/>
        </w:trPr>
        <w:tc>
          <w:tcPr>
            <w:tcW w:w="251" w:type="pct"/>
            <w:vMerge w:val="restart"/>
            <w:tcBorders>
              <w:top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地表水</w:t>
            </w:r>
          </w:p>
        </w:tc>
        <w:tc>
          <w:tcPr>
            <w:tcW w:w="450" w:type="pct"/>
            <w:tcBorders>
              <w:top w:val="single" w:color="auto" w:sz="4" w:space="0"/>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2485"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64"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0.5</w:t>
            </w:r>
            <w:r>
              <w:rPr>
                <w:rFonts w:hint="default"/>
                <w:color w:val="000000" w:themeColor="text1"/>
                <w14:textFill>
                  <w14:solidFill>
                    <w14:schemeClr w14:val="tx1"/>
                  </w14:solidFill>
                </w14:textFill>
              </w:rPr>
              <w:t>mg/L</w:t>
            </w:r>
          </w:p>
        </w:tc>
        <w:tc>
          <w:tcPr>
            <w:tcW w:w="1248"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GB11892</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3" w:hRule="exact"/>
          <w:jc w:val="center"/>
        </w:trPr>
        <w:tc>
          <w:tcPr>
            <w:tcW w:w="251" w:type="pct"/>
            <w:vMerge w:val="continue"/>
            <w:tcBorders>
              <w:top w:val="single" w:color="auto" w:sz="4" w:space="0"/>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450" w:type="pct"/>
            <w:tcBorders>
              <w:top w:val="single" w:color="auto" w:sz="4" w:space="0"/>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2485"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水质氨氮的测定纳氏试剂分光光度法</w:t>
            </w:r>
          </w:p>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HJ535-2009</w:t>
            </w:r>
          </w:p>
        </w:tc>
        <w:tc>
          <w:tcPr>
            <w:tcW w:w="564"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0.025mg/L</w:t>
            </w:r>
          </w:p>
        </w:tc>
        <w:tc>
          <w:tcPr>
            <w:tcW w:w="1248" w:type="pct"/>
            <w:tcBorders>
              <w:top w:val="single" w:color="auto" w:sz="4" w:space="0"/>
              <w:bottom w:val="single" w:color="auto" w:sz="4" w:space="0"/>
            </w:tcBorders>
            <w:vAlign w:val="center"/>
          </w:tcPr>
          <w:p>
            <w:pPr>
              <w:pStyle w:val="119"/>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722N可见分光光度计H098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9" w:hRule="exact"/>
          <w:jc w:val="center"/>
        </w:trPr>
        <w:tc>
          <w:tcPr>
            <w:tcW w:w="251" w:type="pct"/>
            <w:vMerge w:val="continue"/>
            <w:tcBorders>
              <w:top w:val="single" w:color="auto" w:sz="4" w:space="0"/>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450" w:type="pct"/>
            <w:tcBorders>
              <w:top w:val="single" w:color="auto" w:sz="4" w:space="0"/>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2485"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水质总磷的测定钼酸铵分光光度法</w:t>
            </w:r>
          </w:p>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GB11893-1989</w:t>
            </w:r>
          </w:p>
        </w:tc>
        <w:tc>
          <w:tcPr>
            <w:tcW w:w="564"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0.01mg/L</w:t>
            </w:r>
          </w:p>
        </w:tc>
        <w:tc>
          <w:tcPr>
            <w:tcW w:w="1248" w:type="pct"/>
            <w:tcBorders>
              <w:top w:val="single" w:color="auto" w:sz="4" w:space="0"/>
              <w:bottom w:val="single" w:color="auto" w:sz="4" w:space="0"/>
            </w:tcBorders>
            <w:vAlign w:val="center"/>
          </w:tcPr>
          <w:p>
            <w:pPr>
              <w:pStyle w:val="119"/>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SP-752紫外可见分光光度计H023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9" w:hRule="exact"/>
          <w:jc w:val="center"/>
        </w:trPr>
        <w:tc>
          <w:tcPr>
            <w:tcW w:w="251" w:type="pct"/>
            <w:vMerge w:val="continue"/>
            <w:tcBorders>
              <w:top w:val="single" w:color="auto" w:sz="4" w:space="0"/>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450" w:type="pct"/>
            <w:tcBorders>
              <w:top w:val="single" w:color="auto" w:sz="4" w:space="0"/>
              <w:bottom w:val="single" w:color="auto" w:sz="4" w:space="0"/>
            </w:tcBorders>
            <w:vAlign w:val="center"/>
          </w:tcPr>
          <w:p>
            <w:pPr>
              <w:pStyle w:val="119"/>
              <w:keepNext w:val="0"/>
              <w:keepLines w:val="0"/>
              <w:suppressLineNumbers w:val="0"/>
              <w:spacing w:before="0" w:beforeAutospacing="0" w:after="0" w:afterAutospacing="0"/>
              <w:ind w:left="0" w:right="0"/>
              <w:jc w:val="center"/>
              <w:rPr>
                <w:rFonts w:hint="default" w:ascii="Times New Roman" w:cs="Times New Roman"/>
                <w:color w:val="000000" w:themeColor="text1"/>
                <w:kern w:val="2"/>
                <w:sz w:val="21"/>
                <w:szCs w:val="21"/>
                <w14:textFill>
                  <w14:solidFill>
                    <w14:schemeClr w14:val="tx1"/>
                  </w14:solidFill>
                </w14:textFill>
              </w:rPr>
            </w:pPr>
            <w:r>
              <w:rPr>
                <w:rFonts w:hint="default" w:ascii="Times New Roman" w:cs="Times New Roman"/>
                <w:color w:val="000000" w:themeColor="text1"/>
                <w:kern w:val="2"/>
                <w:sz w:val="21"/>
                <w:szCs w:val="21"/>
                <w14:textFill>
                  <w14:solidFill>
                    <w14:schemeClr w14:val="tx1"/>
                  </w14:solidFill>
                </w14:textFill>
              </w:rPr>
              <w:t>总氮</w:t>
            </w:r>
          </w:p>
        </w:tc>
        <w:tc>
          <w:tcPr>
            <w:tcW w:w="2485"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水质总氮的测定碱性过硫酸钾消解紫外分光光度法HJ636-2012</w:t>
            </w:r>
          </w:p>
        </w:tc>
        <w:tc>
          <w:tcPr>
            <w:tcW w:w="564"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kern w:val="0"/>
                <w14:textFill>
                  <w14:solidFill>
                    <w14:schemeClr w14:val="tx1"/>
                  </w14:solidFill>
                </w14:textFill>
              </w:rPr>
              <w:t>0.05mg/L</w:t>
            </w:r>
          </w:p>
        </w:tc>
        <w:tc>
          <w:tcPr>
            <w:tcW w:w="1248" w:type="pct"/>
            <w:tcBorders>
              <w:top w:val="single" w:color="auto" w:sz="4" w:space="0"/>
              <w:bottom w:val="single" w:color="auto" w:sz="4" w:space="0"/>
            </w:tcBorders>
            <w:vAlign w:val="center"/>
          </w:tcPr>
          <w:p>
            <w:pPr>
              <w:pStyle w:val="119"/>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SP-752紫外可见分光光度计H023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8" w:hRule="exact"/>
          <w:jc w:val="center"/>
        </w:trPr>
        <w:tc>
          <w:tcPr>
            <w:tcW w:w="251" w:type="pct"/>
            <w:vMerge w:val="continue"/>
            <w:tcBorders>
              <w:top w:val="single" w:color="auto" w:sz="4" w:space="0"/>
              <w:bottom w:val="single" w:color="auto" w:sz="4" w:space="0"/>
            </w:tcBorders>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450" w:type="pct"/>
            <w:tcBorders>
              <w:top w:val="single" w:color="auto" w:sz="4" w:space="0"/>
              <w:bottom w:val="single" w:color="auto" w:sz="4" w:space="0"/>
            </w:tcBorders>
            <w:vAlign w:val="center"/>
          </w:tcPr>
          <w:p>
            <w:pPr>
              <w:pStyle w:val="119"/>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pH</w:t>
            </w:r>
          </w:p>
        </w:tc>
        <w:tc>
          <w:tcPr>
            <w:tcW w:w="2485"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kern w:val="0"/>
                <w14:textFill>
                  <w14:solidFill>
                    <w14:schemeClr w14:val="tx1"/>
                  </w14:solidFill>
                </w14:textFill>
              </w:rPr>
              <w:t>便携式pH计法</w:t>
            </w:r>
            <w:r>
              <w:rPr>
                <w:rFonts w:hint="default"/>
                <w:color w:val="000000" w:themeColor="text1"/>
                <w14:textFill>
                  <w14:solidFill>
                    <w14:schemeClr w14:val="tx1"/>
                  </w14:solidFill>
                </w14:textFill>
              </w:rPr>
              <w:t>《水和废水监测分析方法》（第四版）国家环境保护总局（2002年）</w:t>
            </w:r>
          </w:p>
        </w:tc>
        <w:tc>
          <w:tcPr>
            <w:tcW w:w="564" w:type="pct"/>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1248" w:type="pct"/>
            <w:tcBorders>
              <w:top w:val="single" w:color="auto" w:sz="4" w:space="0"/>
              <w:bottom w:val="single" w:color="auto" w:sz="4" w:space="0"/>
            </w:tcBorders>
            <w:vAlign w:val="center"/>
          </w:tcPr>
          <w:p>
            <w:pPr>
              <w:pStyle w:val="119"/>
              <w:keepNext w:val="0"/>
              <w:keepLines w:val="0"/>
              <w:suppressLineNumbers w:val="0"/>
              <w:spacing w:before="0" w:beforeAutospacing="0" w:after="0" w:afterAutospacing="0"/>
              <w:ind w:left="0" w:right="0"/>
              <w:jc w:val="center"/>
              <w:rPr>
                <w:rFonts w:hint="default" w:ascii="Times New Roman" w:cs="Times New Roman"/>
                <w:color w:val="000000" w:themeColor="text1"/>
                <w:sz w:val="21"/>
                <w:szCs w:val="2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PHB-4便携式pH计H095</w:t>
            </w:r>
          </w:p>
        </w:tc>
      </w:tr>
    </w:tbl>
    <w:p>
      <w:pPr>
        <w:pStyle w:val="14"/>
        <w:spacing w:line="360" w:lineRule="auto"/>
        <w:ind w:right="617"/>
        <w:jc w:val="both"/>
        <w:rPr>
          <w:b/>
          <w:color w:val="000000" w:themeColor="text1"/>
          <w14:textFill>
            <w14:solidFill>
              <w14:schemeClr w14:val="tx1"/>
            </w14:solidFill>
          </w14:textFill>
        </w:rPr>
      </w:pPr>
      <w:r>
        <w:rPr>
          <w:b/>
          <w:color w:val="000000" w:themeColor="text1"/>
          <w14:textFill>
            <w14:solidFill>
              <w14:schemeClr w14:val="tx1"/>
            </w14:solidFill>
          </w14:textFill>
        </w:rPr>
        <w:t>3.2.2.2地表水环境质量现状评价</w:t>
      </w:r>
    </w:p>
    <w:p>
      <w:pPr>
        <w:pStyle w:val="14"/>
        <w:spacing w:line="360" w:lineRule="auto"/>
        <w:ind w:right="617"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1、评价标准</w:t>
      </w:r>
    </w:p>
    <w:p>
      <w:pPr>
        <w:pStyle w:val="14"/>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地表水执行《地表水环境质量标准》（GB3838-2002）中III类水域标准。</w:t>
      </w:r>
    </w:p>
    <w:p>
      <w:pPr>
        <w:pStyle w:val="14"/>
        <w:spacing w:line="360" w:lineRule="auto"/>
        <w:ind w:right="617"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2、监测结果</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本次地表水现状监测结果统计表见表3.2-</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表3.2-</w:t>
      </w:r>
      <w:r>
        <w:rPr>
          <w:rFonts w:hint="eastAsia" w:eastAsia="黑体"/>
          <w:color w:val="000000" w:themeColor="text1"/>
          <w:szCs w:val="21"/>
          <w:lang w:val="en-US" w:eastAsia="zh-CN"/>
          <w14:textFill>
            <w14:solidFill>
              <w14:schemeClr w14:val="tx1"/>
            </w14:solidFill>
          </w14:textFill>
        </w:rPr>
        <w:t>6</w:t>
      </w:r>
      <w:r>
        <w:rPr>
          <w:rFonts w:eastAsia="黑体"/>
          <w:color w:val="000000" w:themeColor="text1"/>
          <w:szCs w:val="21"/>
          <w14:textFill>
            <w14:solidFill>
              <w14:schemeClr w14:val="tx1"/>
            </w14:solidFill>
          </w14:textFill>
        </w:rPr>
        <w:t>地表水环境现状监测结果统计表单位：mg/L</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407"/>
        <w:gridCol w:w="1430"/>
        <w:gridCol w:w="1391"/>
        <w:gridCol w:w="1440"/>
        <w:gridCol w:w="14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40" w:type="pct"/>
            <w:vMerge w:val="restart"/>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
                <w:bCs/>
                <w:color w:val="000000" w:themeColor="text1"/>
                <w:szCs w:val="21"/>
                <w14:textFill>
                  <w14:solidFill>
                    <w14:schemeClr w14:val="tx1"/>
                  </w14:solidFill>
                </w14:textFill>
              </w:rPr>
            </w:pPr>
            <w:r>
              <w:rPr>
                <w:rFonts w:hint="default" w:ascii="Times New Roman" w:hAnsi="Times New Roman"/>
                <w:b/>
                <w:bCs/>
                <w:color w:val="000000" w:themeColor="text1"/>
                <w:szCs w:val="21"/>
                <w14:textFill>
                  <w14:solidFill>
                    <w14:schemeClr w14:val="tx1"/>
                  </w14:solidFill>
                </w14:textFill>
              </w:rPr>
              <w:t>检测点位</w:t>
            </w:r>
          </w:p>
        </w:tc>
        <w:tc>
          <w:tcPr>
            <w:tcW w:w="826" w:type="pct"/>
            <w:vMerge w:val="restart"/>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
                <w:bCs/>
                <w:color w:val="000000" w:themeColor="text1"/>
                <w:szCs w:val="21"/>
                <w14:textFill>
                  <w14:solidFill>
                    <w14:schemeClr w14:val="tx1"/>
                  </w14:solidFill>
                </w14:textFill>
              </w:rPr>
            </w:pPr>
            <w:r>
              <w:rPr>
                <w:rFonts w:hint="default" w:ascii="Times New Roman" w:hAnsi="Times New Roman"/>
                <w:b/>
                <w:bCs/>
                <w:color w:val="000000" w:themeColor="text1"/>
                <w:szCs w:val="21"/>
                <w14:textFill>
                  <w14:solidFill>
                    <w14:schemeClr w14:val="tx1"/>
                  </w14:solidFill>
                </w14:textFill>
              </w:rPr>
              <w:t>检测项目</w:t>
            </w:r>
          </w:p>
        </w:tc>
        <w:tc>
          <w:tcPr>
            <w:tcW w:w="2500" w:type="pct"/>
            <w:gridSpan w:val="3"/>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
                <w:bCs/>
                <w:color w:val="000000" w:themeColor="text1"/>
                <w:szCs w:val="21"/>
                <w14:textFill>
                  <w14:solidFill>
                    <w14:schemeClr w14:val="tx1"/>
                  </w14:solidFill>
                </w14:textFill>
              </w:rPr>
            </w:pPr>
            <w:r>
              <w:rPr>
                <w:rFonts w:hint="default" w:ascii="Times New Roman" w:hAnsi="Times New Roman"/>
                <w:b/>
                <w:bCs/>
                <w:color w:val="000000" w:themeColor="text1"/>
                <w:szCs w:val="21"/>
                <w14:textFill>
                  <w14:solidFill>
                    <w14:schemeClr w14:val="tx1"/>
                  </w14:solidFill>
                </w14:textFill>
              </w:rPr>
              <w:t>检测结果</w:t>
            </w:r>
          </w:p>
        </w:tc>
        <w:tc>
          <w:tcPr>
            <w:tcW w:w="833" w:type="pct"/>
            <w:vMerge w:val="restart"/>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
                <w:bCs/>
                <w:color w:val="000000" w:themeColor="text1"/>
                <w:szCs w:val="21"/>
                <w14:textFill>
                  <w14:solidFill>
                    <w14:schemeClr w14:val="tx1"/>
                  </w14:solidFill>
                </w14:textFill>
              </w:rPr>
            </w:pPr>
            <w:r>
              <w:rPr>
                <w:rFonts w:hint="default" w:ascii="Times New Roman" w:hAnsi="Times New Roman"/>
                <w:b/>
                <w:bCs/>
                <w:color w:val="000000" w:themeColor="text1"/>
                <w:szCs w:val="21"/>
                <w14:textFill>
                  <w14:solidFill>
                    <w14:schemeClr w14:val="tx1"/>
                  </w14:solidFill>
                </w14:textFill>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0" w:type="pct"/>
            <w:vMerge w:val="continue"/>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Cs/>
                <w:color w:val="000000" w:themeColor="text1"/>
                <w:szCs w:val="21"/>
                <w14:textFill>
                  <w14:solidFill>
                    <w14:schemeClr w14:val="tx1"/>
                  </w14:solidFill>
                </w14:textFill>
              </w:rPr>
            </w:pPr>
          </w:p>
        </w:tc>
        <w:tc>
          <w:tcPr>
            <w:tcW w:w="826" w:type="pct"/>
            <w:vMerge w:val="continue"/>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Cs/>
                <w:color w:val="000000" w:themeColor="text1"/>
                <w:szCs w:val="21"/>
                <w14:textFill>
                  <w14:solidFill>
                    <w14:schemeClr w14:val="tx1"/>
                  </w14:solidFill>
                </w14:textFill>
              </w:rPr>
            </w:pPr>
          </w:p>
        </w:tc>
        <w:tc>
          <w:tcPr>
            <w:tcW w:w="839" w:type="pct"/>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
                <w:bCs/>
                <w:color w:val="000000" w:themeColor="text1"/>
                <w:szCs w:val="21"/>
                <w14:textFill>
                  <w14:solidFill>
                    <w14:schemeClr w14:val="tx1"/>
                  </w14:solidFill>
                </w14:textFill>
              </w:rPr>
            </w:pPr>
            <w:r>
              <w:rPr>
                <w:rFonts w:hint="default" w:ascii="Times New Roman" w:hAnsi="Times New Roman"/>
                <w:b/>
                <w:bCs/>
                <w:color w:val="000000" w:themeColor="text1"/>
                <w:szCs w:val="21"/>
                <w14:textFill>
                  <w14:solidFill>
                    <w14:schemeClr w14:val="tx1"/>
                  </w14:solidFill>
                </w14:textFill>
              </w:rPr>
              <w:t>2024.3.22</w:t>
            </w:r>
          </w:p>
        </w:tc>
        <w:tc>
          <w:tcPr>
            <w:tcW w:w="816" w:type="pct"/>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
                <w:bCs/>
                <w:color w:val="000000" w:themeColor="text1"/>
                <w:szCs w:val="21"/>
                <w14:textFill>
                  <w14:solidFill>
                    <w14:schemeClr w14:val="tx1"/>
                  </w14:solidFill>
                </w14:textFill>
              </w:rPr>
            </w:pPr>
            <w:r>
              <w:rPr>
                <w:rFonts w:hint="default" w:ascii="Times New Roman" w:hAnsi="Times New Roman"/>
                <w:b/>
                <w:bCs/>
                <w:color w:val="000000" w:themeColor="text1"/>
                <w:szCs w:val="21"/>
                <w14:textFill>
                  <w14:solidFill>
                    <w14:schemeClr w14:val="tx1"/>
                  </w14:solidFill>
                </w14:textFill>
              </w:rPr>
              <w:t>2024.3.23</w:t>
            </w:r>
          </w:p>
        </w:tc>
        <w:tc>
          <w:tcPr>
            <w:tcW w:w="844" w:type="pct"/>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
                <w:bCs/>
                <w:color w:val="000000" w:themeColor="text1"/>
                <w:szCs w:val="21"/>
                <w14:textFill>
                  <w14:solidFill>
                    <w14:schemeClr w14:val="tx1"/>
                  </w14:solidFill>
                </w14:textFill>
              </w:rPr>
            </w:pPr>
            <w:r>
              <w:rPr>
                <w:rFonts w:hint="default" w:ascii="Times New Roman" w:hAnsi="Times New Roman"/>
                <w:b/>
                <w:bCs/>
                <w:color w:val="000000" w:themeColor="text1"/>
                <w:szCs w:val="21"/>
                <w14:textFill>
                  <w14:solidFill>
                    <w14:schemeClr w14:val="tx1"/>
                  </w14:solidFill>
                </w14:textFill>
              </w:rPr>
              <w:t>2024.3.24</w:t>
            </w:r>
          </w:p>
        </w:tc>
        <w:tc>
          <w:tcPr>
            <w:tcW w:w="833" w:type="pct"/>
            <w:vMerge w:val="continue"/>
            <w:tcBorders>
              <w:tl2br w:val="nil"/>
              <w:tr2bl w:val="nil"/>
            </w:tcBorders>
            <w:shd w:val="clear" w:color="auto" w:fill="auto"/>
            <w:vAlign w:val="center"/>
          </w:tcPr>
          <w:p>
            <w:pPr>
              <w:pStyle w:val="19"/>
              <w:keepNext w:val="0"/>
              <w:keepLines w:val="0"/>
              <w:suppressLineNumbers w:val="0"/>
              <w:snapToGrid w:val="0"/>
              <w:spacing w:before="0" w:beforeAutospacing="0" w:after="0" w:afterAutospacing="0"/>
              <w:ind w:left="0" w:right="0"/>
              <w:jc w:val="center"/>
              <w:rPr>
                <w:rFonts w:hint="default" w:ascii="Times New Roman" w:hAnsi="Times New Roman"/>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restar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南五、南六支渠上游（东风渠）</w:t>
            </w: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pH</w:t>
            </w:r>
          </w:p>
        </w:tc>
        <w:tc>
          <w:tcPr>
            <w:tcW w:w="839"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16"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水温</w:t>
            </w:r>
          </w:p>
        </w:tc>
        <w:tc>
          <w:tcPr>
            <w:tcW w:w="839"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8.9</w:t>
            </w:r>
          </w:p>
        </w:tc>
        <w:tc>
          <w:tcPr>
            <w:tcW w:w="816"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9.4</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8.9</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高锰酸盐指数</w:t>
            </w:r>
          </w:p>
        </w:tc>
        <w:tc>
          <w:tcPr>
            <w:tcW w:w="839"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1.58</w:t>
            </w:r>
          </w:p>
        </w:tc>
        <w:tc>
          <w:tcPr>
            <w:tcW w:w="816"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1.68</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1.53</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839"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0.111</w:t>
            </w:r>
          </w:p>
        </w:tc>
        <w:tc>
          <w:tcPr>
            <w:tcW w:w="816"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0.089</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0.106</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839"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0.02</w:t>
            </w:r>
          </w:p>
        </w:tc>
        <w:tc>
          <w:tcPr>
            <w:tcW w:w="816"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0.03</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0.02</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restar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南五支渠下游（半截河2#支沟）</w:t>
            </w: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pH</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水温</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9.2</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8.7</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9.2</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高锰酸盐指数</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1.34</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1.26</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1.34</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0.217</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0.194</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0.183</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0.02</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0.02</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0.02</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restar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南五、南六支渠下游（西河）</w:t>
            </w: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pH</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16"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水温</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10.3</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9.7</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10.7</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高锰酸盐指数</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1.83</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1.92</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1.79</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0.167</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0.183</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0.156</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0.03</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0.03</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0.03</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restar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北支一渠（上）上游、董家堰补水渠（上、下）上游</w:t>
            </w: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pH</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水温</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9.7</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11.2</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高锰酸盐指数</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1.31</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1.71</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1.61</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0.272</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0.250</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0.272</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0.08</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0.04</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0.06</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restar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北支一渠（上）下游</w:t>
            </w: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pH</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水温</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10.9</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11.2</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10.9</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高锰酸盐指数</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1.69</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1.87</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1.95</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0.306</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0.328</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0.311</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0.04</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0.04</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0.04</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restar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董家堰补水渠（上、下）下游</w:t>
            </w: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pH</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7.1</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844" w:type="pct"/>
            <w:tcBorders>
              <w:tl2br w:val="nil"/>
              <w:tr2bl w:val="nil"/>
            </w:tcBorders>
            <w:shd w:val="clear" w:color="auto" w:fill="auto"/>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水温</w:t>
            </w:r>
          </w:p>
        </w:tc>
        <w:tc>
          <w:tcPr>
            <w:tcW w:w="839" w:type="pct"/>
            <w:tcBorders>
              <w:tl2br w:val="nil"/>
              <w:tr2bl w:val="nil"/>
            </w:tcBorders>
            <w:shd w:val="clear" w:color="auto" w:fill="auto"/>
            <w:vAlign w:val="center"/>
          </w:tcPr>
          <w:p>
            <w:pPr>
              <w:keepNext w:val="0"/>
              <w:keepLines w:val="0"/>
              <w:suppressLineNumbers w:val="0"/>
              <w:autoSpaceDE/>
              <w:autoSpaceDN/>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11.4</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10.8</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11.2</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高锰酸盐指数</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1.24</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1.43</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1.49</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839"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0.150</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0.139</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0.350</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40" w:type="pct"/>
            <w:vMerge w:val="continue"/>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p>
        </w:tc>
        <w:tc>
          <w:tcPr>
            <w:tcW w:w="826" w:type="pct"/>
            <w:tcBorders>
              <w:tl2br w:val="nil"/>
              <w:tr2bl w:val="nil"/>
            </w:tcBorders>
            <w:shd w:val="clear" w:color="auto" w:fill="auto"/>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839" w:type="pct"/>
            <w:tcBorders>
              <w:tl2br w:val="nil"/>
              <w:tr2bl w:val="nil"/>
            </w:tcBorders>
            <w:shd w:val="clear" w:color="auto" w:fill="auto"/>
            <w:vAlign w:val="center"/>
          </w:tcPr>
          <w:p>
            <w:pPr>
              <w:keepNext w:val="0"/>
              <w:keepLines w:val="0"/>
              <w:suppressLineNumbers w:val="0"/>
              <w:autoSpaceDE/>
              <w:autoSpaceDN/>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0.04</w:t>
            </w:r>
          </w:p>
        </w:tc>
        <w:tc>
          <w:tcPr>
            <w:tcW w:w="816"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0.05</w:t>
            </w:r>
          </w:p>
        </w:tc>
        <w:tc>
          <w:tcPr>
            <w:tcW w:w="844" w:type="pct"/>
            <w:tcBorders>
              <w:tl2br w:val="nil"/>
              <w:tr2bl w:val="nil"/>
            </w:tcBorders>
            <w:shd w:val="clear" w:color="auto" w:fill="auto"/>
            <w:vAlign w:val="center"/>
          </w:tcPr>
          <w:p>
            <w:pPr>
              <w:keepNext w:val="0"/>
              <w:keepLines w:val="0"/>
              <w:suppressLineNumbers w:val="0"/>
              <w:autoSpaceDE/>
              <w:autoSpaceDN/>
              <w:adjustRightIn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0.05</w:t>
            </w:r>
          </w:p>
        </w:tc>
        <w:tc>
          <w:tcPr>
            <w:tcW w:w="833" w:type="pc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mg/L</w:t>
            </w:r>
          </w:p>
        </w:tc>
      </w:tr>
    </w:tbl>
    <w:p>
      <w:pPr>
        <w:pStyle w:val="14"/>
        <w:spacing w:line="360" w:lineRule="auto"/>
        <w:ind w:right="617"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3、评价方法</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采用单项质量指数法进行评价：</w:t>
      </w:r>
    </w:p>
    <w:p>
      <w:pPr>
        <w:pStyle w:val="14"/>
        <w:spacing w:line="360" w:lineRule="auto"/>
        <w:ind w:right="617" w:firstLine="480" w:firstLineChars="200"/>
        <w:jc w:val="both"/>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对于一般污染物</w:t>
      </w:r>
    </w:p>
    <w:p>
      <w:pPr>
        <w:pStyle w:val="14"/>
        <w:spacing w:line="360" w:lineRule="auto"/>
        <w:ind w:right="617" w:firstLine="480" w:firstLineChars="20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695325" cy="238125"/>
            <wp:effectExtent l="0" t="0" r="9525" b="952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695325" cy="238125"/>
                    </a:xfrm>
                    <a:prstGeom prst="rect">
                      <a:avLst/>
                    </a:prstGeom>
                    <a:noFill/>
                    <a:ln>
                      <a:noFill/>
                    </a:ln>
                  </pic:spPr>
                </pic:pic>
              </a:graphicData>
            </a:graphic>
          </wp:inline>
        </w:drawing>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式中：P</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——单项质量指数；</w:t>
      </w:r>
    </w:p>
    <w:p>
      <w:pPr>
        <w:pStyle w:val="14"/>
        <w:spacing w:line="360" w:lineRule="auto"/>
        <w:ind w:right="617" w:firstLine="1200" w:firstLineChars="500"/>
        <w:jc w:val="both"/>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——评价因子i的实测浓度值（mg/L）；</w:t>
      </w:r>
    </w:p>
    <w:p>
      <w:pPr>
        <w:pStyle w:val="14"/>
        <w:spacing w:line="360" w:lineRule="auto"/>
        <w:ind w:right="617" w:firstLine="1200" w:firstLineChars="500"/>
        <w:jc w:val="both"/>
        <w:rPr>
          <w:color w:val="000000" w:themeColor="text1"/>
          <w14:textFill>
            <w14:solidFill>
              <w14:schemeClr w14:val="tx1"/>
            </w14:solidFill>
          </w14:textFill>
        </w:rPr>
      </w:pPr>
      <w:r>
        <w:rPr>
          <w:color w:val="000000" w:themeColor="text1"/>
          <w14:textFill>
            <w14:solidFill>
              <w14:schemeClr w14:val="tx1"/>
            </w14:solidFill>
          </w14:textFill>
        </w:rPr>
        <w:t>S</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——评价因子i的评价标准限值（mg/L）。</w:t>
      </w:r>
    </w:p>
    <w:p>
      <w:pPr>
        <w:pStyle w:val="14"/>
        <w:spacing w:line="360" w:lineRule="auto"/>
        <w:ind w:right="617" w:firstLine="480" w:firstLineChars="200"/>
        <w:jc w:val="both"/>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对具有上下限标准的项目pH，单项指数模式为：</w:t>
      </w:r>
    </w:p>
    <w:p>
      <w:pPr>
        <w:pStyle w:val="14"/>
        <w:spacing w:line="360" w:lineRule="auto"/>
        <w:ind w:right="617" w:firstLine="480" w:firstLineChars="200"/>
        <w:jc w:val="center"/>
        <w:rPr>
          <w:color w:val="000000" w:themeColor="text1"/>
          <w14:textFill>
            <w14:solidFill>
              <w14:schemeClr w14:val="tx1"/>
            </w14:solidFill>
          </w14:textFill>
        </w:rPr>
      </w:pP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pH</w:t>
      </w:r>
      <w:r>
        <w:rPr>
          <w:color w:val="000000" w:themeColor="text1"/>
          <w14:textFill>
            <w14:solidFill>
              <w14:schemeClr w14:val="tx1"/>
            </w14:solidFill>
          </w14:textFill>
        </w:rPr>
        <w:t>=（7.0-pH</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）/（7.0-pH</w:t>
      </w:r>
      <w:r>
        <w:rPr>
          <w:color w:val="000000" w:themeColor="text1"/>
          <w:vertAlign w:val="subscript"/>
          <w14:textFill>
            <w14:solidFill>
              <w14:schemeClr w14:val="tx1"/>
            </w14:solidFill>
          </w14:textFill>
        </w:rPr>
        <w:t>sd</w:t>
      </w:r>
      <w:r>
        <w:rPr>
          <w:color w:val="000000" w:themeColor="text1"/>
          <w14:textFill>
            <w14:solidFill>
              <w14:schemeClr w14:val="tx1"/>
            </w14:solidFill>
          </w14:textFill>
        </w:rPr>
        <w:t>）（pH</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sym w:font="Symbol" w:char="F0A3"/>
      </w:r>
      <w:r>
        <w:rPr>
          <w:color w:val="000000" w:themeColor="text1"/>
          <w14:textFill>
            <w14:solidFill>
              <w14:schemeClr w14:val="tx1"/>
            </w14:solidFill>
          </w14:textFill>
        </w:rPr>
        <w:t>7）</w:t>
      </w:r>
    </w:p>
    <w:p>
      <w:pPr>
        <w:pStyle w:val="14"/>
        <w:spacing w:line="360" w:lineRule="auto"/>
        <w:ind w:right="617" w:firstLine="480" w:firstLineChars="200"/>
        <w:jc w:val="center"/>
        <w:rPr>
          <w:color w:val="000000" w:themeColor="text1"/>
          <w14:textFill>
            <w14:solidFill>
              <w14:schemeClr w14:val="tx1"/>
            </w14:solidFill>
          </w14:textFill>
        </w:rPr>
      </w:pP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pH</w:t>
      </w:r>
      <w:r>
        <w:rPr>
          <w:color w:val="000000" w:themeColor="text1"/>
          <w14:textFill>
            <w14:solidFill>
              <w14:schemeClr w14:val="tx1"/>
            </w14:solidFill>
          </w14:textFill>
        </w:rPr>
        <w:t>=（pH</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-7.0）/（pH</w:t>
      </w:r>
      <w:r>
        <w:rPr>
          <w:color w:val="000000" w:themeColor="text1"/>
          <w:vertAlign w:val="subscript"/>
          <w14:textFill>
            <w14:solidFill>
              <w14:schemeClr w14:val="tx1"/>
            </w14:solidFill>
          </w14:textFill>
        </w:rPr>
        <w:t>su</w:t>
      </w:r>
      <w:r>
        <w:rPr>
          <w:color w:val="000000" w:themeColor="text1"/>
          <w14:textFill>
            <w14:solidFill>
              <w14:schemeClr w14:val="tx1"/>
            </w14:solidFill>
          </w14:textFill>
        </w:rPr>
        <w:t>-7.0）（pH</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&gt;7）</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式中：pH</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—pH实测值；</w:t>
      </w:r>
    </w:p>
    <w:p>
      <w:pPr>
        <w:pStyle w:val="14"/>
        <w:spacing w:line="360" w:lineRule="auto"/>
        <w:ind w:right="617" w:firstLine="1200" w:firstLineChars="500"/>
        <w:jc w:val="both"/>
        <w:rPr>
          <w:color w:val="000000" w:themeColor="text1"/>
          <w14:textFill>
            <w14:solidFill>
              <w14:schemeClr w14:val="tx1"/>
            </w14:solidFill>
          </w14:textFill>
        </w:rPr>
      </w:pPr>
      <w:r>
        <w:rPr>
          <w:color w:val="000000" w:themeColor="text1"/>
          <w14:textFill>
            <w14:solidFill>
              <w14:schemeClr w14:val="tx1"/>
            </w14:solidFill>
          </w14:textFill>
        </w:rPr>
        <w:t>pH</w:t>
      </w:r>
      <w:r>
        <w:rPr>
          <w:color w:val="000000" w:themeColor="text1"/>
          <w:vertAlign w:val="subscript"/>
          <w14:textFill>
            <w14:solidFill>
              <w14:schemeClr w14:val="tx1"/>
            </w14:solidFill>
          </w14:textFill>
        </w:rPr>
        <w:t>sd</w:t>
      </w:r>
      <w:r>
        <w:rPr>
          <w:color w:val="000000" w:themeColor="text1"/>
          <w14:textFill>
            <w14:solidFill>
              <w14:schemeClr w14:val="tx1"/>
            </w14:solidFill>
          </w14:textFill>
        </w:rPr>
        <w:t>－pH评价标准的下限值；</w:t>
      </w:r>
    </w:p>
    <w:p>
      <w:pPr>
        <w:pStyle w:val="14"/>
        <w:spacing w:line="360" w:lineRule="auto"/>
        <w:ind w:right="617" w:firstLine="1200" w:firstLineChars="500"/>
        <w:jc w:val="both"/>
        <w:rPr>
          <w:color w:val="000000" w:themeColor="text1"/>
          <w14:textFill>
            <w14:solidFill>
              <w14:schemeClr w14:val="tx1"/>
            </w14:solidFill>
          </w14:textFill>
        </w:rPr>
      </w:pPr>
      <w:r>
        <w:rPr>
          <w:color w:val="000000" w:themeColor="text1"/>
          <w14:textFill>
            <w14:solidFill>
              <w14:schemeClr w14:val="tx1"/>
            </w14:solidFill>
          </w14:textFill>
        </w:rPr>
        <w:t>pH</w:t>
      </w:r>
      <w:r>
        <w:rPr>
          <w:color w:val="000000" w:themeColor="text1"/>
          <w:vertAlign w:val="subscript"/>
          <w14:textFill>
            <w14:solidFill>
              <w14:schemeClr w14:val="tx1"/>
            </w14:solidFill>
          </w14:textFill>
        </w:rPr>
        <w:t>su</w:t>
      </w:r>
      <w:r>
        <w:rPr>
          <w:color w:val="000000" w:themeColor="text1"/>
          <w14:textFill>
            <w14:solidFill>
              <w14:schemeClr w14:val="tx1"/>
            </w14:solidFill>
          </w14:textFill>
        </w:rPr>
        <w:t>－pH评价标准的上限值。</w:t>
      </w:r>
    </w:p>
    <w:p>
      <w:pPr>
        <w:pStyle w:val="14"/>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水质参数的标准指数&gt;1，表明该项水质参数超过了规定的指数水质指标，已不能满足使用要求；水质参数的标准指数≤1，表明该项水质参数到达或优于规定的水质，完全符合国家标准，可以满足使用要求。</w:t>
      </w:r>
    </w:p>
    <w:p>
      <w:pPr>
        <w:pStyle w:val="14"/>
        <w:spacing w:line="360" w:lineRule="auto"/>
        <w:ind w:right="617"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4、评价结果</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现状监测数据及评价结果见表3.2-</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表3.2-</w:t>
      </w:r>
      <w:r>
        <w:rPr>
          <w:rFonts w:hint="eastAsia" w:eastAsia="黑体"/>
          <w:color w:val="000000" w:themeColor="text1"/>
          <w:szCs w:val="21"/>
          <w:lang w:val="en-US" w:eastAsia="zh-CN"/>
          <w14:textFill>
            <w14:solidFill>
              <w14:schemeClr w14:val="tx1"/>
            </w14:solidFill>
          </w14:textFill>
        </w:rPr>
        <w:t>7</w:t>
      </w:r>
      <w:r>
        <w:rPr>
          <w:rFonts w:eastAsia="黑体"/>
          <w:color w:val="000000" w:themeColor="text1"/>
          <w:szCs w:val="21"/>
          <w14:textFill>
            <w14:solidFill>
              <w14:schemeClr w14:val="tx1"/>
            </w14:solidFill>
          </w14:textFill>
        </w:rPr>
        <w:t>地表水水质现状监测评价结果</w:t>
      </w:r>
    </w:p>
    <w:tbl>
      <w:tblPr>
        <w:tblStyle w:val="38"/>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846"/>
        <w:gridCol w:w="1238"/>
        <w:gridCol w:w="981"/>
        <w:gridCol w:w="1719"/>
        <w:gridCol w:w="1146"/>
        <w:gridCol w:w="1283"/>
        <w:gridCol w:w="640"/>
        <w:gridCol w:w="66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监测点位</w:t>
            </w:r>
          </w:p>
        </w:tc>
        <w:tc>
          <w:tcPr>
            <w:tcW w:w="726"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监测项目</w:t>
            </w:r>
          </w:p>
        </w:tc>
        <w:tc>
          <w:tcPr>
            <w:tcW w:w="576"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采样时间</w:t>
            </w:r>
          </w:p>
        </w:tc>
        <w:tc>
          <w:tcPr>
            <w:tcW w:w="1008"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浓度（</w:t>
            </w:r>
            <w:r>
              <w:rPr>
                <w:rFonts w:hint="default"/>
                <w:b/>
                <w:bCs/>
                <w:color w:val="000000" w:themeColor="text1"/>
                <w14:textFill>
                  <w14:solidFill>
                    <w14:schemeClr w14:val="tx1"/>
                  </w14:solidFill>
                </w14:textFill>
              </w:rPr>
              <w:t>m</w:t>
            </w:r>
            <w:r>
              <w:rPr>
                <w:rFonts w:hint="default"/>
                <w:b/>
                <w:color w:val="000000" w:themeColor="text1"/>
                <w14:textFill>
                  <w14:solidFill>
                    <w14:schemeClr w14:val="tx1"/>
                  </w14:solidFill>
                </w14:textFill>
              </w:rPr>
              <w:t>g/m</w:t>
            </w:r>
            <w:r>
              <w:rPr>
                <w:rFonts w:hint="default"/>
                <w:b/>
                <w:color w:val="000000" w:themeColor="text1"/>
                <w:vertAlign w:val="superscript"/>
                <w14:textFill>
                  <w14:solidFill>
                    <w14:schemeClr w14:val="tx1"/>
                  </w14:solidFill>
                </w14:textFill>
              </w:rPr>
              <w:t>3</w:t>
            </w:r>
            <w:r>
              <w:rPr>
                <w:rFonts w:hint="default"/>
                <w:b/>
                <w:color w:val="000000" w:themeColor="text1"/>
                <w14:textFill>
                  <w14:solidFill>
                    <w14:schemeClr w14:val="tx1"/>
                  </w14:solidFill>
                </w14:textFill>
              </w:rPr>
              <w:t>）</w:t>
            </w:r>
          </w:p>
        </w:tc>
        <w:tc>
          <w:tcPr>
            <w:tcW w:w="672"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标准值</w:t>
            </w:r>
          </w:p>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（mg/m</w:t>
            </w:r>
            <w:r>
              <w:rPr>
                <w:rFonts w:hint="default"/>
                <w:b/>
                <w:color w:val="000000" w:themeColor="text1"/>
                <w:vertAlign w:val="superscript"/>
                <w14:textFill>
                  <w14:solidFill>
                    <w14:schemeClr w14:val="tx1"/>
                  </w14:solidFill>
                </w14:textFill>
              </w:rPr>
              <w:t>3</w:t>
            </w:r>
            <w:r>
              <w:rPr>
                <w:rFonts w:hint="default"/>
                <w:b/>
                <w:color w:val="000000" w:themeColor="text1"/>
                <w14:textFill>
                  <w14:solidFill>
                    <w14:schemeClr w14:val="tx1"/>
                  </w14:solidFill>
                </w14:textFill>
              </w:rPr>
              <w:t>）</w:t>
            </w:r>
          </w:p>
        </w:tc>
        <w:tc>
          <w:tcPr>
            <w:tcW w:w="752"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最大浓度单项质量指数</w:t>
            </w:r>
          </w:p>
        </w:tc>
        <w:tc>
          <w:tcPr>
            <w:tcW w:w="376"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是否</w:t>
            </w:r>
            <w:r>
              <w:rPr>
                <w:rFonts w:hint="default"/>
                <w:b/>
                <w:color w:val="000000" w:themeColor="text1"/>
                <w14:textFill>
                  <w14:solidFill>
                    <w14:schemeClr w14:val="tx1"/>
                  </w14:solidFill>
                </w14:textFill>
              </w:rPr>
              <w:t>超标</w:t>
            </w:r>
          </w:p>
        </w:tc>
        <w:tc>
          <w:tcPr>
            <w:tcW w:w="390" w:type="pct"/>
            <w:vAlign w:val="center"/>
          </w:tcPr>
          <w:p>
            <w:pPr>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南五、南六支渠上游</w:t>
            </w:r>
            <w:r>
              <w:rPr>
                <w:rFonts w:hint="eastAsia"/>
                <w:color w:val="000000" w:themeColor="text1"/>
                <w14:textFill>
                  <w14:solidFill>
                    <w14:schemeClr w14:val="tx1"/>
                  </w14:solidFill>
                </w14:textFill>
              </w:rPr>
              <w:t>（东风渠）</w:t>
            </w: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576" w:type="pct"/>
            <w:vMerge w:val="restar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2024.03.22~2024.03.24</w:t>
            </w: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7.1（无量纲）</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6~9</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p>
        </w:tc>
        <w:tc>
          <w:tcPr>
            <w:tcW w:w="576" w:type="pct"/>
            <w:vMerge w:val="continue"/>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8.9~9.4（</w:t>
            </w:r>
            <w:r>
              <w:rPr>
                <w:rFonts w:hint="default"/>
                <w:color w:val="000000" w:themeColor="text1"/>
                <w14:textFill>
                  <w14:solidFill>
                    <w14:schemeClr w14:val="tx1"/>
                  </w14:solidFill>
                </w14:textFill>
              </w:rPr>
              <w:t>℃</w:t>
            </w:r>
            <w:r>
              <w:rPr>
                <w:rFonts w:hint="eastAsia"/>
                <w:bCs/>
                <w:color w:val="000000" w:themeColor="text1"/>
                <w14:textFill>
                  <w14:solidFill>
                    <w14:schemeClr w14:val="tx1"/>
                  </w14:solidFill>
                </w14:textFill>
              </w:rPr>
              <w:t>）</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1.53~1.68</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0.255~0.28</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0.089~0.111</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≤1.0</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0.089~0.111</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0.02~0.03</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≤0.2</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0.1~0.15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restar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南五支渠下游（半截河</w:t>
            </w:r>
            <w:r>
              <w:rPr>
                <w:rFonts w:hint="eastAsia"/>
                <w:color w:val="000000" w:themeColor="text1"/>
                <w14:textFill>
                  <w14:solidFill>
                    <w14:schemeClr w14:val="tx1"/>
                  </w14:solidFill>
                </w14:textFill>
              </w:rPr>
              <w:t>2#支沟</w:t>
            </w:r>
            <w:r>
              <w:rPr>
                <w:rFonts w:hint="default"/>
                <w:color w:val="000000" w:themeColor="text1"/>
                <w14:textFill>
                  <w14:solidFill>
                    <w14:schemeClr w14:val="tx1"/>
                  </w14:solidFill>
                </w14:textFill>
              </w:rPr>
              <w:t>）</w:t>
            </w: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576" w:type="pct"/>
            <w:vMerge w:val="restar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2024.03.22~2024.03.24</w:t>
            </w: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7.0~7.1（无量纲）</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6~9</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0~0.05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p>
        </w:tc>
        <w:tc>
          <w:tcPr>
            <w:tcW w:w="576" w:type="pct"/>
            <w:vMerge w:val="continue"/>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8.7~9.2（</w:t>
            </w:r>
            <w:r>
              <w:rPr>
                <w:rFonts w:hint="default"/>
                <w:color w:val="000000" w:themeColor="text1"/>
                <w14:textFill>
                  <w14:solidFill>
                    <w14:schemeClr w14:val="tx1"/>
                  </w14:solidFill>
                </w14:textFill>
              </w:rPr>
              <w:t>℃</w:t>
            </w:r>
            <w:r>
              <w:rPr>
                <w:rFonts w:hint="eastAsia"/>
                <w:bCs/>
                <w:color w:val="000000" w:themeColor="text1"/>
                <w14:textFill>
                  <w14:solidFill>
                    <w14:schemeClr w14:val="tx1"/>
                  </w14:solidFill>
                </w14:textFill>
              </w:rPr>
              <w:t>）</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1.26~1.34</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0.21~0.22</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0.183~0.217</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≤1.0</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0.183~0.217</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0.02</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≤0.2</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restart"/>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南五、南六支渠下游（西河）</w:t>
            </w: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576" w:type="pct"/>
            <w:vMerge w:val="restart"/>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2024.03.22~2024.03.24</w:t>
            </w: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7.0~7.1（无量纲）</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6~9</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0~0.05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p>
        </w:tc>
        <w:tc>
          <w:tcPr>
            <w:tcW w:w="576" w:type="pct"/>
            <w:vMerge w:val="continue"/>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9.7~10.7（</w:t>
            </w:r>
            <w:r>
              <w:rPr>
                <w:rFonts w:hint="default"/>
                <w:color w:val="000000" w:themeColor="text1"/>
                <w14:textFill>
                  <w14:solidFill>
                    <w14:schemeClr w14:val="tx1"/>
                  </w14:solidFill>
                </w14:textFill>
              </w:rPr>
              <w:t>℃</w:t>
            </w:r>
            <w:r>
              <w:rPr>
                <w:rFonts w:hint="eastAsia"/>
                <w:bCs/>
                <w:color w:val="000000" w:themeColor="text1"/>
                <w14:textFill>
                  <w14:solidFill>
                    <w14:schemeClr w14:val="tx1"/>
                  </w14:solidFill>
                </w14:textFill>
              </w:rPr>
              <w:t>）</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1.79~1.92</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0.3~0.32</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0.156~0.183</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≤1.0</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0.156~0.183</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0.03</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≤0.2</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restart"/>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北支一渠</w:t>
            </w:r>
            <w:r>
              <w:rPr>
                <w:rFonts w:hint="eastAsia"/>
                <w:color w:val="000000" w:themeColor="text1"/>
                <w14:textFill>
                  <w14:solidFill>
                    <w14:schemeClr w14:val="tx1"/>
                  </w14:solidFill>
                </w14:textFill>
              </w:rPr>
              <w:t>（上）</w:t>
            </w:r>
            <w:r>
              <w:rPr>
                <w:rFonts w:hint="default"/>
                <w:color w:val="000000" w:themeColor="text1"/>
                <w14:textFill>
                  <w14:solidFill>
                    <w14:schemeClr w14:val="tx1"/>
                  </w14:solidFill>
                </w14:textFill>
              </w:rPr>
              <w:t>上游、董家堰补水渠</w:t>
            </w:r>
            <w:r>
              <w:rPr>
                <w:rFonts w:hint="eastAsia"/>
                <w:color w:val="000000" w:themeColor="text1"/>
                <w14:textFill>
                  <w14:solidFill>
                    <w14:schemeClr w14:val="tx1"/>
                  </w14:solidFill>
                </w14:textFill>
              </w:rPr>
              <w:t>（上、下）上</w:t>
            </w:r>
            <w:r>
              <w:rPr>
                <w:rFonts w:hint="default"/>
                <w:color w:val="000000" w:themeColor="text1"/>
                <w14:textFill>
                  <w14:solidFill>
                    <w14:schemeClr w14:val="tx1"/>
                  </w14:solidFill>
                </w14:textFill>
              </w:rPr>
              <w:t>游</w:t>
            </w: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576" w:type="pct"/>
            <w:vMerge w:val="restart"/>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2024.03.22~2024.03.24</w:t>
            </w: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7.0~7.1（无量纲）</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6~9</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0~0.05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p>
        </w:tc>
        <w:tc>
          <w:tcPr>
            <w:tcW w:w="576" w:type="pct"/>
            <w:vMerge w:val="continue"/>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9.7~11.2（</w:t>
            </w:r>
            <w:r>
              <w:rPr>
                <w:rFonts w:hint="default"/>
                <w:color w:val="000000" w:themeColor="text1"/>
                <w14:textFill>
                  <w14:solidFill>
                    <w14:schemeClr w14:val="tx1"/>
                  </w14:solidFill>
                </w14:textFill>
              </w:rPr>
              <w:t>℃</w:t>
            </w:r>
            <w:r>
              <w:rPr>
                <w:rFonts w:hint="eastAsia"/>
                <w:bCs/>
                <w:color w:val="000000" w:themeColor="text1"/>
                <w14:textFill>
                  <w14:solidFill>
                    <w14:schemeClr w14:val="tx1"/>
                  </w14:solidFill>
                </w14:textFill>
              </w:rPr>
              <w:t>）</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1.31~1.71</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0.218~0.285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0.25~0.272</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≤1.0</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0.25~0.272</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0.04~0.08</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≤0.2</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0.2~0.4</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restar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北支一渠（上）下游</w:t>
            </w:r>
          </w:p>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576" w:type="pct"/>
            <w:vMerge w:val="restart"/>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2024.03.22~2024.03.24</w:t>
            </w: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7.0~7.1（无量纲）</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6~9</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0~0.05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p>
        </w:tc>
        <w:tc>
          <w:tcPr>
            <w:tcW w:w="576" w:type="pct"/>
            <w:vMerge w:val="continue"/>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10.9~11.2</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1.69~1.95</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0.282~0.325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0.306~0.328</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≤1.0</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0.306~0.328</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0.04</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≤0.2</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restart"/>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董家堰补水渠（上、下）下游</w:t>
            </w: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576" w:type="pct"/>
            <w:vMerge w:val="restart"/>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2024.03.22~2024.03.24</w:t>
            </w: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7.0~7.1（无量纲）</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6~9</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0~0.05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水温</w:t>
            </w:r>
          </w:p>
        </w:tc>
        <w:tc>
          <w:tcPr>
            <w:tcW w:w="576" w:type="pct"/>
            <w:vMerge w:val="continue"/>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10.8~11.4（</w:t>
            </w:r>
            <w:r>
              <w:rPr>
                <w:rFonts w:hint="default"/>
                <w:color w:val="000000" w:themeColor="text1"/>
                <w14:textFill>
                  <w14:solidFill>
                    <w14:schemeClr w14:val="tx1"/>
                  </w14:solidFill>
                </w14:textFill>
              </w:rPr>
              <w:t>℃</w:t>
            </w:r>
            <w:r>
              <w:rPr>
                <w:rFonts w:hint="eastAsia"/>
                <w:bCs/>
                <w:color w:val="000000" w:themeColor="text1"/>
                <w14:textFill>
                  <w14:solidFill>
                    <w14:schemeClr w14:val="tx1"/>
                  </w14:solidFill>
                </w14:textFill>
              </w:rPr>
              <w:t>）</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高锰酸盐指数</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1.24~1.49</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≤6</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0.04~0.248</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氨氮</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0.139~0.35</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≤1.0</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0.139~0.35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4" w:hRule="atLeast"/>
          <w:jc w:val="center"/>
        </w:trPr>
        <w:tc>
          <w:tcPr>
            <w:tcW w:w="496" w:type="pct"/>
            <w:vMerge w:val="continue"/>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26" w:type="pct"/>
            <w:vAlign w:val="center"/>
          </w:tcPr>
          <w:p>
            <w:pPr>
              <w:pStyle w:val="34"/>
              <w:keepNext w:val="0"/>
              <w:keepLines w:val="0"/>
              <w:suppressLineNumbers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总磷</w:t>
            </w:r>
          </w:p>
        </w:tc>
        <w:tc>
          <w:tcPr>
            <w:tcW w:w="576" w:type="pct"/>
            <w:vMerge w:val="continue"/>
            <w:vAlign w:val="center"/>
          </w:tcPr>
          <w:p>
            <w:pPr>
              <w:keepNext w:val="0"/>
              <w:keepLines w:val="0"/>
              <w:widowControl/>
              <w:suppressLineNumbers w:val="0"/>
              <w:spacing w:before="0" w:beforeAutospacing="0" w:after="0" w:afterAutospacing="0"/>
              <w:ind w:left="0" w:right="0"/>
              <w:jc w:val="center"/>
              <w:rPr>
                <w:rFonts w:hint="default"/>
                <w:bCs/>
                <w:color w:val="000000" w:themeColor="text1"/>
                <w14:textFill>
                  <w14:solidFill>
                    <w14:schemeClr w14:val="tx1"/>
                  </w14:solidFill>
                </w14:textFill>
              </w:rPr>
            </w:pPr>
          </w:p>
        </w:tc>
        <w:tc>
          <w:tcPr>
            <w:tcW w:w="1008"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0.04~0.05</w:t>
            </w:r>
          </w:p>
        </w:tc>
        <w:tc>
          <w:tcPr>
            <w:tcW w:w="67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default"/>
                <w:bCs/>
                <w:color w:val="000000" w:themeColor="text1"/>
                <w14:textFill>
                  <w14:solidFill>
                    <w14:schemeClr w14:val="tx1"/>
                  </w14:solidFill>
                </w14:textFill>
              </w:rPr>
              <w:t>≤0.2</w:t>
            </w:r>
          </w:p>
        </w:tc>
        <w:tc>
          <w:tcPr>
            <w:tcW w:w="752"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0.2~0.25</w:t>
            </w:r>
          </w:p>
        </w:tc>
        <w:tc>
          <w:tcPr>
            <w:tcW w:w="376" w:type="pct"/>
            <w:vAlign w:val="center"/>
          </w:tcPr>
          <w:p>
            <w:pPr>
              <w:keepNext w:val="0"/>
              <w:keepLines w:val="0"/>
              <w:suppressLineNumbers w:val="0"/>
              <w:spacing w:before="0" w:beforeAutospacing="0" w:after="0" w:afterAutospacing="0"/>
              <w:ind w:left="0" w:right="0"/>
              <w:jc w:val="center"/>
              <w:rPr>
                <w:rFonts w:hint="default"/>
                <w:bCs/>
                <w:color w:val="000000" w:themeColor="text1"/>
                <w14:textFill>
                  <w14:solidFill>
                    <w14:schemeClr w14:val="tx1"/>
                  </w14:solidFill>
                </w14:textFill>
              </w:rPr>
            </w:pPr>
            <w:r>
              <w:rPr>
                <w:rFonts w:hint="eastAsia"/>
                <w:bCs/>
                <w:color w:val="000000" w:themeColor="text1"/>
                <w14:textFill>
                  <w14:solidFill>
                    <w14:schemeClr w14:val="tx1"/>
                  </w14:solidFill>
                </w14:textFill>
              </w:rPr>
              <w:t>否</w:t>
            </w:r>
          </w:p>
        </w:tc>
        <w:tc>
          <w:tcPr>
            <w:tcW w:w="390" w:type="pct"/>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达标</w:t>
            </w:r>
          </w:p>
        </w:tc>
      </w:tr>
    </w:tbl>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由以上监测数据分析表明：</w:t>
      </w:r>
      <w:r>
        <w:rPr>
          <w:rFonts w:hint="eastAsia"/>
          <w:color w:val="000000" w:themeColor="text1"/>
          <w14:textFill>
            <w14:solidFill>
              <w14:schemeClr w14:val="tx1"/>
            </w14:solidFill>
          </w14:textFill>
        </w:rPr>
        <w:t>本项目涉及渠道上、下游地表水中</w:t>
      </w:r>
      <w:r>
        <w:rPr>
          <w:rFonts w:hint="eastAsia"/>
          <w:color w:val="000000" w:themeColor="text1"/>
          <w:sz w:val="21"/>
          <w:szCs w:val="21"/>
          <w14:textFill>
            <w14:solidFill>
              <w14:schemeClr w14:val="tx1"/>
            </w14:solidFill>
          </w14:textFill>
        </w:rPr>
        <w:t>pH、</w:t>
      </w:r>
      <w:r>
        <w:rPr>
          <w:rFonts w:hint="eastAsia"/>
          <w:color w:val="000000" w:themeColor="text1"/>
          <w14:textFill>
            <w14:solidFill>
              <w14:schemeClr w14:val="tx1"/>
            </w14:solidFill>
          </w14:textFill>
        </w:rPr>
        <w:t>高锰酸盐指数、氨氮、总磷</w:t>
      </w:r>
      <w:r>
        <w:rPr>
          <w:color w:val="000000" w:themeColor="text1"/>
          <w14:textFill>
            <w14:solidFill>
              <w14:schemeClr w14:val="tx1"/>
            </w14:solidFill>
          </w14:textFill>
        </w:rPr>
        <w:t>均满足《地表水环境质量标准》（GB3838-2002）中的III类标准，项目所在区域地表水环境质量现状良好。</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433" w:name="_Toc4463"/>
      <w:bookmarkStart w:id="434" w:name="_Toc32480"/>
      <w:bookmarkStart w:id="435" w:name="_Toc3381"/>
      <w:bookmarkStart w:id="436" w:name="_Toc2242282"/>
      <w:bookmarkStart w:id="437" w:name="_Toc70496296"/>
      <w:bookmarkStart w:id="438" w:name="_Toc20229"/>
      <w:bookmarkStart w:id="439" w:name="_Toc32391"/>
      <w:r>
        <w:rPr>
          <w:rFonts w:ascii="Times New Roman" w:hAnsi="Times New Roman" w:cs="Times New Roman"/>
          <w:color w:val="000000" w:themeColor="text1"/>
          <w14:textFill>
            <w14:solidFill>
              <w14:schemeClr w14:val="tx1"/>
            </w14:solidFill>
          </w14:textFill>
        </w:rPr>
        <w:t>3.2.</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声环境质量现状评价</w:t>
      </w:r>
      <w:bookmarkEnd w:id="433"/>
      <w:bookmarkEnd w:id="434"/>
      <w:bookmarkEnd w:id="435"/>
      <w:bookmarkEnd w:id="436"/>
      <w:bookmarkEnd w:id="437"/>
      <w:bookmarkEnd w:id="438"/>
      <w:bookmarkEnd w:id="439"/>
    </w:p>
    <w:p>
      <w:pPr>
        <w:pStyle w:val="14"/>
        <w:spacing w:line="360" w:lineRule="auto"/>
        <w:ind w:firstLine="482" w:firstLineChars="200"/>
        <w:rPr>
          <w:b/>
          <w:color w:val="000000" w:themeColor="text1"/>
          <w14:textFill>
            <w14:solidFill>
              <w14:schemeClr w14:val="tx1"/>
            </w14:solidFill>
          </w14:textFill>
        </w:rPr>
      </w:pPr>
      <w:r>
        <w:rPr>
          <w:b/>
          <w:color w:val="000000" w:themeColor="text1"/>
          <w14:textFill>
            <w14:solidFill>
              <w14:schemeClr w14:val="tx1"/>
            </w14:solidFill>
          </w14:textFill>
        </w:rPr>
        <w:t>1、噪声监测点位布设</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根据项目情况，</w:t>
      </w:r>
      <w:r>
        <w:rPr>
          <w:rFonts w:hint="default" w:ascii="Times New Roman" w:hAnsi="Times New Roman" w:cs="Times New Roman"/>
          <w:color w:val="000000" w:themeColor="text1"/>
          <w:sz w:val="24"/>
          <w:szCs w:val="24"/>
          <w:lang w:val="en-US" w:eastAsia="zh-CN"/>
          <w14:textFill>
            <w14:solidFill>
              <w14:schemeClr w14:val="tx1"/>
            </w14:solidFill>
          </w14:textFill>
        </w:rPr>
        <w:t>本次监测于2024年2月23~24日在各渠道所在区域</w:t>
      </w:r>
      <w:r>
        <w:rPr>
          <w:rFonts w:hint="eastAsia" w:ascii="Times New Roman" w:hAnsi="Times New Roman" w:cs="Times New Roman"/>
          <w:color w:val="000000" w:themeColor="text1"/>
          <w:sz w:val="24"/>
          <w:szCs w:val="24"/>
          <w:lang w:val="en-US" w:eastAsia="zh-CN"/>
          <w14:textFill>
            <w14:solidFill>
              <w14:schemeClr w14:val="tx1"/>
            </w14:solidFill>
          </w14:textFill>
        </w:rPr>
        <w:t>附近</w:t>
      </w:r>
      <w:r>
        <w:rPr>
          <w:rFonts w:hint="default" w:ascii="Times New Roman" w:hAnsi="Times New Roman" w:cs="Times New Roman"/>
          <w:color w:val="000000" w:themeColor="text1"/>
          <w:sz w:val="24"/>
          <w:szCs w:val="24"/>
          <w14:textFill>
            <w14:solidFill>
              <w14:schemeClr w14:val="tx1"/>
            </w14:solidFill>
          </w14:textFill>
        </w:rPr>
        <w:t>设置3个噪声监测点。具体监测点位置见下表。</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3.2-</w:t>
      </w:r>
      <w:r>
        <w:rPr>
          <w:rFonts w:hint="eastAsia" w:eastAsia="黑体"/>
          <w:color w:val="000000" w:themeColor="text1"/>
          <w:szCs w:val="21"/>
          <w:lang w:val="en-US" w:eastAsia="zh-CN"/>
          <w14:textFill>
            <w14:solidFill>
              <w14:schemeClr w14:val="tx1"/>
            </w14:solidFill>
          </w14:textFill>
        </w:rPr>
        <w:t xml:space="preserve">8 </w:t>
      </w:r>
      <w:r>
        <w:rPr>
          <w:rFonts w:eastAsia="黑体"/>
          <w:color w:val="000000" w:themeColor="text1"/>
          <w:szCs w:val="21"/>
          <w14:textFill>
            <w14:solidFill>
              <w14:schemeClr w14:val="tx1"/>
            </w14:solidFill>
          </w14:textFill>
        </w:rPr>
        <w:t>噪声监测点位设置</w:t>
      </w:r>
    </w:p>
    <w:tbl>
      <w:tblPr>
        <w:tblStyle w:val="38"/>
        <w:tblW w:w="49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2"/>
        <w:gridCol w:w="6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blHeader/>
          <w:jc w:val="center"/>
        </w:trPr>
        <w:tc>
          <w:tcPr>
            <w:tcW w:w="1347" w:type="pct"/>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序号</w:t>
            </w:r>
          </w:p>
        </w:tc>
        <w:tc>
          <w:tcPr>
            <w:tcW w:w="3652" w:type="pct"/>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监测点位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347"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1</w:t>
            </w:r>
          </w:p>
        </w:tc>
        <w:tc>
          <w:tcPr>
            <w:tcW w:w="365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北支一渠1#居民</w:t>
            </w:r>
            <w:r>
              <w:rPr>
                <w:rFonts w:hint="eastAsia" w:eastAsia="宋"/>
                <w:color w:val="000000" w:themeColor="text1"/>
                <w:szCs w:val="21"/>
                <w14:textFill>
                  <w14:solidFill>
                    <w14:schemeClr w14:val="tx1"/>
                  </w14:solidFill>
                </w14:textFill>
              </w:rPr>
              <w:t>（狮子湖西侧居民点</w:t>
            </w:r>
            <w:r>
              <w:rPr>
                <w:rFonts w:hint="eastAsia" w:eastAsia="宋"/>
                <w:color w:val="000000" w:themeColor="text1"/>
                <w:szCs w:val="21"/>
                <w:lang w:eastAsia="zh-CN"/>
                <w14:textFill>
                  <w14:solidFill>
                    <w14:schemeClr w14:val="tx1"/>
                  </w14:solidFill>
                </w14:textFill>
              </w:rPr>
              <w:t>，</w:t>
            </w:r>
            <w:r>
              <w:rPr>
                <w:rFonts w:hint="eastAsia" w:eastAsia="宋"/>
                <w:color w:val="000000" w:themeColor="text1"/>
                <w:szCs w:val="21"/>
                <w:lang w:val="en-US" w:eastAsia="zh-CN"/>
                <w14:textFill>
                  <w14:solidFill>
                    <w14:schemeClr w14:val="tx1"/>
                  </w14:solidFill>
                </w14:textFill>
              </w:rPr>
              <w:t>1F</w:t>
            </w:r>
            <w:r>
              <w:rPr>
                <w:rFonts w:hint="eastAsia" w:eastAsia="宋"/>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347"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2</w:t>
            </w:r>
          </w:p>
        </w:tc>
        <w:tc>
          <w:tcPr>
            <w:tcW w:w="365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北支一渠</w:t>
            </w:r>
            <w:r>
              <w:rPr>
                <w:rFonts w:hint="eastAsia" w:eastAsia="宋"/>
                <w:color w:val="000000" w:themeColor="text1"/>
                <w:szCs w:val="21"/>
                <w14:textFill>
                  <w14:solidFill>
                    <w14:schemeClr w14:val="tx1"/>
                  </w14:solidFill>
                </w14:textFill>
              </w:rPr>
              <w:t>3</w:t>
            </w:r>
            <w:r>
              <w:rPr>
                <w:rFonts w:hint="default" w:eastAsia="宋"/>
                <w:color w:val="000000" w:themeColor="text1"/>
                <w:szCs w:val="21"/>
                <w14:textFill>
                  <w14:solidFill>
                    <w14:schemeClr w14:val="tx1"/>
                  </w14:solidFill>
                </w14:textFill>
              </w:rPr>
              <w:t>#居民</w:t>
            </w:r>
            <w:r>
              <w:rPr>
                <w:rFonts w:hint="eastAsia" w:eastAsia="宋"/>
                <w:color w:val="000000" w:themeColor="text1"/>
                <w:szCs w:val="21"/>
                <w14:textFill>
                  <w14:solidFill>
                    <w14:schemeClr w14:val="tx1"/>
                  </w14:solidFill>
                </w14:textFill>
              </w:rPr>
              <w:t>（狮子湖南侧1#居民点</w:t>
            </w:r>
            <w:r>
              <w:rPr>
                <w:rFonts w:hint="eastAsia" w:eastAsia="宋"/>
                <w:color w:val="000000" w:themeColor="text1"/>
                <w:szCs w:val="21"/>
                <w:lang w:eastAsia="zh-CN"/>
                <w14:textFill>
                  <w14:solidFill>
                    <w14:schemeClr w14:val="tx1"/>
                  </w14:solidFill>
                </w14:textFill>
              </w:rPr>
              <w:t>，</w:t>
            </w:r>
            <w:r>
              <w:rPr>
                <w:rFonts w:hint="eastAsia" w:eastAsia="宋"/>
                <w:color w:val="000000" w:themeColor="text1"/>
                <w:szCs w:val="21"/>
                <w:lang w:val="en-US" w:eastAsia="zh-CN"/>
                <w14:textFill>
                  <w14:solidFill>
                    <w14:schemeClr w14:val="tx1"/>
                  </w14:solidFill>
                </w14:textFill>
              </w:rPr>
              <w:t>2F</w:t>
            </w:r>
            <w:r>
              <w:rPr>
                <w:rFonts w:hint="eastAsia" w:eastAsia="宋"/>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347"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3</w:t>
            </w:r>
          </w:p>
        </w:tc>
        <w:tc>
          <w:tcPr>
            <w:tcW w:w="365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北支一渠4#居民</w:t>
            </w:r>
            <w:r>
              <w:rPr>
                <w:rFonts w:hint="eastAsia" w:eastAsia="宋"/>
                <w:color w:val="000000" w:themeColor="text1"/>
                <w:szCs w:val="21"/>
                <w14:textFill>
                  <w14:solidFill>
                    <w14:schemeClr w14:val="tx1"/>
                  </w14:solidFill>
                </w14:textFill>
              </w:rPr>
              <w:t>（保利湖心岛</w:t>
            </w:r>
            <w:r>
              <w:rPr>
                <w:rFonts w:hint="eastAsia" w:eastAsia="宋"/>
                <w:color w:val="000000" w:themeColor="text1"/>
                <w:szCs w:val="21"/>
                <w:lang w:eastAsia="zh-CN"/>
                <w14:textFill>
                  <w14:solidFill>
                    <w14:schemeClr w14:val="tx1"/>
                  </w14:solidFill>
                </w14:textFill>
              </w:rPr>
              <w:t>，</w:t>
            </w:r>
            <w:r>
              <w:rPr>
                <w:rFonts w:hint="eastAsia" w:eastAsia="宋"/>
                <w:color w:val="000000" w:themeColor="text1"/>
                <w:szCs w:val="21"/>
                <w:lang w:val="en-US" w:eastAsia="zh-CN"/>
                <w14:textFill>
                  <w14:solidFill>
                    <w14:schemeClr w14:val="tx1"/>
                  </w14:solidFill>
                </w14:textFill>
              </w:rPr>
              <w:t>2F</w:t>
            </w:r>
            <w:r>
              <w:rPr>
                <w:rFonts w:hint="eastAsia" w:eastAsia="宋"/>
                <w:color w:val="000000" w:themeColor="text1"/>
                <w:szCs w:val="21"/>
                <w14:textFill>
                  <w14:solidFill>
                    <w14:schemeClr w14:val="tx1"/>
                  </w14:solidFill>
                </w14:textFill>
              </w:rPr>
              <w:t>）</w:t>
            </w:r>
          </w:p>
        </w:tc>
      </w:tr>
    </w:tbl>
    <w:p>
      <w:pPr>
        <w:pStyle w:val="14"/>
        <w:spacing w:line="360" w:lineRule="auto"/>
        <w:ind w:right="617"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2、监测时间</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监测</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天，分别测定昼间和夜间的环境等效A声级。</w:t>
      </w:r>
    </w:p>
    <w:p>
      <w:pPr>
        <w:pStyle w:val="14"/>
        <w:spacing w:line="360" w:lineRule="auto"/>
        <w:ind w:right="617"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3、监测方法</w:t>
      </w:r>
    </w:p>
    <w:p>
      <w:pPr>
        <w:pStyle w:val="14"/>
        <w:spacing w:line="360" w:lineRule="auto"/>
        <w:ind w:right="617"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按《环境监测技术规范（噪声部分）》规定进行监测。</w:t>
      </w:r>
    </w:p>
    <w:p>
      <w:pPr>
        <w:pStyle w:val="14"/>
        <w:spacing w:line="360" w:lineRule="auto"/>
        <w:ind w:right="617"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4、环境噪声现状评价</w:t>
      </w:r>
    </w:p>
    <w:p>
      <w:pPr>
        <w:pStyle w:val="14"/>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采用噪声值与标准值直接比较法，评价项目建设区域声环境现状。监测及评价结果见表3.2-</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3.2-</w:t>
      </w:r>
      <w:r>
        <w:rPr>
          <w:rFonts w:hint="eastAsia" w:eastAsia="黑体"/>
          <w:color w:val="000000" w:themeColor="text1"/>
          <w:szCs w:val="21"/>
          <w:lang w:val="en-US" w:eastAsia="zh-CN"/>
          <w14:textFill>
            <w14:solidFill>
              <w14:schemeClr w14:val="tx1"/>
            </w14:solidFill>
          </w14:textFill>
        </w:rPr>
        <w:t xml:space="preserve">9 </w:t>
      </w:r>
      <w:r>
        <w:rPr>
          <w:rFonts w:eastAsia="黑体"/>
          <w:color w:val="000000" w:themeColor="text1"/>
          <w:szCs w:val="21"/>
          <w14:textFill>
            <w14:solidFill>
              <w14:schemeClr w14:val="tx1"/>
            </w14:solidFill>
          </w14:textFill>
        </w:rPr>
        <w:t>噪声监测结果统计表</w:t>
      </w:r>
    </w:p>
    <w:tbl>
      <w:tblPr>
        <w:tblStyle w:val="38"/>
        <w:tblW w:w="493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090"/>
        <w:gridCol w:w="1449"/>
        <w:gridCol w:w="1424"/>
        <w:gridCol w:w="1571"/>
        <w:gridCol w:w="27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660" w:type="pct"/>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14:textFill>
                  <w14:solidFill>
                    <w14:schemeClr w14:val="tx1"/>
                  </w14:solidFill>
                </w14:textFill>
              </w:rPr>
            </w:pPr>
            <w:r>
              <w:rPr>
                <w:rFonts w:hint="default" w:eastAsia="宋"/>
                <w:b/>
                <w:color w:val="000000" w:themeColor="text1"/>
                <w:szCs w:val="21"/>
                <w14:textFill>
                  <w14:solidFill>
                    <w14:schemeClr w14:val="tx1"/>
                  </w14:solidFill>
                </w14:textFill>
              </w:rPr>
              <w:t>监测时间</w:t>
            </w:r>
          </w:p>
        </w:tc>
        <w:tc>
          <w:tcPr>
            <w:tcW w:w="877" w:type="pct"/>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14:textFill>
                  <w14:solidFill>
                    <w14:schemeClr w14:val="tx1"/>
                  </w14:solidFill>
                </w14:textFill>
              </w:rPr>
            </w:pPr>
            <w:r>
              <w:rPr>
                <w:rFonts w:hint="default" w:eastAsia="宋"/>
                <w:b/>
                <w:color w:val="000000" w:themeColor="text1"/>
                <w:szCs w:val="21"/>
                <w14:textFill>
                  <w14:solidFill>
                    <w14:schemeClr w14:val="tx1"/>
                  </w14:solidFill>
                </w14:textFill>
              </w:rPr>
              <w:t>监测点位</w:t>
            </w:r>
          </w:p>
        </w:tc>
        <w:tc>
          <w:tcPr>
            <w:tcW w:w="862" w:type="pct"/>
            <w:vAlign w:val="center"/>
          </w:tcPr>
          <w:p>
            <w:pPr>
              <w:pStyle w:val="64"/>
              <w:keepNext w:val="0"/>
              <w:keepLines w:val="0"/>
              <w:suppressLineNumbers w:val="0"/>
              <w:snapToGrid w:val="0"/>
              <w:spacing w:before="0" w:beforeAutospacing="0" w:after="0" w:afterAutospacing="0"/>
              <w:ind w:left="0" w:right="0"/>
              <w:rPr>
                <w:rFonts w:hint="default" w:eastAsia="宋"/>
                <w:b/>
                <w:color w:val="000000" w:themeColor="text1"/>
                <w:szCs w:val="21"/>
                <w14:textFill>
                  <w14:solidFill>
                    <w14:schemeClr w14:val="tx1"/>
                  </w14:solidFill>
                </w14:textFill>
              </w:rPr>
            </w:pPr>
            <w:r>
              <w:rPr>
                <w:rFonts w:hint="default" w:eastAsia="宋"/>
                <w:b/>
                <w:color w:val="000000" w:themeColor="text1"/>
                <w:szCs w:val="21"/>
                <w14:textFill>
                  <w14:solidFill>
                    <w14:schemeClr w14:val="tx1"/>
                  </w14:solidFill>
                </w14:textFill>
              </w:rPr>
              <w:t>监测时段</w:t>
            </w:r>
          </w:p>
        </w:tc>
        <w:tc>
          <w:tcPr>
            <w:tcW w:w="951" w:type="pct"/>
            <w:vAlign w:val="center"/>
          </w:tcPr>
          <w:p>
            <w:pPr>
              <w:pStyle w:val="64"/>
              <w:keepNext w:val="0"/>
              <w:keepLines w:val="0"/>
              <w:suppressLineNumbers w:val="0"/>
              <w:snapToGrid w:val="0"/>
              <w:spacing w:before="0" w:beforeAutospacing="0" w:after="0" w:afterAutospacing="0"/>
              <w:ind w:left="0" w:right="0"/>
              <w:rPr>
                <w:rFonts w:hint="default" w:eastAsia="宋"/>
                <w:b/>
                <w:color w:val="000000" w:themeColor="text1"/>
                <w:szCs w:val="21"/>
                <w14:textFill>
                  <w14:solidFill>
                    <w14:schemeClr w14:val="tx1"/>
                  </w14:solidFill>
                </w14:textFill>
              </w:rPr>
            </w:pPr>
            <w:r>
              <w:rPr>
                <w:rFonts w:hint="default" w:eastAsia="宋"/>
                <w:b/>
                <w:color w:val="000000" w:themeColor="text1"/>
                <w:szCs w:val="21"/>
                <w14:textFill>
                  <w14:solidFill>
                    <w14:schemeClr w14:val="tx1"/>
                  </w14:solidFill>
                </w14:textFill>
              </w:rPr>
              <w:t>监测结果dB(A)</w:t>
            </w:r>
          </w:p>
        </w:tc>
        <w:tc>
          <w:tcPr>
            <w:tcW w:w="1648" w:type="pct"/>
            <w:vAlign w:val="center"/>
          </w:tcPr>
          <w:p>
            <w:pPr>
              <w:pStyle w:val="64"/>
              <w:keepNext w:val="0"/>
              <w:keepLines w:val="0"/>
              <w:suppressLineNumbers w:val="0"/>
              <w:snapToGrid w:val="0"/>
              <w:spacing w:before="0" w:beforeAutospacing="0" w:after="0" w:afterAutospacing="0"/>
              <w:ind w:left="0" w:right="0"/>
              <w:rPr>
                <w:rFonts w:hint="default" w:eastAsia="宋"/>
                <w:b/>
                <w:color w:val="000000" w:themeColor="text1"/>
                <w:szCs w:val="21"/>
                <w14:textFill>
                  <w14:solidFill>
                    <w14:schemeClr w14:val="tx1"/>
                  </w14:solidFill>
                </w14:textFill>
              </w:rPr>
            </w:pPr>
            <w:r>
              <w:rPr>
                <w:rFonts w:hint="default" w:eastAsia="宋"/>
                <w:b/>
                <w:color w:val="000000" w:themeColor="text1"/>
                <w:szCs w:val="21"/>
                <w14:textFill>
                  <w14:solidFill>
                    <w14:schemeClr w14:val="tx1"/>
                  </w14:solidFill>
                </w14:textFill>
              </w:rPr>
              <w:t>（GB3096-2008）中2类标准限值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660" w:type="pct"/>
            <w:vMerge w:val="restar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2024.2.23</w:t>
            </w:r>
          </w:p>
        </w:tc>
        <w:tc>
          <w:tcPr>
            <w:tcW w:w="877" w:type="pct"/>
            <w:vMerge w:val="restar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北支一渠1#居民</w:t>
            </w:r>
            <w:r>
              <w:rPr>
                <w:rFonts w:hint="eastAsia" w:eastAsia="宋"/>
                <w:color w:val="000000" w:themeColor="text1"/>
                <w:szCs w:val="21"/>
                <w14:textFill>
                  <w14:solidFill>
                    <w14:schemeClr w14:val="tx1"/>
                  </w14:solidFill>
                </w14:textFill>
              </w:rPr>
              <w:t>北侧外1m</w:t>
            </w:r>
          </w:p>
        </w:tc>
        <w:tc>
          <w:tcPr>
            <w:tcW w:w="86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昼间</w:t>
            </w:r>
          </w:p>
        </w:tc>
        <w:tc>
          <w:tcPr>
            <w:tcW w:w="951" w:type="pct"/>
            <w:vAlign w:val="center"/>
          </w:tcPr>
          <w:p>
            <w:pPr>
              <w:keepNext w:val="0"/>
              <w:keepLines w:val="0"/>
              <w:suppressLineNumbers w:val="0"/>
              <w:adjustRightInd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eastAsia"/>
                <w:bCs/>
                <w:color w:val="000000" w:themeColor="text1"/>
                <w:kern w:val="0"/>
                <w14:textFill>
                  <w14:solidFill>
                    <w14:schemeClr w14:val="tx1"/>
                  </w14:solidFill>
                </w14:textFill>
              </w:rPr>
              <w:t>49.3</w:t>
            </w:r>
          </w:p>
        </w:tc>
        <w:tc>
          <w:tcPr>
            <w:tcW w:w="1648"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660" w:type="pct"/>
            <w:vMerge w:val="continue"/>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877" w:type="pct"/>
            <w:vMerge w:val="continue"/>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86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夜间</w:t>
            </w:r>
          </w:p>
        </w:tc>
        <w:tc>
          <w:tcPr>
            <w:tcW w:w="951" w:type="pct"/>
            <w:vAlign w:val="center"/>
          </w:tcPr>
          <w:p>
            <w:pPr>
              <w:keepNext w:val="0"/>
              <w:keepLines w:val="0"/>
              <w:suppressLineNumbers w:val="0"/>
              <w:adjustRightInd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eastAsia"/>
                <w:bCs/>
                <w:color w:val="000000" w:themeColor="text1"/>
                <w:kern w:val="0"/>
                <w14:textFill>
                  <w14:solidFill>
                    <w14:schemeClr w14:val="tx1"/>
                  </w14:solidFill>
                </w14:textFill>
              </w:rPr>
              <w:t>47.7</w:t>
            </w:r>
          </w:p>
        </w:tc>
        <w:tc>
          <w:tcPr>
            <w:tcW w:w="1648"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660"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2024.2.23</w:t>
            </w:r>
          </w:p>
        </w:tc>
        <w:tc>
          <w:tcPr>
            <w:tcW w:w="877" w:type="pct"/>
            <w:vMerge w:val="restar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北支一渠</w:t>
            </w:r>
            <w:r>
              <w:rPr>
                <w:rFonts w:hint="eastAsia" w:eastAsia="宋"/>
                <w:color w:val="000000" w:themeColor="text1"/>
                <w:szCs w:val="21"/>
                <w14:textFill>
                  <w14:solidFill>
                    <w14:schemeClr w14:val="tx1"/>
                  </w14:solidFill>
                </w14:textFill>
              </w:rPr>
              <w:t>3</w:t>
            </w:r>
            <w:r>
              <w:rPr>
                <w:rFonts w:hint="default" w:eastAsia="宋"/>
                <w:color w:val="000000" w:themeColor="text1"/>
                <w:szCs w:val="21"/>
                <w14:textFill>
                  <w14:solidFill>
                    <w14:schemeClr w14:val="tx1"/>
                  </w14:solidFill>
                </w14:textFill>
              </w:rPr>
              <w:t>#居民</w:t>
            </w:r>
            <w:r>
              <w:rPr>
                <w:rFonts w:hint="eastAsia" w:eastAsia="宋"/>
                <w:color w:val="000000" w:themeColor="text1"/>
                <w:szCs w:val="21"/>
                <w14:textFill>
                  <w14:solidFill>
                    <w14:schemeClr w14:val="tx1"/>
                  </w14:solidFill>
                </w14:textFill>
              </w:rPr>
              <w:t>北侧外1m</w:t>
            </w:r>
          </w:p>
        </w:tc>
        <w:tc>
          <w:tcPr>
            <w:tcW w:w="86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昼间</w:t>
            </w:r>
          </w:p>
        </w:tc>
        <w:tc>
          <w:tcPr>
            <w:tcW w:w="951" w:type="pct"/>
            <w:vAlign w:val="center"/>
          </w:tcPr>
          <w:p>
            <w:pPr>
              <w:keepNext w:val="0"/>
              <w:keepLines w:val="0"/>
              <w:suppressLineNumbers w:val="0"/>
              <w:adjustRightInd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eastAsia"/>
                <w:bCs/>
                <w:color w:val="000000" w:themeColor="text1"/>
                <w:kern w:val="0"/>
                <w14:textFill>
                  <w14:solidFill>
                    <w14:schemeClr w14:val="tx1"/>
                  </w14:solidFill>
                </w14:textFill>
              </w:rPr>
              <w:t>49.3</w:t>
            </w:r>
          </w:p>
        </w:tc>
        <w:tc>
          <w:tcPr>
            <w:tcW w:w="1648"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660"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2024.2.24</w:t>
            </w:r>
          </w:p>
        </w:tc>
        <w:tc>
          <w:tcPr>
            <w:tcW w:w="877" w:type="pct"/>
            <w:vMerge w:val="continue"/>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86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夜间</w:t>
            </w:r>
          </w:p>
        </w:tc>
        <w:tc>
          <w:tcPr>
            <w:tcW w:w="951" w:type="pct"/>
            <w:vAlign w:val="center"/>
          </w:tcPr>
          <w:p>
            <w:pPr>
              <w:keepNext w:val="0"/>
              <w:keepLines w:val="0"/>
              <w:suppressLineNumbers w:val="0"/>
              <w:adjustRightInd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eastAsia"/>
                <w:bCs/>
                <w:color w:val="000000" w:themeColor="text1"/>
                <w:kern w:val="0"/>
                <w14:textFill>
                  <w14:solidFill>
                    <w14:schemeClr w14:val="tx1"/>
                  </w14:solidFill>
                </w14:textFill>
              </w:rPr>
              <w:t>36.1</w:t>
            </w:r>
          </w:p>
        </w:tc>
        <w:tc>
          <w:tcPr>
            <w:tcW w:w="1648"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660"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2024.2.23</w:t>
            </w:r>
          </w:p>
        </w:tc>
        <w:tc>
          <w:tcPr>
            <w:tcW w:w="877" w:type="pct"/>
            <w:vMerge w:val="restart"/>
            <w:vAlign w:val="center"/>
          </w:tcPr>
          <w:p>
            <w:pPr>
              <w:keepNext w:val="0"/>
              <w:keepLines w:val="0"/>
              <w:widowControl/>
              <w:suppressLineNumbers w:val="0"/>
              <w:adjustRightInd w:val="0"/>
              <w:snapToGrid w:val="0"/>
              <w:spacing w:before="0" w:beforeAutospacing="0" w:after="0" w:afterAutospacing="0"/>
              <w:ind w:left="0" w:right="0"/>
              <w:jc w:val="center"/>
              <w:rPr>
                <w:rFonts w:hint="default" w:eastAsia="宋"/>
                <w:color w:val="000000" w:themeColor="text1"/>
                <w14:textFill>
                  <w14:solidFill>
                    <w14:schemeClr w14:val="tx1"/>
                  </w14:solidFill>
                </w14:textFill>
              </w:rPr>
            </w:pPr>
            <w:r>
              <w:rPr>
                <w:rFonts w:hint="default" w:eastAsia="宋"/>
                <w:color w:val="000000" w:themeColor="text1"/>
                <w14:textFill>
                  <w14:solidFill>
                    <w14:schemeClr w14:val="tx1"/>
                  </w14:solidFill>
                </w14:textFill>
              </w:rPr>
              <w:t>北支一渠4#居民</w:t>
            </w:r>
            <w:r>
              <w:rPr>
                <w:rFonts w:hint="eastAsia" w:eastAsia="宋"/>
                <w:color w:val="000000" w:themeColor="text1"/>
                <w14:textFill>
                  <w14:solidFill>
                    <w14:schemeClr w14:val="tx1"/>
                  </w14:solidFill>
                </w14:textFill>
              </w:rPr>
              <w:t>西北侧外1m</w:t>
            </w:r>
          </w:p>
        </w:tc>
        <w:tc>
          <w:tcPr>
            <w:tcW w:w="86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昼间</w:t>
            </w:r>
          </w:p>
        </w:tc>
        <w:tc>
          <w:tcPr>
            <w:tcW w:w="951" w:type="pct"/>
            <w:vAlign w:val="center"/>
          </w:tcPr>
          <w:p>
            <w:pPr>
              <w:keepNext w:val="0"/>
              <w:keepLines w:val="0"/>
              <w:suppressLineNumbers w:val="0"/>
              <w:adjustRightInd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eastAsia"/>
                <w:bCs/>
                <w:color w:val="000000" w:themeColor="text1"/>
                <w:kern w:val="0"/>
                <w14:textFill>
                  <w14:solidFill>
                    <w14:schemeClr w14:val="tx1"/>
                  </w14:solidFill>
                </w14:textFill>
              </w:rPr>
              <w:t>47.4</w:t>
            </w:r>
          </w:p>
        </w:tc>
        <w:tc>
          <w:tcPr>
            <w:tcW w:w="1648"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660"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2024.2.24</w:t>
            </w:r>
          </w:p>
        </w:tc>
        <w:tc>
          <w:tcPr>
            <w:tcW w:w="877" w:type="pct"/>
            <w:vMerge w:val="continue"/>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862"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夜间</w:t>
            </w:r>
          </w:p>
        </w:tc>
        <w:tc>
          <w:tcPr>
            <w:tcW w:w="951" w:type="pct"/>
            <w:vAlign w:val="center"/>
          </w:tcPr>
          <w:p>
            <w:pPr>
              <w:keepNext w:val="0"/>
              <w:keepLines w:val="0"/>
              <w:suppressLineNumbers w:val="0"/>
              <w:adjustRightInd w:val="0"/>
              <w:spacing w:before="0" w:beforeAutospacing="0" w:after="0" w:afterAutospacing="0"/>
              <w:ind w:left="0" w:right="0"/>
              <w:jc w:val="center"/>
              <w:rPr>
                <w:rFonts w:hint="default"/>
                <w:bCs/>
                <w:color w:val="000000" w:themeColor="text1"/>
                <w:kern w:val="0"/>
                <w14:textFill>
                  <w14:solidFill>
                    <w14:schemeClr w14:val="tx1"/>
                  </w14:solidFill>
                </w14:textFill>
              </w:rPr>
            </w:pPr>
            <w:r>
              <w:rPr>
                <w:rFonts w:hint="eastAsia"/>
                <w:bCs/>
                <w:color w:val="000000" w:themeColor="text1"/>
                <w:kern w:val="0"/>
                <w14:textFill>
                  <w14:solidFill>
                    <w14:schemeClr w14:val="tx1"/>
                  </w14:solidFill>
                </w14:textFill>
              </w:rPr>
              <w:t>36.8</w:t>
            </w:r>
          </w:p>
        </w:tc>
        <w:tc>
          <w:tcPr>
            <w:tcW w:w="1648" w:type="pct"/>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50</w:t>
            </w:r>
          </w:p>
        </w:tc>
      </w:tr>
    </w:tbl>
    <w:p>
      <w:pPr>
        <w:pStyle w:val="14"/>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color w:val="000000" w:themeColor="text1"/>
          <w14:textFill>
            <w14:solidFill>
              <w14:schemeClr w14:val="tx1"/>
            </w14:solidFill>
          </w14:textFill>
        </w:rPr>
        <w:t>从表中可见：现状监测期间，项目区域环境噪声及敏感点噪声监测点均能达到《声环境质量标准》（GB3096-2008）中2类标准限值要求，说明项目所在区域声</w:t>
      </w:r>
      <w:r>
        <w:rPr>
          <w:rFonts w:ascii="Times New Roman" w:hAnsi="Times New Roman" w:eastAsia="宋体" w:cs="Times New Roman"/>
          <w:color w:val="000000" w:themeColor="text1"/>
          <w14:textFill>
            <w14:solidFill>
              <w14:schemeClr w14:val="tx1"/>
            </w14:solidFill>
          </w14:textFill>
        </w:rPr>
        <w:t>环境质量良好。</w:t>
      </w:r>
    </w:p>
    <w:p>
      <w:pPr>
        <w:pStyle w:val="14"/>
        <w:spacing w:line="360" w:lineRule="auto"/>
        <w:ind w:firstLine="480" w:firstLineChars="200"/>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由于本项目董家堰补水渠（上）渠道横穿观湖大道，且观湖大道西侧紧邻保利湖心岛；</w:t>
      </w:r>
      <w:r>
        <w:rPr>
          <w:rFonts w:hint="eastAsia" w:cs="Times New Roman"/>
          <w:color w:val="000000" w:themeColor="text1"/>
          <w:lang w:val="en-US" w:eastAsia="zh-CN"/>
          <w14:textFill>
            <w14:solidFill>
              <w14:schemeClr w14:val="tx1"/>
            </w14:solidFill>
          </w14:textFill>
        </w:rPr>
        <w:t>故</w:t>
      </w:r>
      <w:r>
        <w:rPr>
          <w:rFonts w:hint="eastAsia" w:ascii="Times New Roman" w:hAnsi="Times New Roman" w:eastAsia="宋体" w:cs="Times New Roman"/>
          <w:color w:val="000000" w:themeColor="text1"/>
          <w:lang w:val="en-US" w:eastAsia="zh-CN"/>
          <w14:textFill>
            <w14:solidFill>
              <w14:schemeClr w14:val="tx1"/>
            </w14:solidFill>
          </w14:textFill>
        </w:rPr>
        <w:t>本次现状监测</w:t>
      </w:r>
      <w:r>
        <w:rPr>
          <w:rFonts w:hint="eastAsia" w:cs="Times New Roman"/>
          <w:color w:val="000000" w:themeColor="text1"/>
          <w:lang w:val="en-US" w:eastAsia="zh-CN"/>
          <w14:textFill>
            <w14:solidFill>
              <w14:schemeClr w14:val="tx1"/>
            </w14:solidFill>
          </w14:textFill>
        </w:rPr>
        <w:t>于</w:t>
      </w:r>
      <w:r>
        <w:rPr>
          <w:rFonts w:hint="default" w:ascii="Times New Roman" w:hAnsi="Times New Roman" w:cs="Times New Roman"/>
          <w:color w:val="000000" w:themeColor="text1"/>
          <w:sz w:val="24"/>
          <w:szCs w:val="24"/>
          <w:lang w:val="en-US" w:eastAsia="zh-CN"/>
          <w14:textFill>
            <w14:solidFill>
              <w14:schemeClr w14:val="tx1"/>
            </w14:solidFill>
          </w14:textFill>
        </w:rPr>
        <w:t>2024年06月25日</w:t>
      </w:r>
      <w:r>
        <w:rPr>
          <w:rFonts w:hint="eastAsia" w:ascii="Times New Roman" w:hAnsi="Times New Roman" w:eastAsia="宋体" w:cs="Times New Roman"/>
          <w:color w:val="000000" w:themeColor="text1"/>
          <w:lang w:val="en-US" w:eastAsia="zh-CN"/>
          <w14:textFill>
            <w14:solidFill>
              <w14:schemeClr w14:val="tx1"/>
            </w14:solidFill>
          </w14:textFill>
        </w:rPr>
        <w:t>在保利湖心岛设置一个监测点</w:t>
      </w:r>
      <w:r>
        <w:rPr>
          <w:rFonts w:hint="eastAsia" w:cs="Times New Roman"/>
          <w:color w:val="000000" w:themeColor="text1"/>
          <w:sz w:val="24"/>
          <w:szCs w:val="24"/>
          <w:lang w:val="en-US" w:eastAsia="zh-CN"/>
          <w14:textFill>
            <w14:solidFill>
              <w14:schemeClr w14:val="tx1"/>
            </w14:solidFill>
          </w14:textFill>
        </w:rPr>
        <w:t>。</w:t>
      </w:r>
    </w:p>
    <w:p>
      <w:pPr>
        <w:pStyle w:val="34"/>
        <w:keepNext w:val="0"/>
        <w:keepLines w:val="0"/>
        <w:widowControl w:val="0"/>
        <w:suppressLineNumbers w:val="0"/>
        <w:autoSpaceDE w:val="0"/>
        <w:autoSpaceDN w:val="0"/>
        <w:spacing w:before="0" w:beforeAutospacing="0" w:after="0" w:afterAutospacing="0"/>
        <w:ind w:left="0" w:right="0"/>
        <w:jc w:val="center"/>
        <w:rPr>
          <w:rFonts w:hint="default" w:ascii="Times New Roman" w:hAnsi="Times New Roman" w:eastAsia="黑体" w:cs="Times New Roman"/>
          <w:color w:val="000000" w:themeColor="text1"/>
          <w:kern w:val="2"/>
          <w:sz w:val="24"/>
          <w:szCs w:val="24"/>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
          <w14:textFill>
            <w14:solidFill>
              <w14:schemeClr w14:val="tx1"/>
            </w14:solidFill>
          </w14:textFill>
        </w:rPr>
        <w:t>3.2-</w:t>
      </w:r>
      <w:r>
        <w:rPr>
          <w:rFonts w:hint="eastAsia" w:ascii="Times New Roman" w:hAnsi="Times New Roman" w:eastAsia="黑体" w:cs="Times New Roman"/>
          <w:color w:val="000000" w:themeColor="text1"/>
          <w:kern w:val="2"/>
          <w:sz w:val="24"/>
          <w:szCs w:val="24"/>
          <w:lang w:val="en-US" w:eastAsia="zh-CN" w:bidi="ar"/>
          <w14:textFill>
            <w14:solidFill>
              <w14:schemeClr w14:val="tx1"/>
            </w14:solidFill>
          </w14:textFill>
        </w:rPr>
        <w:t>10</w:t>
      </w:r>
      <w:r>
        <w:rPr>
          <w:rFonts w:hint="default" w:ascii="Times New Roman" w:hAnsi="Times New Roman" w:eastAsia="黑体" w:cs="Times New Roman"/>
          <w:color w:val="000000" w:themeColor="text1"/>
          <w:kern w:val="2"/>
          <w:sz w:val="24"/>
          <w:szCs w:val="24"/>
          <w:lang w:val="en-US" w:eastAsia="zh-CN" w:bidi="ar"/>
          <w14:textFill>
            <w14:solidFill>
              <w14:schemeClr w14:val="tx1"/>
            </w14:solidFill>
          </w14:textFill>
        </w:rPr>
        <w:t xml:space="preserve"> </w:t>
      </w:r>
      <w:r>
        <w:rPr>
          <w:rFonts w:hint="eastAsia" w:ascii="黑体" w:hAnsi="宋体" w:eastAsia="黑体" w:cs="黑体"/>
          <w:color w:val="000000" w:themeColor="text1"/>
          <w:kern w:val="2"/>
          <w:sz w:val="24"/>
          <w:szCs w:val="24"/>
          <w:lang w:val="en-US" w:eastAsia="zh-CN" w:bidi="ar"/>
          <w14:textFill>
            <w14:solidFill>
              <w14:schemeClr w14:val="tx1"/>
            </w14:solidFill>
          </w14:textFill>
        </w:rPr>
        <w:t>噪声监测结果统计表</w:t>
      </w:r>
    </w:p>
    <w:tbl>
      <w:tblPr>
        <w:tblStyle w:val="38"/>
        <w:tblW w:w="500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auto"/>
        <w:tblLayout w:type="fixed"/>
        <w:tblCellMar>
          <w:top w:w="0" w:type="dxa"/>
          <w:left w:w="28" w:type="dxa"/>
          <w:bottom w:w="0" w:type="dxa"/>
          <w:right w:w="28" w:type="dxa"/>
        </w:tblCellMar>
      </w:tblPr>
      <w:tblGrid>
        <w:gridCol w:w="729"/>
        <w:gridCol w:w="722"/>
        <w:gridCol w:w="776"/>
        <w:gridCol w:w="830"/>
        <w:gridCol w:w="1164"/>
        <w:gridCol w:w="802"/>
        <w:gridCol w:w="924"/>
        <w:gridCol w:w="1021"/>
        <w:gridCol w:w="14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auto"/>
          <w:tblCellMar>
            <w:top w:w="0" w:type="dxa"/>
            <w:left w:w="28" w:type="dxa"/>
            <w:bottom w:w="0" w:type="dxa"/>
            <w:right w:w="28" w:type="dxa"/>
          </w:tblCellMar>
        </w:tblPrEx>
        <w:trPr>
          <w:cantSplit/>
          <w:trHeight w:val="596" w:hRule="atLeast"/>
          <w:jc w:val="center"/>
        </w:trPr>
        <w:tc>
          <w:tcPr>
            <w:tcW w:w="435" w:type="pct"/>
            <w:vMerge w:val="restar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14:textFill>
                  <w14:solidFill>
                    <w14:schemeClr w14:val="tx1"/>
                  </w14:solidFill>
                </w14:textFill>
              </w:rPr>
            </w:pPr>
            <w:r>
              <w:rPr>
                <w:rFonts w:hint="default" w:eastAsia="宋"/>
                <w:b/>
                <w:color w:val="000000" w:themeColor="text1"/>
                <w:szCs w:val="21"/>
                <w:lang w:val="en-US" w:eastAsia="zh-CN"/>
                <w14:textFill>
                  <w14:solidFill>
                    <w14:schemeClr w14:val="tx1"/>
                  </w14:solidFill>
                </w14:textFill>
              </w:rPr>
              <w:t>监测时间</w:t>
            </w:r>
          </w:p>
        </w:tc>
        <w:tc>
          <w:tcPr>
            <w:tcW w:w="430" w:type="pct"/>
            <w:vMerge w:val="restar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14:textFill>
                  <w14:solidFill>
                    <w14:schemeClr w14:val="tx1"/>
                  </w14:solidFill>
                </w14:textFill>
              </w:rPr>
            </w:pPr>
            <w:r>
              <w:rPr>
                <w:rFonts w:hint="default" w:eastAsia="宋"/>
                <w:b/>
                <w:color w:val="000000" w:themeColor="text1"/>
                <w:szCs w:val="21"/>
                <w:lang w:val="en-US" w:eastAsia="zh-CN"/>
                <w14:textFill>
                  <w14:solidFill>
                    <w14:schemeClr w14:val="tx1"/>
                  </w14:solidFill>
                </w14:textFill>
              </w:rPr>
              <w:t>监测点位</w:t>
            </w:r>
          </w:p>
        </w:tc>
        <w:tc>
          <w:tcPr>
            <w:tcW w:w="463" w:type="pct"/>
            <w:vMerge w:val="restar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14:textFill>
                  <w14:solidFill>
                    <w14:schemeClr w14:val="tx1"/>
                  </w14:solidFill>
                </w14:textFill>
              </w:rPr>
            </w:pPr>
            <w:r>
              <w:rPr>
                <w:rFonts w:hint="default" w:eastAsia="宋"/>
                <w:b/>
                <w:color w:val="000000" w:themeColor="text1"/>
                <w:szCs w:val="21"/>
                <w:lang w:val="en-US" w:eastAsia="zh-CN"/>
                <w14:textFill>
                  <w14:solidFill>
                    <w14:schemeClr w14:val="tx1"/>
                  </w14:solidFill>
                </w14:textFill>
              </w:rPr>
              <w:t>监测时段</w:t>
            </w:r>
          </w:p>
        </w:tc>
        <w:tc>
          <w:tcPr>
            <w:tcW w:w="495" w:type="pct"/>
            <w:vMerge w:val="restar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r>
              <w:rPr>
                <w:rFonts w:hint="eastAsia" w:eastAsia="宋"/>
                <w:b/>
                <w:color w:val="000000" w:themeColor="text1"/>
                <w:szCs w:val="21"/>
                <w:lang w:val="en-US" w:eastAsia="zh-CN"/>
                <w14:textFill>
                  <w14:solidFill>
                    <w14:schemeClr w14:val="tx1"/>
                  </w14:solidFill>
                </w14:textFill>
              </w:rPr>
              <w:t>监测时长</w:t>
            </w:r>
          </w:p>
        </w:tc>
        <w:tc>
          <w:tcPr>
            <w:tcW w:w="694" w:type="pct"/>
            <w:vMerge w:val="restar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r>
              <w:rPr>
                <w:rFonts w:hint="eastAsia" w:eastAsia="宋"/>
                <w:b/>
                <w:color w:val="000000" w:themeColor="text1"/>
                <w:szCs w:val="21"/>
                <w:lang w:val="en-US" w:eastAsia="zh-CN"/>
                <w14:textFill>
                  <w14:solidFill>
                    <w14:schemeClr w14:val="tx1"/>
                  </w14:solidFill>
                </w14:textFill>
              </w:rPr>
              <w:t>车流量</w:t>
            </w:r>
          </w:p>
        </w:tc>
        <w:tc>
          <w:tcPr>
            <w:tcW w:w="1030" w:type="pct"/>
            <w:gridSpan w:val="2"/>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r>
              <w:rPr>
                <w:rFonts w:hint="eastAsia" w:eastAsia="宋"/>
                <w:b/>
                <w:color w:val="000000" w:themeColor="text1"/>
                <w:szCs w:val="21"/>
                <w:lang w:val="en-US" w:eastAsia="zh-CN"/>
                <w14:textFill>
                  <w14:solidFill>
                    <w14:schemeClr w14:val="tx1"/>
                  </w14:solidFill>
                </w14:textFill>
              </w:rPr>
              <w:t>车流量统计（辆/20min）</w:t>
            </w:r>
          </w:p>
        </w:tc>
        <w:tc>
          <w:tcPr>
            <w:tcW w:w="609" w:type="pct"/>
            <w:vMerge w:val="restar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r>
              <w:rPr>
                <w:rFonts w:hint="default" w:eastAsia="宋"/>
                <w:b/>
                <w:color w:val="000000" w:themeColor="text1"/>
                <w:szCs w:val="21"/>
                <w:lang w:val="en-US" w:eastAsia="zh-CN"/>
                <w14:textFill>
                  <w14:solidFill>
                    <w14:schemeClr w14:val="tx1"/>
                  </w14:solidFill>
                </w14:textFill>
              </w:rPr>
              <w:t>监测结果dB</w:t>
            </w:r>
            <w:r>
              <w:rPr>
                <w:rFonts w:hint="eastAsia" w:eastAsia="宋"/>
                <w:b/>
                <w:color w:val="000000" w:themeColor="text1"/>
                <w:szCs w:val="21"/>
                <w:lang w:val="en-US" w:eastAsia="zh-CN"/>
                <w14:textFill>
                  <w14:solidFill>
                    <w14:schemeClr w14:val="tx1"/>
                  </w14:solidFill>
                </w14:textFill>
              </w:rPr>
              <w:t>（</w:t>
            </w:r>
            <w:r>
              <w:rPr>
                <w:rFonts w:hint="default" w:eastAsia="宋"/>
                <w:b/>
                <w:color w:val="000000" w:themeColor="text1"/>
                <w:szCs w:val="21"/>
                <w:lang w:val="en-US" w:eastAsia="zh-CN"/>
                <w14:textFill>
                  <w14:solidFill>
                    <w14:schemeClr w14:val="tx1"/>
                  </w14:solidFill>
                </w14:textFill>
              </w:rPr>
              <w:t>A</w:t>
            </w:r>
            <w:r>
              <w:rPr>
                <w:rFonts w:hint="eastAsia" w:eastAsia="宋"/>
                <w:b/>
                <w:color w:val="000000" w:themeColor="text1"/>
                <w:szCs w:val="21"/>
                <w:lang w:val="en-US" w:eastAsia="zh-CN"/>
                <w14:textFill>
                  <w14:solidFill>
                    <w14:schemeClr w14:val="tx1"/>
                  </w14:solidFill>
                </w14:textFill>
              </w:rPr>
              <w:t>）</w:t>
            </w:r>
          </w:p>
        </w:tc>
        <w:tc>
          <w:tcPr>
            <w:tcW w:w="840" w:type="pct"/>
            <w:vMerge w:val="restar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14:textFill>
                  <w14:solidFill>
                    <w14:schemeClr w14:val="tx1"/>
                  </w14:solidFill>
                </w14:textFill>
              </w:rPr>
            </w:pPr>
            <w:r>
              <w:rPr>
                <w:rFonts w:hint="default" w:eastAsia="宋"/>
                <w:b/>
                <w:color w:val="000000" w:themeColor="text1"/>
                <w:szCs w:val="21"/>
                <w:lang w:val="en-US" w:eastAsia="zh-CN"/>
                <w14:textFill>
                  <w14:solidFill>
                    <w14:schemeClr w14:val="tx1"/>
                  </w14:solidFill>
                </w14:textFill>
              </w:rPr>
              <w:t>（GB3096-2008）中2类标准限值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auto"/>
          <w:tblCellMar>
            <w:top w:w="0" w:type="dxa"/>
            <w:left w:w="28" w:type="dxa"/>
            <w:bottom w:w="0" w:type="dxa"/>
            <w:right w:w="28" w:type="dxa"/>
          </w:tblCellMar>
        </w:tblPrEx>
        <w:trPr>
          <w:cantSplit/>
          <w:trHeight w:val="284" w:hRule="atLeast"/>
          <w:jc w:val="center"/>
        </w:trPr>
        <w:tc>
          <w:tcPr>
            <w:tcW w:w="435" w:type="pct"/>
            <w:vMerge w:val="continue"/>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p>
        </w:tc>
        <w:tc>
          <w:tcPr>
            <w:tcW w:w="430" w:type="pct"/>
            <w:vMerge w:val="continue"/>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p>
        </w:tc>
        <w:tc>
          <w:tcPr>
            <w:tcW w:w="463" w:type="pct"/>
            <w:vMerge w:val="continue"/>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p>
        </w:tc>
        <w:tc>
          <w:tcPr>
            <w:tcW w:w="495" w:type="pct"/>
            <w:vMerge w:val="continue"/>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eastAsia" w:eastAsia="宋"/>
                <w:b/>
                <w:color w:val="000000" w:themeColor="text1"/>
                <w:szCs w:val="21"/>
                <w:lang w:val="en-US" w:eastAsia="zh-CN"/>
                <w14:textFill>
                  <w14:solidFill>
                    <w14:schemeClr w14:val="tx1"/>
                  </w14:solidFill>
                </w14:textFill>
              </w:rPr>
            </w:pPr>
          </w:p>
        </w:tc>
        <w:tc>
          <w:tcPr>
            <w:tcW w:w="694" w:type="pct"/>
            <w:vMerge w:val="continue"/>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eastAsia" w:eastAsia="宋"/>
                <w:b/>
                <w:color w:val="000000" w:themeColor="text1"/>
                <w:szCs w:val="21"/>
                <w:lang w:val="en-US" w:eastAsia="zh-CN"/>
                <w14:textFill>
                  <w14:solidFill>
                    <w14:schemeClr w14:val="tx1"/>
                  </w14:solidFill>
                </w14:textFill>
              </w:rPr>
            </w:pPr>
          </w:p>
        </w:tc>
        <w:tc>
          <w:tcPr>
            <w:tcW w:w="478" w:type="pc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r>
              <w:rPr>
                <w:rFonts w:hint="eastAsia" w:eastAsia="宋"/>
                <w:b/>
                <w:color w:val="000000" w:themeColor="text1"/>
                <w:szCs w:val="21"/>
                <w:lang w:val="en-US" w:eastAsia="zh-CN"/>
                <w14:textFill>
                  <w14:solidFill>
                    <w14:schemeClr w14:val="tx1"/>
                  </w14:solidFill>
                </w14:textFill>
              </w:rPr>
              <w:t>大型车</w:t>
            </w:r>
          </w:p>
        </w:tc>
        <w:tc>
          <w:tcPr>
            <w:tcW w:w="551" w:type="pct"/>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r>
              <w:rPr>
                <w:rFonts w:hint="eastAsia" w:eastAsia="宋"/>
                <w:b/>
                <w:color w:val="000000" w:themeColor="text1"/>
                <w:szCs w:val="21"/>
                <w:lang w:val="en-US" w:eastAsia="zh-CN"/>
                <w14:textFill>
                  <w14:solidFill>
                    <w14:schemeClr w14:val="tx1"/>
                  </w14:solidFill>
                </w14:textFill>
              </w:rPr>
              <w:t>中小型车</w:t>
            </w:r>
          </w:p>
        </w:tc>
        <w:tc>
          <w:tcPr>
            <w:tcW w:w="609" w:type="pct"/>
            <w:vMerge w:val="continue"/>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p>
        </w:tc>
        <w:tc>
          <w:tcPr>
            <w:tcW w:w="840" w:type="pct"/>
            <w:vMerge w:val="continue"/>
            <w:tcBorders>
              <w:tl2br w:val="nil"/>
              <w:tr2bl w:val="nil"/>
            </w:tcBorders>
            <w:shd w:val="clear" w:color="auto" w:fill="auto"/>
            <w:vAlign w:val="center"/>
          </w:tcPr>
          <w:p>
            <w:pPr>
              <w:pStyle w:val="64"/>
              <w:keepNext w:val="0"/>
              <w:keepLines w:val="0"/>
              <w:suppressLineNumbers w:val="0"/>
              <w:snapToGrid w:val="0"/>
              <w:spacing w:before="0" w:beforeAutospacing="0" w:after="0" w:afterAutospacing="0"/>
              <w:ind w:left="0" w:leftChars="-1" w:right="0" w:hanging="2" w:hangingChars="1"/>
              <w:rPr>
                <w:rFonts w:hint="default" w:eastAsia="宋"/>
                <w:b/>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519" w:hRule="atLeast"/>
          <w:jc w:val="center"/>
        </w:trPr>
        <w:tc>
          <w:tcPr>
            <w:tcW w:w="435" w:type="pct"/>
            <w:vMerge w:val="restar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14:textFill>
                  <w14:solidFill>
                    <w14:schemeClr w14:val="tx1"/>
                  </w14:solidFill>
                </w14:textFill>
              </w:rPr>
            </w:pPr>
            <w:r>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t>2024.</w:t>
            </w:r>
            <w:r>
              <w:rPr>
                <w:rFonts w:hint="eastAsia" w:ascii="Times New Roman" w:hAnsi="Times New Roman" w:eastAsia="宋" w:cs="Times New Roman"/>
                <w:color w:val="000000" w:themeColor="text1"/>
                <w:kern w:val="2"/>
                <w:sz w:val="21"/>
                <w:szCs w:val="21"/>
                <w:lang w:val="en-US" w:eastAsia="zh-CN" w:bidi="ar"/>
                <w14:textFill>
                  <w14:solidFill>
                    <w14:schemeClr w14:val="tx1"/>
                  </w14:solidFill>
                </w14:textFill>
              </w:rPr>
              <w:t>6</w:t>
            </w:r>
            <w:r>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t>.2</w:t>
            </w:r>
            <w:r>
              <w:rPr>
                <w:rFonts w:hint="eastAsia" w:ascii="Times New Roman" w:hAnsi="Times New Roman" w:eastAsia="宋" w:cs="Times New Roman"/>
                <w:color w:val="000000" w:themeColor="text1"/>
                <w:kern w:val="2"/>
                <w:sz w:val="21"/>
                <w:szCs w:val="21"/>
                <w:lang w:val="en-US" w:eastAsia="zh-CN" w:bidi="ar"/>
                <w14:textFill>
                  <w14:solidFill>
                    <w14:schemeClr w14:val="tx1"/>
                  </w14:solidFill>
                </w14:textFill>
              </w:rPr>
              <w:t>5</w:t>
            </w:r>
          </w:p>
        </w:tc>
        <w:tc>
          <w:tcPr>
            <w:tcW w:w="430" w:type="pct"/>
            <w:vMerge w:val="restar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 w:cs="Times New Roman"/>
                <w:color w:val="000000" w:themeColor="text1"/>
                <w:kern w:val="2"/>
                <w:sz w:val="21"/>
                <w:szCs w:val="21"/>
                <w:lang w:val="en-US" w:eastAsia="zh-CN"/>
                <w14:textFill>
                  <w14:solidFill>
                    <w14:schemeClr w14:val="tx1"/>
                  </w14:solidFill>
                </w14:textFill>
              </w:rPr>
              <w:t>保利湖心岛居民区外1m</w:t>
            </w:r>
          </w:p>
        </w:tc>
        <w:tc>
          <w:tcPr>
            <w:tcW w:w="463"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14:textFill>
                  <w14:solidFill>
                    <w14:schemeClr w14:val="tx1"/>
                  </w14:solidFill>
                </w14:textFill>
              </w:rPr>
            </w:pPr>
            <w:r>
              <w:rPr>
                <w:rFonts w:hint="default" w:ascii="宋" w:hAnsi="宋" w:eastAsia="宋" w:cs="宋"/>
                <w:color w:val="000000" w:themeColor="text1"/>
                <w:kern w:val="2"/>
                <w:sz w:val="21"/>
                <w:szCs w:val="21"/>
                <w:lang w:val="en-US" w:eastAsia="zh-CN" w:bidi="ar"/>
                <w14:textFill>
                  <w14:solidFill>
                    <w14:schemeClr w14:val="tx1"/>
                  </w14:solidFill>
                </w14:textFill>
              </w:rPr>
              <w:t>昼间</w:t>
            </w:r>
          </w:p>
        </w:tc>
        <w:tc>
          <w:tcPr>
            <w:tcW w:w="495" w:type="pct"/>
            <w:vMerge w:val="restar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 w:cs="Times New Roman"/>
                <w:color w:val="000000" w:themeColor="text1"/>
                <w:kern w:val="2"/>
                <w:sz w:val="21"/>
                <w:szCs w:val="21"/>
                <w:lang w:val="en-US" w:eastAsia="zh-CN" w:bidi="ar"/>
                <w14:textFill>
                  <w14:solidFill>
                    <w14:schemeClr w14:val="tx1"/>
                  </w14:solidFill>
                </w14:textFill>
              </w:rPr>
              <w:t>20min</w:t>
            </w:r>
          </w:p>
        </w:tc>
        <w:tc>
          <w:tcPr>
            <w:tcW w:w="694"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t>2024.06.25 17:14~17:34</w:t>
            </w:r>
          </w:p>
        </w:tc>
        <w:tc>
          <w:tcPr>
            <w:tcW w:w="478"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eastAsia" w:eastAsia="宋" w:cs="Times New Roman"/>
                <w:color w:val="000000" w:themeColor="text1"/>
                <w:kern w:val="2"/>
                <w:sz w:val="21"/>
                <w:szCs w:val="21"/>
                <w:lang w:val="en-US" w:eastAsia="zh-CN" w:bidi="ar"/>
                <w14:textFill>
                  <w14:solidFill>
                    <w14:schemeClr w14:val="tx1"/>
                  </w14:solidFill>
                </w14:textFill>
              </w:rPr>
              <w:t>3</w:t>
            </w:r>
          </w:p>
        </w:tc>
        <w:tc>
          <w:tcPr>
            <w:tcW w:w="551"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eastAsia" w:eastAsia="宋" w:cs="Times New Roman"/>
                <w:color w:val="000000" w:themeColor="text1"/>
                <w:kern w:val="2"/>
                <w:sz w:val="21"/>
                <w:szCs w:val="21"/>
                <w:lang w:val="en-US" w:eastAsia="zh-CN" w:bidi="ar"/>
                <w14:textFill>
                  <w14:solidFill>
                    <w14:schemeClr w14:val="tx1"/>
                  </w14:solidFill>
                </w14:textFill>
              </w:rPr>
              <w:t>10</w:t>
            </w:r>
          </w:p>
        </w:tc>
        <w:tc>
          <w:tcPr>
            <w:tcW w:w="609"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 w:cs="Times New Roman"/>
                <w:color w:val="000000" w:themeColor="text1"/>
                <w:kern w:val="2"/>
                <w:sz w:val="21"/>
                <w:szCs w:val="21"/>
                <w:lang w:val="en-US" w:eastAsia="zh-CN" w:bidi="ar"/>
                <w14:textFill>
                  <w14:solidFill>
                    <w14:schemeClr w14:val="tx1"/>
                  </w14:solidFill>
                </w14:textFill>
              </w:rPr>
              <w:t>56</w:t>
            </w:r>
          </w:p>
        </w:tc>
        <w:tc>
          <w:tcPr>
            <w:tcW w:w="840"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14:textFill>
                  <w14:solidFill>
                    <w14:schemeClr w14:val="tx1"/>
                  </w14:solidFill>
                </w14:textFill>
              </w:rPr>
            </w:pPr>
            <w:r>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589" w:hRule="atLeast"/>
          <w:jc w:val="center"/>
        </w:trPr>
        <w:tc>
          <w:tcPr>
            <w:tcW w:w="4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430"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463"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14:textFill>
                  <w14:solidFill>
                    <w14:schemeClr w14:val="tx1"/>
                  </w14:solidFill>
                </w14:textFill>
              </w:rPr>
            </w:pPr>
            <w:r>
              <w:rPr>
                <w:rFonts w:hint="default" w:ascii="宋" w:hAnsi="宋" w:eastAsia="宋" w:cs="宋"/>
                <w:color w:val="000000" w:themeColor="text1"/>
                <w:kern w:val="2"/>
                <w:sz w:val="21"/>
                <w:szCs w:val="21"/>
                <w:lang w:val="en-US" w:eastAsia="zh-CN" w:bidi="ar"/>
                <w14:textFill>
                  <w14:solidFill>
                    <w14:schemeClr w14:val="tx1"/>
                  </w14:solidFill>
                </w14:textFill>
              </w:rPr>
              <w:t>夜间</w:t>
            </w:r>
          </w:p>
        </w:tc>
        <w:tc>
          <w:tcPr>
            <w:tcW w:w="495" w:type="pct"/>
            <w:vMerge w:val="continue"/>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p>
        </w:tc>
        <w:tc>
          <w:tcPr>
            <w:tcW w:w="694"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t>2024.06.25 22:10~22:30</w:t>
            </w:r>
          </w:p>
        </w:tc>
        <w:tc>
          <w:tcPr>
            <w:tcW w:w="478"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eastAsia" w:eastAsia="宋" w:cs="Times New Roman"/>
                <w:color w:val="000000" w:themeColor="text1"/>
                <w:kern w:val="2"/>
                <w:sz w:val="21"/>
                <w:szCs w:val="21"/>
                <w:lang w:val="en-US" w:eastAsia="zh-CN" w:bidi="ar"/>
                <w14:textFill>
                  <w14:solidFill>
                    <w14:schemeClr w14:val="tx1"/>
                  </w14:solidFill>
                </w14:textFill>
              </w:rPr>
              <w:t>2</w:t>
            </w:r>
          </w:p>
        </w:tc>
        <w:tc>
          <w:tcPr>
            <w:tcW w:w="551"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eastAsia" w:eastAsia="宋" w:cs="Times New Roman"/>
                <w:color w:val="000000" w:themeColor="text1"/>
                <w:kern w:val="2"/>
                <w:sz w:val="21"/>
                <w:szCs w:val="21"/>
                <w:lang w:val="en-US" w:eastAsia="zh-CN" w:bidi="ar"/>
                <w14:textFill>
                  <w14:solidFill>
                    <w14:schemeClr w14:val="tx1"/>
                  </w14:solidFill>
                </w14:textFill>
              </w:rPr>
              <w:t>7</w:t>
            </w:r>
          </w:p>
        </w:tc>
        <w:tc>
          <w:tcPr>
            <w:tcW w:w="609"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 w:cs="Times New Roman"/>
                <w:color w:val="000000" w:themeColor="text1"/>
                <w:kern w:val="2"/>
                <w:sz w:val="21"/>
                <w:szCs w:val="21"/>
                <w:lang w:val="en-US" w:eastAsia="zh-CN" w:bidi="ar"/>
                <w14:textFill>
                  <w14:solidFill>
                    <w14:schemeClr w14:val="tx1"/>
                  </w14:solidFill>
                </w14:textFill>
              </w:rPr>
              <w:t>49</w:t>
            </w:r>
          </w:p>
        </w:tc>
        <w:tc>
          <w:tcPr>
            <w:tcW w:w="840" w:type="pct"/>
            <w:tcBorders>
              <w:tl2br w:val="nil"/>
              <w:tr2bl w:val="nil"/>
            </w:tcBorders>
            <w:shd w:val="clear" w:color="auto" w:fill="auto"/>
            <w:vAlign w:val="center"/>
          </w:tcPr>
          <w:p>
            <w:pPr>
              <w:pStyle w:val="34"/>
              <w:keepNext w:val="0"/>
              <w:keepLines w:val="0"/>
              <w:widowControl/>
              <w:suppressLineNumbers w:val="0"/>
              <w:autoSpaceDE w:val="0"/>
              <w:autoSpaceDN/>
              <w:adjustRightInd w:val="0"/>
              <w:snapToGrid w:val="0"/>
              <w:spacing w:before="0" w:beforeAutospacing="0" w:after="0" w:afterAutospacing="0"/>
              <w:ind w:left="0" w:right="0"/>
              <w:jc w:val="center"/>
              <w:textAlignment w:val="baseline"/>
              <w:rPr>
                <w:rFonts w:hint="default" w:ascii="Times New Roman" w:hAnsi="Times New Roman" w:eastAsia="宋" w:cs="Times New Roman"/>
                <w:color w:val="000000" w:themeColor="text1"/>
                <w:kern w:val="2"/>
                <w:sz w:val="21"/>
                <w:szCs w:val="21"/>
                <w14:textFill>
                  <w14:solidFill>
                    <w14:schemeClr w14:val="tx1"/>
                  </w14:solidFill>
                </w14:textFill>
              </w:rPr>
            </w:pPr>
            <w:r>
              <w:rPr>
                <w:rFonts w:hint="default" w:ascii="Times New Roman" w:hAnsi="Times New Roman" w:eastAsia="宋" w:cs="Times New Roman"/>
                <w:color w:val="000000" w:themeColor="text1"/>
                <w:kern w:val="2"/>
                <w:sz w:val="21"/>
                <w:szCs w:val="21"/>
                <w:lang w:val="en-US" w:eastAsia="zh-CN" w:bidi="ar"/>
                <w14:textFill>
                  <w14:solidFill>
                    <w14:schemeClr w14:val="tx1"/>
                  </w14:solidFill>
                </w14:textFill>
              </w:rPr>
              <w:t>50</w:t>
            </w:r>
          </w:p>
        </w:tc>
      </w:tr>
    </w:tbl>
    <w:p>
      <w:pPr>
        <w:pStyle w:val="14"/>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根据现状监测结果，</w:t>
      </w:r>
      <w:r>
        <w:rPr>
          <w:rFonts w:hint="eastAsia" w:cs="Times New Roman"/>
          <w:color w:val="000000" w:themeColor="text1"/>
          <w:lang w:val="en-US" w:eastAsia="zh-CN"/>
          <w14:textFill>
            <w14:solidFill>
              <w14:schemeClr w14:val="tx1"/>
            </w14:solidFill>
          </w14:textFill>
        </w:rPr>
        <w:t>项目敏感点监测结果</w:t>
      </w:r>
      <w:r>
        <w:rPr>
          <w:color w:val="000000" w:themeColor="text1"/>
          <w14:textFill>
            <w14:solidFill>
              <w14:schemeClr w14:val="tx1"/>
            </w14:solidFill>
          </w14:textFill>
        </w:rPr>
        <w:t>达到《声环境质量标准》（GB3096-2008）中2类标准限值要求</w:t>
      </w:r>
      <w:r>
        <w:rPr>
          <w:rFonts w:hint="eastAsia" w:ascii="Times New Roman" w:hAnsi="Times New Roman" w:eastAsia="宋体" w:cs="Times New Roman"/>
          <w:color w:val="000000" w:themeColor="text1"/>
          <w:lang w:val="en-US" w:eastAsia="zh-CN"/>
          <w14:textFill>
            <w14:solidFill>
              <w14:schemeClr w14:val="tx1"/>
            </w14:solidFill>
          </w14:textFill>
        </w:rPr>
        <w:t>，故本项目敏感点不</w:t>
      </w:r>
      <w:r>
        <w:rPr>
          <w:rFonts w:hint="eastAsia" w:cs="Times New Roman"/>
          <w:color w:val="000000" w:themeColor="text1"/>
          <w:lang w:val="en-US" w:eastAsia="zh-CN"/>
          <w14:textFill>
            <w14:solidFill>
              <w14:schemeClr w14:val="tx1"/>
            </w14:solidFill>
          </w14:textFill>
        </w:rPr>
        <w:t>受</w:t>
      </w:r>
      <w:r>
        <w:rPr>
          <w:rFonts w:hint="eastAsia" w:ascii="Times New Roman" w:hAnsi="Times New Roman" w:eastAsia="宋体" w:cs="Times New Roman"/>
          <w:color w:val="000000" w:themeColor="text1"/>
          <w:lang w:val="en-US" w:eastAsia="zh-CN"/>
          <w14:textFill>
            <w14:solidFill>
              <w14:schemeClr w14:val="tx1"/>
            </w14:solidFill>
          </w14:textFill>
        </w:rPr>
        <w:t>交通噪声影响。</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440" w:name="_Toc70496297"/>
      <w:bookmarkStart w:id="441" w:name="_Toc20186"/>
      <w:r>
        <w:rPr>
          <w:rFonts w:ascii="Times New Roman" w:hAnsi="Times New Roman" w:cs="Times New Roman"/>
          <w:color w:val="000000" w:themeColor="text1"/>
          <w14:textFill>
            <w14:solidFill>
              <w14:schemeClr w14:val="tx1"/>
            </w14:solidFill>
          </w14:textFill>
        </w:rPr>
        <w:t>3.2.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土壤环境质量现状</w:t>
      </w:r>
      <w:bookmarkEnd w:id="440"/>
      <w:bookmarkEnd w:id="441"/>
    </w:p>
    <w:p>
      <w:pPr>
        <w:pStyle w:val="14"/>
        <w:spacing w:line="360" w:lineRule="auto"/>
        <w:ind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1、</w:t>
      </w:r>
      <w:r>
        <w:rPr>
          <w:rFonts w:hint="eastAsia"/>
          <w:b/>
          <w:color w:val="000000" w:themeColor="text1"/>
          <w14:textFill>
            <w14:solidFill>
              <w14:schemeClr w14:val="tx1"/>
            </w14:solidFill>
          </w14:textFill>
        </w:rPr>
        <w:t>渠道</w:t>
      </w:r>
      <w:r>
        <w:rPr>
          <w:b/>
          <w:color w:val="000000" w:themeColor="text1"/>
          <w14:textFill>
            <w14:solidFill>
              <w14:schemeClr w14:val="tx1"/>
            </w14:solidFill>
          </w14:textFill>
        </w:rPr>
        <w:t>底泥现状监测</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为了解</w:t>
      </w:r>
      <w:r>
        <w:rPr>
          <w:rFonts w:hint="eastAsia"/>
          <w:color w:val="000000" w:themeColor="text1"/>
          <w14:textFill>
            <w14:solidFill>
              <w14:schemeClr w14:val="tx1"/>
            </w14:solidFill>
          </w14:textFill>
        </w:rPr>
        <w:t>清淤渠道</w:t>
      </w:r>
      <w:r>
        <w:rPr>
          <w:color w:val="000000" w:themeColor="text1"/>
          <w14:textFill>
            <w14:solidFill>
              <w14:schemeClr w14:val="tx1"/>
            </w14:solidFill>
          </w14:textFill>
        </w:rPr>
        <w:t>底泥现状，评价单位委托</w:t>
      </w:r>
      <w:r>
        <w:rPr>
          <w:rFonts w:hint="eastAsia"/>
          <w:color w:val="000000" w:themeColor="text1"/>
          <w14:textFill>
            <w14:solidFill>
              <w14:schemeClr w14:val="tx1"/>
            </w14:solidFill>
          </w14:textFill>
        </w:rPr>
        <w:t>四川卡夫检测技术有限公司</w:t>
      </w:r>
      <w:r>
        <w:rPr>
          <w:color w:val="000000" w:themeColor="text1"/>
          <w14:textFill>
            <w14:solidFill>
              <w14:schemeClr w14:val="tx1"/>
            </w14:solidFill>
          </w14:textFill>
        </w:rPr>
        <w:t>于202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12日</w:t>
      </w:r>
      <w:r>
        <w:rPr>
          <w:color w:val="000000" w:themeColor="text1"/>
          <w14:textFill>
            <w14:solidFill>
              <w14:schemeClr w14:val="tx1"/>
            </w14:solidFill>
          </w14:textFill>
        </w:rPr>
        <w:t>对</w:t>
      </w:r>
      <w:r>
        <w:rPr>
          <w:rFonts w:hint="eastAsia"/>
          <w:color w:val="000000" w:themeColor="text1"/>
          <w14:textFill>
            <w14:solidFill>
              <w14:schemeClr w14:val="tx1"/>
            </w14:solidFill>
          </w14:textFill>
        </w:rPr>
        <w:t>本项目渠道底泥土壤环境质量现状进行现场取样监测。</w:t>
      </w:r>
    </w:p>
    <w:p>
      <w:pPr>
        <w:pStyle w:val="14"/>
        <w:spacing w:line="360" w:lineRule="auto"/>
        <w:ind w:firstLine="480" w:firstLineChars="200"/>
        <w:jc w:val="both"/>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由于本项目董家堰补水渠（下）位于董家堰补水渠（上）下游，且董家堰补水渠（上、下）整治渠道居利均较短，故本次仅在董家堰补水渠（上），布置一底泥监测点位，可说明渠道内底泥环境质量。</w:t>
      </w:r>
      <w:r>
        <w:rPr>
          <w:rFonts w:hint="eastAsia"/>
          <w:color w:val="000000" w:themeColor="text1"/>
          <w14:textFill>
            <w14:solidFill>
              <w14:schemeClr w14:val="tx1"/>
            </w14:solidFill>
          </w14:textFill>
        </w:rPr>
        <w:t>具体监测项目及布点情况如下。</w:t>
      </w:r>
    </w:p>
    <w:p>
      <w:pPr>
        <w:pStyle w:val="14"/>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表3.2-</w:t>
      </w:r>
      <w:r>
        <w:rPr>
          <w:rFonts w:hint="eastAsia" w:eastAsia="黑体"/>
          <w:color w:val="000000" w:themeColor="text1"/>
          <w:szCs w:val="21"/>
          <w:lang w:val="en-US" w:eastAsia="zh-CN"/>
          <w14:textFill>
            <w14:solidFill>
              <w14:schemeClr w14:val="tx1"/>
            </w14:solidFill>
          </w14:textFill>
        </w:rPr>
        <w:t>11</w:t>
      </w:r>
      <w:r>
        <w:rPr>
          <w:rFonts w:eastAsia="黑体"/>
          <w:color w:val="000000" w:themeColor="text1"/>
          <w:szCs w:val="21"/>
          <w14:textFill>
            <w14:solidFill>
              <w14:schemeClr w14:val="tx1"/>
            </w14:solidFill>
          </w14:textFill>
        </w:rPr>
        <w:t>底泥监测点位及监测项目</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1"/>
        <w:gridCol w:w="994"/>
        <w:gridCol w:w="2275"/>
        <w:gridCol w:w="1265"/>
        <w:gridCol w:w="24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5"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b/>
                <w:bCs/>
                <w:color w:val="000000" w:themeColor="text1"/>
                <w:szCs w:val="21"/>
                <w14:textFill>
                  <w14:solidFill>
                    <w14:schemeClr w14:val="tx1"/>
                  </w14:solidFill>
                </w14:textFill>
              </w:rPr>
            </w:pPr>
            <w:r>
              <w:rPr>
                <w:rFonts w:hint="eastAsia" w:eastAsia="宋"/>
                <w:b/>
                <w:bCs/>
                <w:color w:val="000000" w:themeColor="text1"/>
                <w:szCs w:val="21"/>
                <w14:textFill>
                  <w14:solidFill>
                    <w14:schemeClr w14:val="tx1"/>
                  </w14:solidFill>
                </w14:textFill>
              </w:rPr>
              <w:t>监测类别</w:t>
            </w:r>
          </w:p>
        </w:tc>
        <w:tc>
          <w:tcPr>
            <w:tcW w:w="1918" w:type="pct"/>
            <w:gridSpan w:val="2"/>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b/>
                <w:bCs/>
                <w:color w:val="000000" w:themeColor="text1"/>
                <w:szCs w:val="21"/>
                <w14:textFill>
                  <w14:solidFill>
                    <w14:schemeClr w14:val="tx1"/>
                  </w14:solidFill>
                </w14:textFill>
              </w:rPr>
            </w:pPr>
            <w:r>
              <w:rPr>
                <w:rFonts w:hint="eastAsia" w:eastAsia="宋"/>
                <w:b/>
                <w:bCs/>
                <w:color w:val="000000" w:themeColor="text1"/>
                <w:szCs w:val="21"/>
                <w14:textFill>
                  <w14:solidFill>
                    <w14:schemeClr w14:val="tx1"/>
                  </w14:solidFill>
                </w14:textFill>
              </w:rPr>
              <w:t>监测点位</w:t>
            </w:r>
          </w:p>
        </w:tc>
        <w:tc>
          <w:tcPr>
            <w:tcW w:w="742"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b/>
                <w:bCs/>
                <w:color w:val="000000" w:themeColor="text1"/>
                <w:szCs w:val="21"/>
                <w14:textFill>
                  <w14:solidFill>
                    <w14:schemeClr w14:val="tx1"/>
                  </w14:solidFill>
                </w14:textFill>
              </w:rPr>
            </w:pPr>
            <w:r>
              <w:rPr>
                <w:rFonts w:hint="eastAsia" w:eastAsia="宋"/>
                <w:b/>
                <w:bCs/>
                <w:color w:val="000000" w:themeColor="text1"/>
                <w:szCs w:val="21"/>
                <w14:textFill>
                  <w14:solidFill>
                    <w14:schemeClr w14:val="tx1"/>
                  </w14:solidFill>
                </w14:textFill>
              </w:rPr>
              <w:t>监测项目</w:t>
            </w:r>
          </w:p>
        </w:tc>
        <w:tc>
          <w:tcPr>
            <w:tcW w:w="1433"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b/>
                <w:bCs/>
                <w:color w:val="000000" w:themeColor="text1"/>
                <w:szCs w:val="21"/>
                <w14:textFill>
                  <w14:solidFill>
                    <w14:schemeClr w14:val="tx1"/>
                  </w14:solidFill>
                </w14:textFill>
              </w:rPr>
            </w:pPr>
            <w:r>
              <w:rPr>
                <w:rFonts w:hint="eastAsia" w:eastAsia="宋"/>
                <w:b/>
                <w:bCs/>
                <w:color w:val="000000" w:themeColor="text1"/>
                <w:szCs w:val="21"/>
                <w14:textFill>
                  <w14:solidFill>
                    <w14:schemeClr w14:val="tx1"/>
                  </w14:solidFill>
                </w14:textFill>
              </w:rPr>
              <w:t>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05" w:type="pct"/>
            <w:vMerge w:val="restar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底泥</w:t>
            </w:r>
          </w:p>
        </w:tc>
        <w:tc>
          <w:tcPr>
            <w:tcW w:w="583"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D1</w:t>
            </w:r>
          </w:p>
        </w:tc>
        <w:tc>
          <w:tcPr>
            <w:tcW w:w="1335"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南六支渠</w:t>
            </w:r>
          </w:p>
        </w:tc>
        <w:tc>
          <w:tcPr>
            <w:tcW w:w="742" w:type="pct"/>
            <w:vMerge w:val="restar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pH、砷、镉、铜、铅、汞、镍、铬、锌</w:t>
            </w:r>
          </w:p>
        </w:tc>
        <w:tc>
          <w:tcPr>
            <w:tcW w:w="1433" w:type="pct"/>
            <w:vMerge w:val="restar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监测1天，1次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05"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583"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D2</w:t>
            </w:r>
          </w:p>
        </w:tc>
        <w:tc>
          <w:tcPr>
            <w:tcW w:w="1335"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南五支渠</w:t>
            </w:r>
          </w:p>
        </w:tc>
        <w:tc>
          <w:tcPr>
            <w:tcW w:w="742"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1433"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05"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583"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D3</w:t>
            </w:r>
          </w:p>
        </w:tc>
        <w:tc>
          <w:tcPr>
            <w:tcW w:w="1335"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default" w:eastAsia="宋"/>
                <w:color w:val="000000" w:themeColor="text1"/>
                <w:szCs w:val="21"/>
                <w14:textFill>
                  <w14:solidFill>
                    <w14:schemeClr w14:val="tx1"/>
                  </w14:solidFill>
                </w14:textFill>
              </w:rPr>
              <w:t>北支一渠</w:t>
            </w:r>
            <w:r>
              <w:rPr>
                <w:rFonts w:hint="eastAsia" w:eastAsia="宋"/>
                <w:color w:val="000000" w:themeColor="text1"/>
                <w:szCs w:val="21"/>
                <w14:textFill>
                  <w14:solidFill>
                    <w14:schemeClr w14:val="tx1"/>
                  </w14:solidFill>
                </w14:textFill>
              </w:rPr>
              <w:t>（上）</w:t>
            </w:r>
          </w:p>
        </w:tc>
        <w:tc>
          <w:tcPr>
            <w:tcW w:w="742"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1433"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05"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583"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D4</w:t>
            </w:r>
          </w:p>
        </w:tc>
        <w:tc>
          <w:tcPr>
            <w:tcW w:w="1335"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董家堰补水渠（上）</w:t>
            </w:r>
          </w:p>
        </w:tc>
        <w:tc>
          <w:tcPr>
            <w:tcW w:w="742"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1433" w:type="pct"/>
            <w:vMerge w:val="continue"/>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905" w:type="pct"/>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执行标准</w:t>
            </w:r>
          </w:p>
        </w:tc>
        <w:tc>
          <w:tcPr>
            <w:tcW w:w="4094" w:type="pct"/>
            <w:gridSpan w:val="4"/>
            <w:tcBorders>
              <w:tl2br w:val="nil"/>
              <w:tr2bl w:val="nil"/>
            </w:tcBorders>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r>
              <w:rPr>
                <w:rFonts w:hint="eastAsia" w:eastAsia="宋"/>
                <w:color w:val="000000" w:themeColor="text1"/>
                <w:szCs w:val="21"/>
                <w14:textFill>
                  <w14:solidFill>
                    <w14:schemeClr w14:val="tx1"/>
                  </w14:solidFill>
                </w14:textFill>
              </w:rPr>
              <w:t>《土壤环境质量农用地土壤污染风险管控标准（试行）》（GB15618-2018）表1农用地土壤污染风险筛选值</w:t>
            </w:r>
          </w:p>
        </w:tc>
      </w:tr>
    </w:tbl>
    <w:p>
      <w:pPr>
        <w:pStyle w:val="14"/>
        <w:spacing w:line="360" w:lineRule="auto"/>
        <w:ind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3、评价方法</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（1）评价标准</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根据土地性质，执行《土壤环境质量农用地土壤污染风险管控标准（试行）》（GB15618-2018）其他</w:t>
      </w:r>
      <w:r>
        <w:rPr>
          <w:rFonts w:hint="eastAsia"/>
          <w:color w:val="000000" w:themeColor="text1"/>
          <w14:textFill>
            <w14:solidFill>
              <w14:schemeClr w14:val="tx1"/>
            </w14:solidFill>
          </w14:textFill>
        </w:rPr>
        <w:t>（pH&gt;7.5）</w:t>
      </w:r>
      <w:r>
        <w:rPr>
          <w:color w:val="000000" w:themeColor="text1"/>
          <w14:textFill>
            <w14:solidFill>
              <w14:schemeClr w14:val="tx1"/>
            </w14:solidFill>
          </w14:textFill>
        </w:rPr>
        <w:t>地类标准。</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（2）评价方法</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采用单指标评价法对底泥现状进行评价。</w:t>
      </w:r>
    </w:p>
    <w:p>
      <w:pPr>
        <w:pStyle w:val="14"/>
        <w:spacing w:line="360" w:lineRule="auto"/>
        <w:ind w:firstLine="560" w:firstLineChars="200"/>
        <w:jc w:val="center"/>
        <w:rPr>
          <w:color w:val="000000" w:themeColor="text1"/>
          <w14:textFill>
            <w14:solidFill>
              <w14:schemeClr w14:val="tx1"/>
            </w14:solidFill>
          </w14:textFill>
        </w:rPr>
      </w:pPr>
      <w:r>
        <w:rPr>
          <w:color w:val="000000" w:themeColor="text1"/>
          <w:sz w:val="28"/>
          <w:szCs w:val="28"/>
          <w14:textFill>
            <w14:solidFill>
              <w14:schemeClr w14:val="tx1"/>
            </w14:solidFill>
          </w14:textFill>
        </w:rPr>
        <w:t>S</w:t>
      </w:r>
      <w:r>
        <w:rPr>
          <w:color w:val="000000" w:themeColor="text1"/>
          <w:sz w:val="28"/>
          <w:szCs w:val="28"/>
          <w:vertAlign w:val="subscript"/>
          <w14:textFill>
            <w14:solidFill>
              <w14:schemeClr w14:val="tx1"/>
            </w14:solidFill>
          </w14:textFill>
        </w:rPr>
        <w:t>I</w:t>
      </w:r>
      <w:r>
        <w:rPr>
          <w:color w:val="000000" w:themeColor="text1"/>
          <w:sz w:val="28"/>
          <w:szCs w:val="28"/>
          <w14:textFill>
            <w14:solidFill>
              <w14:schemeClr w14:val="tx1"/>
            </w14:solidFill>
          </w14:textFill>
        </w:rPr>
        <w:t>=C</w:t>
      </w:r>
      <w:r>
        <w:rPr>
          <w:color w:val="000000" w:themeColor="text1"/>
          <w:sz w:val="28"/>
          <w:szCs w:val="28"/>
          <w:vertAlign w:val="subscript"/>
          <w14:textFill>
            <w14:solidFill>
              <w14:schemeClr w14:val="tx1"/>
            </w14:solidFill>
          </w14:textFill>
        </w:rPr>
        <w:t>i</w:t>
      </w:r>
      <w:r>
        <w:rPr>
          <w:color w:val="000000" w:themeColor="text1"/>
          <w:sz w:val="28"/>
          <w:szCs w:val="28"/>
          <w14:textFill>
            <w14:solidFill>
              <w14:schemeClr w14:val="tx1"/>
            </w14:solidFill>
          </w14:textFill>
        </w:rPr>
        <w:t>/C</w:t>
      </w:r>
      <w:r>
        <w:rPr>
          <w:color w:val="000000" w:themeColor="text1"/>
          <w:sz w:val="28"/>
          <w:szCs w:val="28"/>
          <w:vertAlign w:val="subscript"/>
          <w14:textFill>
            <w14:solidFill>
              <w14:schemeClr w14:val="tx1"/>
            </w14:solidFill>
          </w14:textFill>
        </w:rPr>
        <w:t>Si</w:t>
      </w:r>
      <w:r>
        <w:rPr>
          <w:color w:val="000000" w:themeColor="text1"/>
          <w14:textFill>
            <w14:solidFill>
              <w14:schemeClr w14:val="tx1"/>
            </w14:solidFill>
          </w14:textFill>
        </w:rPr>
        <w:t>（公式5.5-1）</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式中：S</w:t>
      </w:r>
      <w:r>
        <w:rPr>
          <w:color w:val="000000" w:themeColor="text1"/>
          <w:vertAlign w:val="subscript"/>
          <w14:textFill>
            <w14:solidFill>
              <w14:schemeClr w14:val="tx1"/>
            </w14:solidFill>
          </w14:textFill>
        </w:rPr>
        <w:t>I</w:t>
      </w:r>
      <w:r>
        <w:rPr>
          <w:color w:val="000000" w:themeColor="text1"/>
          <w:sz w:val="28"/>
          <w:szCs w:val="28"/>
          <w14:textFill>
            <w14:solidFill>
              <w14:schemeClr w14:val="tx1"/>
            </w14:solidFill>
          </w14:textFill>
        </w:rPr>
        <w:t>——</w:t>
      </w:r>
      <w:r>
        <w:rPr>
          <w:color w:val="000000" w:themeColor="text1"/>
          <w14:textFill>
            <w14:solidFill>
              <w14:schemeClr w14:val="tx1"/>
            </w14:solidFill>
          </w14:textFill>
        </w:rPr>
        <w:t>标准指数；</w:t>
      </w:r>
    </w:p>
    <w:p>
      <w:pPr>
        <w:pStyle w:val="14"/>
        <w:spacing w:line="360" w:lineRule="auto"/>
        <w:ind w:firstLine="1200" w:firstLineChars="500"/>
        <w:jc w:val="both"/>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i</w:t>
      </w:r>
      <w:r>
        <w:rPr>
          <w:color w:val="000000" w:themeColor="text1"/>
          <w:sz w:val="28"/>
          <w:szCs w:val="28"/>
          <w14:textFill>
            <w14:solidFill>
              <w14:schemeClr w14:val="tx1"/>
            </w14:solidFill>
          </w14:textFill>
        </w:rPr>
        <w:t>——</w:t>
      </w:r>
      <w:r>
        <w:rPr>
          <w:color w:val="000000" w:themeColor="text1"/>
          <w14:textFill>
            <w14:solidFill>
              <w14:schemeClr w14:val="tx1"/>
            </w14:solidFill>
          </w14:textFill>
        </w:rPr>
        <w:t>i中污染物监测浓度值，mg/L；</w:t>
      </w:r>
    </w:p>
    <w:p>
      <w:pPr>
        <w:pStyle w:val="14"/>
        <w:spacing w:line="360" w:lineRule="auto"/>
        <w:ind w:firstLine="1200" w:firstLineChars="500"/>
        <w:jc w:val="both"/>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Si</w:t>
      </w:r>
      <w:r>
        <w:rPr>
          <w:color w:val="000000" w:themeColor="text1"/>
          <w:sz w:val="28"/>
          <w:szCs w:val="28"/>
          <w14:textFill>
            <w14:solidFill>
              <w14:schemeClr w14:val="tx1"/>
            </w14:solidFill>
          </w14:textFill>
        </w:rPr>
        <w:t>——</w:t>
      </w:r>
      <w:r>
        <w:rPr>
          <w:color w:val="000000" w:themeColor="text1"/>
          <w14:textFill>
            <w14:solidFill>
              <w14:schemeClr w14:val="tx1"/>
            </w14:solidFill>
          </w14:textFill>
        </w:rPr>
        <w:t>i中污染物标准浓度值，mg/L；</w:t>
      </w:r>
    </w:p>
    <w:p>
      <w:pPr>
        <w:pStyle w:val="14"/>
        <w:spacing w:line="360" w:lineRule="auto"/>
        <w:ind w:firstLine="482" w:firstLineChars="200"/>
        <w:jc w:val="both"/>
        <w:rPr>
          <w:b/>
          <w:color w:val="000000" w:themeColor="text1"/>
          <w14:textFill>
            <w14:solidFill>
              <w14:schemeClr w14:val="tx1"/>
            </w14:solidFill>
          </w14:textFill>
        </w:rPr>
      </w:pPr>
      <w:r>
        <w:rPr>
          <w:b/>
          <w:color w:val="000000" w:themeColor="text1"/>
          <w14:textFill>
            <w14:solidFill>
              <w14:schemeClr w14:val="tx1"/>
            </w14:solidFill>
          </w14:textFill>
        </w:rPr>
        <w:t>4、现状监测结果</w:t>
      </w:r>
    </w:p>
    <w:p>
      <w:pPr>
        <w:pStyle w:val="14"/>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表3.2-1</w:t>
      </w:r>
      <w:r>
        <w:rPr>
          <w:rFonts w:hint="eastAsia" w:eastAsia="黑体"/>
          <w:color w:val="000000" w:themeColor="text1"/>
          <w:lang w:val="en-US" w:eastAsia="zh-CN"/>
          <w14:textFill>
            <w14:solidFill>
              <w14:schemeClr w14:val="tx1"/>
            </w14:solidFill>
          </w14:textFill>
        </w:rPr>
        <w:t>2</w:t>
      </w:r>
      <w:r>
        <w:rPr>
          <w:rFonts w:eastAsia="黑体"/>
          <w:color w:val="000000" w:themeColor="text1"/>
          <w14:textFill>
            <w14:solidFill>
              <w14:schemeClr w14:val="tx1"/>
            </w14:solidFill>
          </w14:textFill>
        </w:rPr>
        <w:t>项目土壤检测结果</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082"/>
        <w:gridCol w:w="1345"/>
        <w:gridCol w:w="1359"/>
        <w:gridCol w:w="1320"/>
        <w:gridCol w:w="1057"/>
        <w:gridCol w:w="12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66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采样日期</w:t>
            </w:r>
          </w:p>
        </w:tc>
        <w:tc>
          <w:tcPr>
            <w:tcW w:w="63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检测点位</w:t>
            </w: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检测项目</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检测结果</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标准值</w:t>
            </w:r>
            <w:r>
              <w:rPr>
                <w:rFonts w:hint="eastAsia"/>
                <w:b/>
                <w:bCs/>
                <w:color w:val="000000" w:themeColor="text1"/>
                <w14:textFill>
                  <w14:solidFill>
                    <w14:schemeClr w14:val="tx1"/>
                  </w14:solidFill>
                </w14:textFill>
              </w:rPr>
              <w:t>（pH&gt;7.5）</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单位</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是否超标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restar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2024.3.12</w:t>
            </w:r>
          </w:p>
        </w:tc>
        <w:tc>
          <w:tcPr>
            <w:tcW w:w="635" w:type="pct"/>
            <w:vMerge w:val="restart"/>
            <w:tcBorders>
              <w:tl2br w:val="nil"/>
              <w:tr2bl w:val="nil"/>
            </w:tcBorders>
            <w:shd w:val="clear" w:color="auto" w:fill="auto"/>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color w:val="000000" w:themeColor="text1"/>
                <w14:textFill>
                  <w14:solidFill>
                    <w14:schemeClr w14:val="tx1"/>
                  </w14:solidFill>
                </w14:textFill>
              </w:rPr>
            </w:pPr>
            <w:r>
              <w:rPr>
                <w:rFonts w:hint="eastAsia" w:eastAsia="宋"/>
                <w:color w:val="000000" w:themeColor="text1"/>
                <w:szCs w:val="21"/>
                <w14:textFill>
                  <w14:solidFill>
                    <w14:schemeClr w14:val="tx1"/>
                  </w14:solidFill>
                </w14:textFill>
              </w:rPr>
              <w:t>D1</w:t>
            </w:r>
            <w:r>
              <w:rPr>
                <w:rFonts w:hint="default" w:eastAsia="宋"/>
                <w:color w:val="000000" w:themeColor="text1"/>
                <w:szCs w:val="21"/>
                <w14:textFill>
                  <w14:solidFill>
                    <w14:schemeClr w14:val="tx1"/>
                  </w14:solidFill>
                </w14:textFill>
              </w:rPr>
              <w:t>南六支渠</w:t>
            </w:r>
            <w:r>
              <w:rPr>
                <w:rFonts w:hint="eastAsia" w:eastAsia="宋"/>
                <w:color w:val="000000" w:themeColor="text1"/>
                <w:szCs w:val="21"/>
                <w14:textFill>
                  <w14:solidFill>
                    <w14:schemeClr w14:val="tx1"/>
                  </w14:solidFill>
                </w14:textFill>
              </w:rPr>
              <w:t>底泥监测点</w:t>
            </w: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pH</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8.36</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砷</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18.6</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镉</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ND</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eastAsia="宋"/>
                <w:color w:val="000000" w:themeColor="text1"/>
                <w:szCs w:val="2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铜</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13.0</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铅</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汞</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0.320</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镍</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190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铬</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51</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restar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2024.3.12</w:t>
            </w:r>
          </w:p>
        </w:tc>
        <w:tc>
          <w:tcPr>
            <w:tcW w:w="635" w:type="pct"/>
            <w:vMerge w:val="restart"/>
            <w:tcBorders>
              <w:tl2br w:val="nil"/>
              <w:tr2bl w:val="nil"/>
            </w:tcBorders>
            <w:shd w:val="clear" w:color="auto" w:fill="auto"/>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color w:val="000000" w:themeColor="text1"/>
                <w14:textFill>
                  <w14:solidFill>
                    <w14:schemeClr w14:val="tx1"/>
                  </w14:solidFill>
                </w14:textFill>
              </w:rPr>
            </w:pPr>
            <w:r>
              <w:rPr>
                <w:rFonts w:hint="eastAsia" w:eastAsia="宋"/>
                <w:color w:val="000000" w:themeColor="text1"/>
                <w:szCs w:val="21"/>
                <w14:textFill>
                  <w14:solidFill>
                    <w14:schemeClr w14:val="tx1"/>
                  </w14:solidFill>
                </w14:textFill>
              </w:rPr>
              <w:t>D2</w:t>
            </w:r>
            <w:r>
              <w:rPr>
                <w:rFonts w:hint="default" w:eastAsia="宋"/>
                <w:color w:val="000000" w:themeColor="text1"/>
                <w:szCs w:val="21"/>
                <w14:textFill>
                  <w14:solidFill>
                    <w14:schemeClr w14:val="tx1"/>
                  </w14:solidFill>
                </w14:textFill>
              </w:rPr>
              <w:t>南五支渠</w:t>
            </w: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pH</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8.2</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砷</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15.8</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镉</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0.33</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铜</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21.1</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铅</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汞</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0.506</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镍</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190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铬</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restar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bookmarkStart w:id="442" w:name="_Toc70496298"/>
            <w:r>
              <w:rPr>
                <w:rFonts w:hint="eastAsia"/>
                <w:color w:val="000000" w:themeColor="text1"/>
                <w14:textFill>
                  <w14:solidFill>
                    <w14:schemeClr w14:val="tx1"/>
                  </w14:solidFill>
                </w14:textFill>
              </w:rPr>
              <w:t>2024.3.12</w:t>
            </w:r>
          </w:p>
        </w:tc>
        <w:tc>
          <w:tcPr>
            <w:tcW w:w="635" w:type="pct"/>
            <w:vMerge w:val="restart"/>
            <w:tcBorders>
              <w:tl2br w:val="nil"/>
              <w:tr2bl w:val="nil"/>
            </w:tcBorders>
            <w:shd w:val="clear" w:color="auto" w:fill="auto"/>
            <w:vAlign w:val="center"/>
          </w:tcPr>
          <w:p>
            <w:pPr>
              <w:pStyle w:val="64"/>
              <w:keepNext w:val="0"/>
              <w:keepLines w:val="0"/>
              <w:widowControl/>
              <w:suppressLineNumbers w:val="0"/>
              <w:autoSpaceDE/>
              <w:autoSpaceDN/>
              <w:snapToGrid w:val="0"/>
              <w:spacing w:before="0" w:beforeAutospacing="0" w:after="0" w:afterAutospacing="0"/>
              <w:ind w:left="0" w:right="0"/>
              <w:textAlignment w:val="auto"/>
              <w:rPr>
                <w:rFonts w:hint="default"/>
                <w:color w:val="000000" w:themeColor="text1"/>
                <w14:textFill>
                  <w14:solidFill>
                    <w14:schemeClr w14:val="tx1"/>
                  </w14:solidFill>
                </w14:textFill>
              </w:rPr>
            </w:pPr>
            <w:r>
              <w:rPr>
                <w:rFonts w:hint="eastAsia" w:eastAsia="宋"/>
                <w:color w:val="000000" w:themeColor="text1"/>
                <w:szCs w:val="21"/>
                <w14:textFill>
                  <w14:solidFill>
                    <w14:schemeClr w14:val="tx1"/>
                  </w14:solidFill>
                </w14:textFill>
              </w:rPr>
              <w:t>D3</w:t>
            </w:r>
            <w:r>
              <w:rPr>
                <w:rFonts w:hint="default" w:eastAsia="宋"/>
                <w:color w:val="000000" w:themeColor="text1"/>
                <w:szCs w:val="21"/>
                <w14:textFill>
                  <w14:solidFill>
                    <w14:schemeClr w14:val="tx1"/>
                  </w14:solidFill>
                </w14:textFill>
              </w:rPr>
              <w:t>北支一渠</w:t>
            </w:r>
            <w:r>
              <w:rPr>
                <w:rFonts w:hint="eastAsia" w:eastAsia="宋"/>
                <w:color w:val="000000" w:themeColor="text1"/>
                <w:szCs w:val="21"/>
                <w14:textFill>
                  <w14:solidFill>
                    <w14:schemeClr w14:val="tx1"/>
                  </w14:solidFill>
                </w14:textFill>
              </w:rPr>
              <w:t>（上）</w:t>
            </w: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pH</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8.04</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砷</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镉</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0.17</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铜</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7.2</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铅</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汞</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0.237</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镍</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190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铬</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restar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2024.3.12</w:t>
            </w:r>
          </w:p>
        </w:tc>
        <w:tc>
          <w:tcPr>
            <w:tcW w:w="635" w:type="pct"/>
            <w:vMerge w:val="restar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eastAsia="宋"/>
                <w:color w:val="000000" w:themeColor="text1"/>
                <w14:textFill>
                  <w14:solidFill>
                    <w14:schemeClr w14:val="tx1"/>
                  </w14:solidFill>
                </w14:textFill>
              </w:rPr>
              <w:t>D4董家堰补水渠（上）</w:t>
            </w: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pH</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7.94</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无量纲</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砷</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21.0</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镉</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0.31</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铜</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17.7</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铅</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汞</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0.382</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镍</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34</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190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铬</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exact"/>
          <w:jc w:val="center"/>
        </w:trPr>
        <w:tc>
          <w:tcPr>
            <w:tcW w:w="662"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635"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78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797"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774"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620"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mg/kg</w:t>
            </w:r>
          </w:p>
        </w:tc>
        <w:tc>
          <w:tcPr>
            <w:tcW w:w="71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否</w:t>
            </w:r>
          </w:p>
        </w:tc>
      </w:tr>
    </w:tbl>
    <w:p>
      <w:pPr>
        <w:pStyle w:val="4"/>
        <w:spacing w:line="360" w:lineRule="auto"/>
        <w:ind w:left="0" w:firstLine="560"/>
        <w:rPr>
          <w:rFonts w:ascii="Times New Roman" w:hAnsi="Times New Roman" w:cs="Times New Roman"/>
          <w:color w:val="000000" w:themeColor="text1"/>
          <w:szCs w:val="24"/>
          <w14:textFill>
            <w14:solidFill>
              <w14:schemeClr w14:val="tx1"/>
            </w14:solidFill>
          </w14:textFill>
        </w:rPr>
      </w:pPr>
      <w:bookmarkStart w:id="443" w:name="_Toc8920"/>
      <w:r>
        <w:rPr>
          <w:rFonts w:ascii="Times New Roman" w:hAnsi="Times New Roman" w:cs="Times New Roman"/>
          <w:color w:val="000000" w:themeColor="text1"/>
          <w:szCs w:val="24"/>
          <w14:textFill>
            <w14:solidFill>
              <w14:schemeClr w14:val="tx1"/>
            </w14:solidFill>
          </w14:textFill>
        </w:rPr>
        <w:t>3.2.6生态环境现状</w:t>
      </w:r>
      <w:bookmarkEnd w:id="442"/>
      <w:r>
        <w:rPr>
          <w:rFonts w:hint="eastAsia" w:ascii="Times New Roman" w:hAnsi="Times New Roman" w:cs="Times New Roman"/>
          <w:color w:val="000000" w:themeColor="text1"/>
          <w:szCs w:val="24"/>
          <w14:textFill>
            <w14:solidFill>
              <w14:schemeClr w14:val="tx1"/>
            </w14:solidFill>
          </w14:textFill>
        </w:rPr>
        <w:t>调查与评价</w:t>
      </w:r>
      <w:bookmarkEnd w:id="443"/>
    </w:p>
    <w:p>
      <w:pPr>
        <w:autoSpaceDE/>
        <w:autoSpaceDN/>
        <w:adjustRightInd w:val="0"/>
        <w:snapToGrid w:val="0"/>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3.2.6.1生态环境调查方法</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3.2.6.1.1评价区调查内容</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植物植被：植被调查内容为项目评价区植被类型、分布规律（水平与垂直）、覆盖度和演替规律等，重点调查评价区特有和生物多样性较丰富的植被；植物调查内容为区域植物种类、植物地理区系等，重点调查国家、省级保护、珍稀濒危和特有的植物种类及其数量、分布范围、生态条件等。</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陆生野生脊椎动物：对评价区陆生野生脊椎动物的区系组成、种类、生态习性、分布范围等进行调查分析，重点调查评价区内分布的国家与省级重点保护、珍稀濒危及地方特有动物的种类、数量、分布范围、生态条件等。</w:t>
      </w:r>
    </w:p>
    <w:p>
      <w:pPr>
        <w:spacing w:line="360" w:lineRule="auto"/>
        <w:ind w:firstLine="480" w:firstLineChars="200"/>
        <w:jc w:val="both"/>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水生生态：调查评价区内的鱼类物种组成及分布，并对调查结果进行分析，识别是否有国家重点保护野生鱼类、珍稀濒危鱼类物种分布；调查水生生境现状及水文情势等。</w:t>
      </w:r>
    </w:p>
    <w:p>
      <w:pPr>
        <w:spacing w:line="360" w:lineRule="auto"/>
        <w:jc w:val="both"/>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3.2.6.1.2生态现状调查方法</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本项目生态现状调查采用资料收集法、现场调查法和遥感调查法。</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）资料收集法</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到当地相关部门收集该地区地方志、保护区科学考察报告和林业资源二类调查报告等地方资料；同时参考《四川植被》、《四川植物志》、《中国植物志》、《</w:t>
      </w:r>
      <w:r>
        <w:rPr>
          <w:color w:val="000000" w:themeColor="text1"/>
          <w:sz w:val="24"/>
          <w:szCs w:val="24"/>
          <w:lang w:bidi="ar"/>
          <w14:textFill>
            <w14:solidFill>
              <w14:schemeClr w14:val="tx1"/>
            </w14:solidFill>
          </w14:textFill>
        </w:rPr>
        <w:t>FloraofChina</w:t>
      </w:r>
      <w:r>
        <w:rPr>
          <w:rFonts w:hint="eastAsia" w:ascii="宋体" w:hAnsi="宋体" w:cs="宋体"/>
          <w:color w:val="000000" w:themeColor="text1"/>
          <w:sz w:val="24"/>
          <w:szCs w:val="24"/>
          <w:lang w:bidi="ar"/>
          <w14:textFill>
            <w14:solidFill>
              <w14:schemeClr w14:val="tx1"/>
            </w14:solidFill>
          </w14:textFill>
        </w:rPr>
        <w:t>》等文献中记录于该区域的资料，以及区域重大工程环境影响评价生态现状调查资料。</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）现场调查法</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现场调查主要包括样线调查和样方调查进行实地调查。</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）遥感调查法</w:t>
      </w:r>
    </w:p>
    <w:p>
      <w:pPr>
        <w:spacing w:line="360" w:lineRule="auto"/>
        <w:ind w:firstLine="480" w:firstLineChars="200"/>
        <w:jc w:val="both"/>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通过卫星遥感影像调查项目沿线环境敏感区分布情况，结合实地调查，确定项目沿线环境敏感区域分布位置及数量特征。</w:t>
      </w:r>
    </w:p>
    <w:p>
      <w:pPr>
        <w:spacing w:line="360" w:lineRule="auto"/>
        <w:jc w:val="both"/>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3.2.6.1.3植物群落与植被调查方法</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）植物植被调查方法</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植物和植被调查采用样方调查与样线调查相结合的方法进行实地调查，结合收集到的相关历史文献资料，整理总结出项目评价区的陆生植被状况。</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①样方样线调查</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对拟建项目评价区内林地、灌丛、草地、湿地等不同生态类型，进行实际调查。现场调查时，根据不同的植被类型分别设置调查样方，记录各个区域的植被组成与植被类型；记录评价区出现的植物种类，必要时采集标本鉴定；在地形图勾绘出评价区的植物群落类型，并拍照记录。野外工作底图为卫星影像图。</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②资料收集</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收集评价区历史的科学考察报告和林业资源二类调查报告等地方资料；同时参考《四川植被》《中国植物志》《</w:t>
      </w:r>
      <w:r>
        <w:rPr>
          <w:color w:val="000000" w:themeColor="text1"/>
          <w:sz w:val="24"/>
          <w:szCs w:val="24"/>
          <w:lang w:bidi="ar"/>
          <w14:textFill>
            <w14:solidFill>
              <w14:schemeClr w14:val="tx1"/>
            </w14:solidFill>
          </w14:textFill>
        </w:rPr>
        <w:t>FloraofChina</w:t>
      </w:r>
      <w:r>
        <w:rPr>
          <w:rFonts w:hint="eastAsia" w:ascii="宋体" w:hAnsi="宋体" w:cs="宋体"/>
          <w:color w:val="000000" w:themeColor="text1"/>
          <w:sz w:val="24"/>
          <w:szCs w:val="24"/>
          <w:lang w:bidi="ar"/>
          <w14:textFill>
            <w14:solidFill>
              <w14:schemeClr w14:val="tx1"/>
            </w14:solidFill>
          </w14:textFill>
        </w:rPr>
        <w:t>》等文献中记录于该区域的资料，结合文献资料与现场调查结果总结项目区域植物组成与植被现状。</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表3.2-1</w:t>
      </w:r>
      <w:r>
        <w:rPr>
          <w:rFonts w:hint="eastAsia" w:eastAsia="黑体"/>
          <w:color w:val="000000" w:themeColor="text1"/>
          <w:lang w:val="en-US" w:eastAsia="zh-CN"/>
          <w14:textFill>
            <w14:solidFill>
              <w14:schemeClr w14:val="tx1"/>
            </w14:solidFill>
          </w14:textFill>
        </w:rPr>
        <w:t>3</w:t>
      </w:r>
      <w:r>
        <w:rPr>
          <w:rFonts w:hint="eastAsia" w:eastAsia="黑体"/>
          <w:color w:val="000000" w:themeColor="text1"/>
          <w14:textFill>
            <w14:solidFill>
              <w14:schemeClr w14:val="tx1"/>
            </w14:solidFill>
          </w14:textFill>
        </w:rPr>
        <w:t>植被调查样方位置分布坐标</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552"/>
        <w:gridCol w:w="883"/>
        <w:gridCol w:w="1019"/>
        <w:gridCol w:w="3533"/>
        <w:gridCol w:w="1214"/>
        <w:gridCol w:w="1321"/>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序号</w:t>
            </w:r>
          </w:p>
        </w:tc>
        <w:tc>
          <w:tcPr>
            <w:tcW w:w="1116" w:type="pct"/>
            <w:gridSpan w:val="2"/>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植被型</w:t>
            </w:r>
          </w:p>
        </w:tc>
        <w:tc>
          <w:tcPr>
            <w:tcW w:w="2072"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群系</w:t>
            </w:r>
          </w:p>
        </w:tc>
        <w:tc>
          <w:tcPr>
            <w:tcW w:w="712"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经度</w:t>
            </w:r>
          </w:p>
        </w:tc>
        <w:tc>
          <w:tcPr>
            <w:tcW w:w="775" w:type="pct"/>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纬度</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城市森林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侧柏林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104.19992</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30.633267</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城市森林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侧柏林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104.197633</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30.628065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城市森林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侧柏林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104.194945</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30.641573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城市草地</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狗牙根</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麦冬</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蝴蝶花等城市草地</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104.198143</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30.629524</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城市草地</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狗牙根</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麦冬</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蝴蝶花等城市草地</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104.201616</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30.641083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城市草地</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狗牙根</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麦冬</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蝴蝶花等城市草地</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104.202642</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30.647967</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城市湿地</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芦苇</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菖蒲</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风车草等城市湿地</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104.201373</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30.625771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城市湿地</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芦苇</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菖蒲</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风车草等城市湿地</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104.200037</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30.63662</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9</w:t>
            </w:r>
          </w:p>
        </w:tc>
        <w:tc>
          <w:tcPr>
            <w:tcW w:w="111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城市湿地</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芦苇</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菖蒲</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风车草等城市湿地</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104.198138</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30.641546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w:t>
            </w:r>
          </w:p>
        </w:tc>
        <w:tc>
          <w:tcPr>
            <w:tcW w:w="518" w:type="pct"/>
            <w:vMerge w:val="restar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城市公园</w:t>
            </w: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灌丛</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小叶女贞</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红花檵木</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八角金盘</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鹅掌柴</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南天竹等城市公园灌丛</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104.200436</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30.637756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11</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灌丛</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小叶女贞</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红花檵木</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八角金盘</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鹅掌柴</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南天竹等城市公园灌丛</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104.20089</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30.641753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12</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灌丛</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小叶女贞</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红花檵木</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八角金盘</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鹅掌柴</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南天竹等城市公园灌丛</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104.199289</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30.627516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13</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樱树林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山樱</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染井吉野樱林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104.202339</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30.646945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14</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樱树林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山樱</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染井吉野樱林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104.201339</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30.635931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15</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樱树林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山樱</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染井吉野樱林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104.200426</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30.642414</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16</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竹林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慈竹</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孝顺竹林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104.198243</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30.632431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17</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竹林</w:t>
            </w:r>
          </w:p>
        </w:tc>
        <w:tc>
          <w:tcPr>
            <w:tcW w:w="20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慈竹</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孝顺竹林</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104.194674</w:t>
            </w:r>
          </w:p>
        </w:tc>
        <w:tc>
          <w:tcPr>
            <w:tcW w:w="775"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30.626229</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3" w:type="pct"/>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18</w:t>
            </w:r>
          </w:p>
        </w:tc>
        <w:tc>
          <w:tcPr>
            <w:tcW w:w="518" w:type="pct"/>
            <w:vMerge w:val="continue"/>
            <w:tcBorders>
              <w:top w:val="single" w:color="auto" w:sz="12" w:space="0"/>
              <w:left w:val="single" w:color="auto" w:sz="4" w:space="0"/>
              <w:bottom w:val="single" w:color="auto" w:sz="12"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98"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竹林</w:t>
            </w:r>
          </w:p>
        </w:tc>
        <w:tc>
          <w:tcPr>
            <w:tcW w:w="2072"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慈竹</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孝顺竹林</w:t>
            </w:r>
          </w:p>
        </w:tc>
        <w:tc>
          <w:tcPr>
            <w:tcW w:w="712"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104.199728</w:t>
            </w:r>
          </w:p>
        </w:tc>
        <w:tc>
          <w:tcPr>
            <w:tcW w:w="775" w:type="pct"/>
            <w:tcBorders>
              <w:top w:val="single" w:color="auto" w:sz="4" w:space="0"/>
              <w:left w:val="single" w:color="auto" w:sz="4" w:space="0"/>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30.644192</w:t>
            </w:r>
          </w:p>
        </w:tc>
      </w:tr>
    </w:tbl>
    <w:p>
      <w:pPr>
        <w:adjustRightInd w:val="0"/>
        <w:snapToGrid w:val="0"/>
        <w:spacing w:before="156" w:beforeLines="50"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3.2.6.1.4野生动物调查方法</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）内业准备</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依据《中国兽类分布》《中国兽类物种和亚种分类名录与分布大全》《四川资源动物志》等相关资料的基础上，确定在影响评价区分布的各类群动物。同时，根据国家重点保护野生动物名录、《中国生物多样性红色名录·脊椎动物卷（</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）》《世界自然保护联盟濒危物种红色名录》（</w:t>
      </w:r>
      <w:r>
        <w:rPr>
          <w:color w:val="000000" w:themeColor="text1"/>
          <w:sz w:val="24"/>
          <w:szCs w:val="24"/>
          <w:lang w:bidi="ar"/>
          <w14:textFill>
            <w14:solidFill>
              <w14:schemeClr w14:val="tx1"/>
            </w14:solidFill>
          </w14:textFill>
        </w:rPr>
        <w:t>IUCN</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）、《濒危野生动植物种国际贸易公约》（</w:t>
      </w:r>
      <w:r>
        <w:rPr>
          <w:color w:val="000000" w:themeColor="text1"/>
          <w:sz w:val="24"/>
          <w:szCs w:val="24"/>
          <w:lang w:bidi="ar"/>
          <w14:textFill>
            <w14:solidFill>
              <w14:schemeClr w14:val="tx1"/>
            </w14:solidFill>
          </w14:textFill>
        </w:rPr>
        <w:t>CITES</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2019</w:t>
      </w:r>
      <w:r>
        <w:rPr>
          <w:rFonts w:hint="eastAsia" w:ascii="宋体" w:hAnsi="宋体" w:cs="宋体"/>
          <w:color w:val="000000" w:themeColor="text1"/>
          <w:sz w:val="24"/>
          <w:szCs w:val="24"/>
          <w:lang w:bidi="ar"/>
          <w14:textFill>
            <w14:solidFill>
              <w14:schemeClr w14:val="tx1"/>
            </w14:solidFill>
          </w14:textFill>
        </w:rPr>
        <w:t>）等文献资料确定动物的保护物种和特有种。</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）陆生动物野外调查</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调查方法包括样线调查法、访问调查和生境推测法。样线调查，通过设置调查样线的方式，穿越评价区内多个生境类型，记录沿线观察到的野生动物物种。访问调查，经实地走访，确定当地主要分布的常见种、保护种和特有种及其生境类型。生境推测，根据当地的景观类型，结合室内工作提取出的重要保护物种名录，推测当地各种景观类型中可能分布的各类脊椎动物特有种、保护种和稀有种，并通过实地调查，加以证实。</w:t>
      </w:r>
    </w:p>
    <w:p>
      <w:pPr>
        <w:pStyle w:val="34"/>
        <w:widowControl w:val="0"/>
        <w:spacing w:before="0" w:beforeAutospacing="0" w:after="0" w:afterAutospacing="0"/>
        <w:ind w:left="440" w:firstLine="480"/>
        <w:jc w:val="center"/>
        <w:rPr>
          <w:rFonts w:eastAsia="黑体"/>
          <w:b/>
          <w:color w:val="000000" w:themeColor="text1"/>
          <w:kern w:val="44"/>
          <w:sz w:val="21"/>
          <w:szCs w:val="21"/>
          <w14:textFill>
            <w14:solidFill>
              <w14:schemeClr w14:val="tx1"/>
            </w14:solidFill>
          </w14:textFill>
        </w:rPr>
      </w:pPr>
      <w:r>
        <w:rPr>
          <w:rFonts w:eastAsia="黑体"/>
          <w:color w:val="000000" w:themeColor="text1"/>
          <w14:textFill>
            <w14:solidFill>
              <w14:schemeClr w14:val="tx1"/>
            </w14:solidFill>
          </w14:textFill>
        </w:rPr>
        <w:t>表3.2-1</w:t>
      </w:r>
      <w:r>
        <w:rPr>
          <w:rFonts w:hint="eastAsia" w:eastAsia="黑体"/>
          <w:color w:val="000000" w:themeColor="text1"/>
          <w:lang w:val="en-US" w:eastAsia="zh-CN"/>
          <w14:textFill>
            <w14:solidFill>
              <w14:schemeClr w14:val="tx1"/>
            </w14:solidFill>
          </w14:textFill>
        </w:rPr>
        <w:t>4</w:t>
      </w:r>
      <w:r>
        <w:rPr>
          <w:rFonts w:hint="eastAsia" w:eastAsia="黑体"/>
          <w:color w:val="000000" w:themeColor="text1"/>
          <w14:textFill>
            <w14:solidFill>
              <w14:schemeClr w14:val="tx1"/>
            </w14:solidFill>
          </w14:textFill>
        </w:rPr>
        <w:t>动物样线调查表</w:t>
      </w:r>
    </w:p>
    <w:tbl>
      <w:tblPr>
        <w:tblStyle w:val="14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1491"/>
        <w:gridCol w:w="1491"/>
        <w:gridCol w:w="48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5"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编号</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样线起点</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样线终点</w:t>
            </w:r>
          </w:p>
        </w:tc>
        <w:tc>
          <w:tcPr>
            <w:tcW w:w="283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val="0"/>
                <w:color w:val="000000" w:themeColor="text1"/>
                <w14:textFill>
                  <w14:solidFill>
                    <w14:schemeClr w14:val="tx1"/>
                  </w14:solidFill>
                </w14:textFill>
              </w:rPr>
              <w:t>穿越生境类型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5"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104.196293E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30.642593N</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104.201376E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30.641869N</w:t>
            </w:r>
          </w:p>
        </w:tc>
        <w:tc>
          <w:tcPr>
            <w:tcW w:w="283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城市森林、城市公园-灌丛、城市湿地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5"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104.196809E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30.633065N</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104.198945E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30.628615N</w:t>
            </w:r>
          </w:p>
        </w:tc>
        <w:tc>
          <w:tcPr>
            <w:tcW w:w="283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城市森林、城市草地、城市公园-竹林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5"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104.202308E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30.634946N</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104.200424E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30.637437N</w:t>
            </w:r>
          </w:p>
        </w:tc>
        <w:tc>
          <w:tcPr>
            <w:tcW w:w="283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城市湿地、城市公园-灌丛、城市公园-樱树林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5"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104.202451E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30.644281N</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104.200933E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30.650249N</w:t>
            </w:r>
          </w:p>
        </w:tc>
        <w:tc>
          <w:tcPr>
            <w:tcW w:w="283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城市草地、城市公园-樱树林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5"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5</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104.199138E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30.627263N</w:t>
            </w:r>
          </w:p>
        </w:tc>
        <w:tc>
          <w:tcPr>
            <w:tcW w:w="87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104.202551E</w:t>
            </w:r>
          </w:p>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30.626221N</w:t>
            </w:r>
          </w:p>
        </w:tc>
        <w:tc>
          <w:tcPr>
            <w:tcW w:w="2834" w:type="pct"/>
            <w:shd w:val="clear" w:color="auto" w:fill="auto"/>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城市湿地、城市公园-灌丛</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主要对影响评价区内兽类、鸟类、爬行类、两栖类的种类、分布、密度和生活习性进行调查，特别注意珍稀保护的陆生动物的种类、分布、栖息及活动情况。记录目击动物实体、毛发、羽毛、足迹、粪便与活动痕迹，并拍照。评价区周边地区沿途所见陆生脊椎动物也予以记录种类和数量。对陆生动物的调查主要采取设置直接观测法，不同动物类群的调查方法如下：</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①兽类</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小型兽类以样线调查为主。中、大型兽类以访问调查为主，向受访问人员展示《中国兽类野外手册》，以确认当地分布的兽类种类。</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②鸟类</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调查样线与兽类的相同，主要采用常规的不定宽路线调查法，利用穿越调查区域的评价区现有道路作为调查路线。在调查沿线同时还做了访问调查，访问风景名胜区内的安保人员及游客，了解当地的鸟类及其分布情况。</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③两栖爬行类</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两栖、爬行动物行动慢，活动范围小，对水环境的依赖性强，采用沿评价区附近河道设样线，辅以足够数量的走访路线进行调查，依据看到的动物实体或痕迹并结合访问、文献资料进行分析整理，并参考《四川两栖类原色图鉴》《四川爬行类动物原色图鉴》确定其种类。</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④鱼类</w:t>
      </w:r>
    </w:p>
    <w:p>
      <w:pPr>
        <w:spacing w:line="360" w:lineRule="auto"/>
        <w:ind w:firstLine="480" w:firstLineChars="200"/>
        <w:jc w:val="both"/>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由于青龙湖湿地公园内不允许捕鱼活动，因此对花果山风景名胜区内的水生生态调查以资料收集与走访调查为主，针对鱼类的生态调查对象主要为灌渠上游水源的东风渠，通过在项目上游入水口附近设置水生生态调查断面，结合相关资料分析调查总结水生生物种群现状及水生生境状况。</w:t>
      </w:r>
    </w:p>
    <w:p>
      <w:pPr>
        <w:autoSpaceDE/>
        <w:autoSpaceDN/>
        <w:adjustRightInd w:val="0"/>
        <w:snapToGrid w:val="0"/>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3.2.6.2植被组成与分布现状调查</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3.2.6.2.1植被组成与植被类型</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）主要植被类型</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实地考察和参考相关林业调查资料，根据群落的特征，参考《中国植被》中自然植被的分类系统，按照《中国植被分类系统修订方案》（郭柯、方精云等，2020）中的分类系统，划分出不同的植被类型。由于评价区主要植物种群为人工栽培，相对高差不大垂直分布不明显，且调查面积有限，地表植被的水平分布较为破碎且受人为干扰的程度较大。按照上述参考资料的植被分类系统的划分，评价区内植被分为2个植被型组、7个群系，有关评价区的植被分类系统、主要植被概况及其在评价区的分布见下表。</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表3.2-1</w:t>
      </w:r>
      <w:r>
        <w:rPr>
          <w:rFonts w:hint="eastAsia" w:eastAsia="黑体"/>
          <w:color w:val="000000" w:themeColor="text1"/>
          <w:lang w:val="en-US" w:eastAsia="zh-CN"/>
          <w14:textFill>
            <w14:solidFill>
              <w14:schemeClr w14:val="tx1"/>
            </w14:solidFill>
          </w14:textFill>
        </w:rPr>
        <w:t>5</w:t>
      </w:r>
      <w:r>
        <w:rPr>
          <w:rFonts w:hint="eastAsia" w:eastAsia="黑体"/>
          <w:color w:val="000000" w:themeColor="text1"/>
          <w14:textFill>
            <w14:solidFill>
              <w14:schemeClr w14:val="tx1"/>
            </w14:solidFill>
          </w14:textFill>
        </w:rPr>
        <w:t>评价区植被类型分布情况</w:t>
      </w:r>
    </w:p>
    <w:tbl>
      <w:tblPr>
        <w:tblStyle w:val="140"/>
        <w:tblW w:w="4998"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1746"/>
        <w:gridCol w:w="1214"/>
        <w:gridCol w:w="2085"/>
        <w:gridCol w:w="2055"/>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832" w:type="pct"/>
            <w:tcBorders>
              <w:top w:val="single" w:color="auto" w:sz="12"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植被型组</w:t>
            </w:r>
          </w:p>
        </w:tc>
        <w:tc>
          <w:tcPr>
            <w:tcW w:w="1024"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植被型</w:t>
            </w:r>
          </w:p>
        </w:tc>
        <w:tc>
          <w:tcPr>
            <w:tcW w:w="712"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植被亚型</w:t>
            </w:r>
          </w:p>
        </w:tc>
        <w:tc>
          <w:tcPr>
            <w:tcW w:w="1224"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群系</w:t>
            </w:r>
          </w:p>
        </w:tc>
        <w:tc>
          <w:tcPr>
            <w:tcW w:w="1206" w:type="pct"/>
            <w:tcBorders>
              <w:top w:val="single" w:color="auto" w:sz="12"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分布区域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832" w:type="pct"/>
            <w:vMerge w:val="restar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Ⅰ.</w:t>
            </w:r>
            <w:r>
              <w:rPr>
                <w:rFonts w:hint="eastAsia" w:ascii="宋体" w:hAnsi="宋体" w:cs="宋体"/>
                <w:color w:val="000000" w:themeColor="text1"/>
                <w:kern w:val="44"/>
                <w:sz w:val="21"/>
                <w:szCs w:val="21"/>
                <w:lang w:bidi="ar"/>
                <w14:textFill>
                  <w14:solidFill>
                    <w14:schemeClr w14:val="tx1"/>
                  </w14:solidFill>
                </w14:textFill>
              </w:rPr>
              <w:t>城市植被</w:t>
            </w:r>
          </w:p>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UrbanVegetation</w:t>
            </w:r>
          </w:p>
        </w:tc>
        <w:tc>
          <w:tcPr>
            <w:tcW w:w="10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城市森林</w:t>
            </w:r>
            <w:r>
              <w:rPr>
                <w:rFonts w:hint="default"/>
                <w:color w:val="000000" w:themeColor="text1"/>
                <w:kern w:val="44"/>
                <w:sz w:val="21"/>
                <w:szCs w:val="21"/>
                <w:lang w:bidi="ar"/>
                <w14:textFill>
                  <w14:solidFill>
                    <w14:schemeClr w14:val="tx1"/>
                  </w14:solidFill>
                </w14:textFill>
              </w:rPr>
              <w:t>UrbanForest</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r>
              <w:rPr>
                <w:rFonts w:hint="eastAsia" w:ascii="宋体" w:hAnsi="宋体" w:cs="宋体"/>
                <w:color w:val="000000" w:themeColor="text1"/>
                <w:kern w:val="44"/>
                <w:sz w:val="21"/>
                <w:szCs w:val="21"/>
                <w:lang w:bidi="ar"/>
                <w14:textFill>
                  <w14:solidFill>
                    <w14:schemeClr w14:val="tx1"/>
                  </w14:solidFill>
                </w14:textFill>
              </w:rPr>
              <w:t>侧柏林</w:t>
            </w:r>
          </w:p>
        </w:tc>
        <w:tc>
          <w:tcPr>
            <w:tcW w:w="1206"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评价区内分布的主要林地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32" w:type="pct"/>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0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城市草地</w:t>
            </w:r>
            <w:r>
              <w:rPr>
                <w:rFonts w:hint="default"/>
                <w:color w:val="000000" w:themeColor="text1"/>
                <w:kern w:val="44"/>
                <w:sz w:val="21"/>
                <w:szCs w:val="21"/>
                <w:lang w:bidi="ar"/>
                <w14:textFill>
                  <w14:solidFill>
                    <w14:schemeClr w14:val="tx1"/>
                  </w14:solidFill>
                </w14:textFill>
              </w:rPr>
              <w:t>UrbanGrassland</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bookmarkStart w:id="444" w:name="_Hlk163909746"/>
            <w:r>
              <w:rPr>
                <w:rFonts w:hint="eastAsia" w:ascii="宋体" w:hAnsi="宋体" w:cs="宋体"/>
                <w:color w:val="000000" w:themeColor="text1"/>
                <w:kern w:val="44"/>
                <w:sz w:val="21"/>
                <w:szCs w:val="21"/>
                <w:lang w:bidi="ar"/>
                <w14:textFill>
                  <w14:solidFill>
                    <w14:schemeClr w14:val="tx1"/>
                  </w14:solidFill>
                </w14:textFill>
              </w:rPr>
              <w:t>狗牙根</w:t>
            </w:r>
            <w:bookmarkEnd w:id="444"/>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麦冬</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蝴蝶花等</w:t>
            </w:r>
          </w:p>
        </w:tc>
        <w:tc>
          <w:tcPr>
            <w:tcW w:w="1206"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道路两侧主要栽培草本</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832" w:type="pct"/>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0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城市湿地</w:t>
            </w:r>
            <w:r>
              <w:rPr>
                <w:rFonts w:hint="default"/>
                <w:color w:val="000000" w:themeColor="text1"/>
                <w:kern w:val="44"/>
                <w:sz w:val="21"/>
                <w:szCs w:val="21"/>
                <w:lang w:bidi="ar"/>
                <w14:textFill>
                  <w14:solidFill>
                    <w14:schemeClr w14:val="tx1"/>
                  </w14:solidFill>
                </w14:textFill>
              </w:rPr>
              <w:t>UrbanWetland</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r>
              <w:rPr>
                <w:rFonts w:hint="eastAsia" w:ascii="宋体" w:hAnsi="宋体" w:cs="宋体"/>
                <w:color w:val="000000" w:themeColor="text1"/>
                <w:kern w:val="44"/>
                <w:sz w:val="21"/>
                <w:szCs w:val="21"/>
                <w:lang w:bidi="ar"/>
                <w14:textFill>
                  <w14:solidFill>
                    <w14:schemeClr w14:val="tx1"/>
                  </w14:solidFill>
                </w14:textFill>
              </w:rPr>
              <w:t>芦苇</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菖蒲</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风车草等</w:t>
            </w:r>
          </w:p>
        </w:tc>
        <w:tc>
          <w:tcPr>
            <w:tcW w:w="1206"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沿水系两岸栽培的挺水植物</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832" w:type="pct"/>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0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城市行道树</w:t>
            </w:r>
            <w:r>
              <w:rPr>
                <w:rFonts w:hint="default"/>
                <w:color w:val="000000" w:themeColor="text1"/>
                <w:kern w:val="44"/>
                <w:sz w:val="21"/>
                <w:szCs w:val="21"/>
                <w:lang w:bidi="ar"/>
                <w14:textFill>
                  <w14:solidFill>
                    <w14:schemeClr w14:val="tx1"/>
                  </w14:solidFill>
                </w14:textFill>
              </w:rPr>
              <w:t>UrbanStreetTree</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w:t>
            </w:r>
            <w:bookmarkStart w:id="445" w:name="_Hlk163910501"/>
            <w:r>
              <w:rPr>
                <w:rFonts w:hint="eastAsia" w:ascii="宋体" w:hAnsi="宋体" w:cs="宋体"/>
                <w:color w:val="000000" w:themeColor="text1"/>
                <w:kern w:val="44"/>
                <w:sz w:val="21"/>
                <w:szCs w:val="21"/>
                <w:lang w:bidi="ar"/>
                <w14:textFill>
                  <w14:solidFill>
                    <w14:schemeClr w14:val="tx1"/>
                  </w14:solidFill>
                </w14:textFill>
              </w:rPr>
              <w:t>银杏</w:t>
            </w:r>
            <w:bookmarkEnd w:id="445"/>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大叶桉</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黄葛树</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水杉等</w:t>
            </w:r>
          </w:p>
        </w:tc>
        <w:tc>
          <w:tcPr>
            <w:tcW w:w="1206"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评价区内沿道路两侧种植的绿化树种</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832" w:type="pct"/>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02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城市公园植被</w:t>
            </w:r>
            <w:r>
              <w:rPr>
                <w:rFonts w:hint="default"/>
                <w:color w:val="000000" w:themeColor="text1"/>
                <w:kern w:val="44"/>
                <w:sz w:val="21"/>
                <w:szCs w:val="21"/>
                <w:lang w:bidi="ar"/>
                <w14:textFill>
                  <w14:solidFill>
                    <w14:schemeClr w14:val="tx1"/>
                  </w14:solidFill>
                </w14:textFill>
              </w:rPr>
              <w:t>UrbanParkVegetation</w:t>
            </w:r>
          </w:p>
        </w:tc>
        <w:tc>
          <w:tcPr>
            <w:tcW w:w="71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r>
              <w:rPr>
                <w:rFonts w:hint="eastAsia" w:ascii="宋体" w:hAnsi="宋体" w:cs="宋体"/>
                <w:color w:val="000000" w:themeColor="text1"/>
                <w:kern w:val="44"/>
                <w:sz w:val="21"/>
                <w:szCs w:val="21"/>
                <w:lang w:bidi="ar"/>
                <w14:textFill>
                  <w14:solidFill>
                    <w14:schemeClr w14:val="tx1"/>
                  </w14:solidFill>
                </w14:textFill>
              </w:rPr>
              <w:t>山樱</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染井吉野樱林</w:t>
            </w:r>
          </w:p>
        </w:tc>
        <w:tc>
          <w:tcPr>
            <w:tcW w:w="1206"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景观栽培植被，在青龙湖周边以小斑块区域分布</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832" w:type="pct"/>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02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71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r>
              <w:rPr>
                <w:rFonts w:hint="eastAsia" w:ascii="宋体" w:hAnsi="宋体" w:cs="宋体"/>
                <w:color w:val="000000" w:themeColor="text1"/>
                <w:kern w:val="44"/>
                <w:sz w:val="21"/>
                <w:szCs w:val="21"/>
                <w:lang w:bidi="ar"/>
                <w14:textFill>
                  <w14:solidFill>
                    <w14:schemeClr w14:val="tx1"/>
                  </w14:solidFill>
                </w14:textFill>
              </w:rPr>
              <w:t>慈竹</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孝顺竹林</w:t>
            </w:r>
          </w:p>
        </w:tc>
        <w:tc>
          <w:tcPr>
            <w:tcW w:w="1206"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景观栽培植被</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832" w:type="pct"/>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02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71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w:t>
            </w:r>
            <w:r>
              <w:rPr>
                <w:rFonts w:hint="eastAsia" w:ascii="宋体" w:hAnsi="宋体" w:cs="宋体"/>
                <w:color w:val="000000" w:themeColor="text1"/>
                <w:kern w:val="44"/>
                <w:sz w:val="21"/>
                <w:szCs w:val="21"/>
                <w:lang w:bidi="ar"/>
                <w14:textFill>
                  <w14:solidFill>
                    <w14:schemeClr w14:val="tx1"/>
                  </w14:solidFill>
                </w14:textFill>
              </w:rPr>
              <w:t>小叶女贞</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红花檵木</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八角金盘</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鹅掌柴</w:t>
            </w:r>
            <w:r>
              <w:rPr>
                <w:rFonts w:hint="default"/>
                <w:color w:val="000000" w:themeColor="text1"/>
                <w:kern w:val="44"/>
                <w:sz w:val="21"/>
                <w:szCs w:val="21"/>
                <w:lang w:bidi="ar"/>
                <w14:textFill>
                  <w14:solidFill>
                    <w14:schemeClr w14:val="tx1"/>
                  </w14:solidFill>
                </w14:textFill>
              </w:rPr>
              <w:t>+</w:t>
            </w:r>
            <w:r>
              <w:rPr>
                <w:rFonts w:hint="eastAsia" w:ascii="宋体" w:hAnsi="宋体" w:cs="宋体"/>
                <w:color w:val="000000" w:themeColor="text1"/>
                <w:kern w:val="44"/>
                <w:sz w:val="21"/>
                <w:szCs w:val="21"/>
                <w:lang w:bidi="ar"/>
                <w14:textFill>
                  <w14:solidFill>
                    <w14:schemeClr w14:val="tx1"/>
                  </w14:solidFill>
                </w14:textFill>
              </w:rPr>
              <w:t>南天竹等灌丛</w:t>
            </w:r>
          </w:p>
        </w:tc>
        <w:tc>
          <w:tcPr>
            <w:tcW w:w="1206"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景观栽培植被</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832" w:type="pct"/>
            <w:tcBorders>
              <w:top w:val="single" w:color="auto" w:sz="4" w:space="0"/>
              <w:left w:val="nil"/>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Ⅱ.</w:t>
            </w:r>
            <w:r>
              <w:rPr>
                <w:rFonts w:hint="eastAsia" w:ascii="宋体" w:hAnsi="宋体" w:cs="宋体"/>
                <w:color w:val="000000" w:themeColor="text1"/>
                <w:kern w:val="44"/>
                <w:sz w:val="21"/>
                <w:szCs w:val="21"/>
                <w:lang w:bidi="ar"/>
                <w14:textFill>
                  <w14:solidFill>
                    <w14:schemeClr w14:val="tx1"/>
                  </w14:solidFill>
                </w14:textFill>
              </w:rPr>
              <w:t>农业植被</w:t>
            </w:r>
          </w:p>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AgriculturalVegetation</w:t>
            </w:r>
          </w:p>
        </w:tc>
        <w:tc>
          <w:tcPr>
            <w:tcW w:w="1024"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油料作物</w:t>
            </w:r>
          </w:p>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OilCrop</w:t>
            </w:r>
          </w:p>
        </w:tc>
        <w:tc>
          <w:tcPr>
            <w:tcW w:w="712"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1224"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r>
              <w:rPr>
                <w:rFonts w:hint="eastAsia" w:ascii="宋体" w:hAnsi="宋体" w:cs="宋体"/>
                <w:color w:val="000000" w:themeColor="text1"/>
                <w:kern w:val="44"/>
                <w:sz w:val="21"/>
                <w:szCs w:val="21"/>
                <w:lang w:bidi="ar"/>
                <w14:textFill>
                  <w14:solidFill>
                    <w14:schemeClr w14:val="tx1"/>
                  </w14:solidFill>
                </w14:textFill>
              </w:rPr>
              <w:t>芸薹等</w:t>
            </w:r>
          </w:p>
        </w:tc>
        <w:tc>
          <w:tcPr>
            <w:tcW w:w="1206" w:type="pct"/>
            <w:tcBorders>
              <w:top w:val="single" w:color="auto" w:sz="4" w:space="0"/>
              <w:left w:val="single" w:color="auto" w:sz="4" w:space="0"/>
              <w:bottom w:val="single" w:color="auto" w:sz="12"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分布于评价区周边农田</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）植被分布</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本项目评价区海拔在</w:t>
      </w:r>
      <w:r>
        <w:rPr>
          <w:color w:val="000000" w:themeColor="text1"/>
          <w:sz w:val="24"/>
          <w:szCs w:val="24"/>
          <w:lang w:bidi="ar"/>
          <w14:textFill>
            <w14:solidFill>
              <w14:schemeClr w14:val="tx1"/>
            </w14:solidFill>
          </w14:textFill>
        </w:rPr>
        <w:t>489m~528m</w:t>
      </w:r>
      <w:r>
        <w:rPr>
          <w:rFonts w:hint="eastAsia" w:ascii="宋体" w:hAnsi="宋体" w:cs="宋体"/>
          <w:color w:val="000000" w:themeColor="text1"/>
          <w:sz w:val="24"/>
          <w:szCs w:val="24"/>
          <w:lang w:bidi="ar"/>
          <w14:textFill>
            <w14:solidFill>
              <w14:schemeClr w14:val="tx1"/>
            </w14:solidFill>
          </w14:textFill>
        </w:rPr>
        <w:t>，平均海拔</w:t>
      </w:r>
      <w:r>
        <w:rPr>
          <w:color w:val="000000" w:themeColor="text1"/>
          <w:sz w:val="24"/>
          <w:szCs w:val="24"/>
          <w:lang w:bidi="ar"/>
          <w14:textFill>
            <w14:solidFill>
              <w14:schemeClr w14:val="tx1"/>
            </w14:solidFill>
          </w14:textFill>
        </w:rPr>
        <w:t>508</w:t>
      </w:r>
      <w:r>
        <w:rPr>
          <w:rFonts w:hint="eastAsia" w:ascii="宋体" w:hAnsi="宋体" w:cs="宋体"/>
          <w:color w:val="000000" w:themeColor="text1"/>
          <w:sz w:val="24"/>
          <w:szCs w:val="24"/>
          <w:lang w:bidi="ar"/>
          <w14:textFill>
            <w14:solidFill>
              <w14:schemeClr w14:val="tx1"/>
            </w14:solidFill>
          </w14:textFill>
        </w:rPr>
        <w:t>米，属于平原区地带上；植被分布主要受人为因素影响，其植被类型现状以城市景观植物为主。由于城市景观打造时需考虑景观异质性，因此本项目评价区栽培的植被种类较为丰富，植物景观的季节特征明显，具有多品种、多层次的四季特色。</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由于地域、地形、气候的差异变化较小，评价区所在的生态环境差异不明显，生态类型分布大体上较为一致。</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城市森林</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侧柏林</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侧柏是项目区域主要的森林植被类型，在评价区域内分布面积占比较大。但由于评价区内人类活动频繁，侧柏林难以连成片，种群面积通常不大。</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侧柏林群落颜色为深绿色，林相结构规整，群落结构简单，郁闭度基本在</w:t>
      </w:r>
      <w:r>
        <w:rPr>
          <w:color w:val="000000" w:themeColor="text1"/>
          <w:sz w:val="24"/>
          <w:szCs w:val="24"/>
          <w:lang w:bidi="ar"/>
          <w14:textFill>
            <w14:solidFill>
              <w14:schemeClr w14:val="tx1"/>
            </w14:solidFill>
          </w14:textFill>
        </w:rPr>
        <w:t>0.7</w:t>
      </w:r>
      <w:r>
        <w:rPr>
          <w:rFonts w:hint="eastAsia" w:ascii="宋体" w:hAnsi="宋体" w:cs="宋体"/>
          <w:color w:val="000000" w:themeColor="text1"/>
          <w:sz w:val="24"/>
          <w:szCs w:val="24"/>
          <w:lang w:bidi="ar"/>
          <w14:textFill>
            <w14:solidFill>
              <w14:schemeClr w14:val="tx1"/>
            </w14:solidFill>
          </w14:textFill>
        </w:rPr>
        <w:t>以上，乔木层侧柏占据绝对优势，几乎无其他乔木分布。</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城市草地（狗牙根</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麦冬</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蝴蝶花等）</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城市草地主要为道路两侧路基与边坡处，以及小片空地处栽种的绿化草地。主要植物物种有狗牙根、蝴蝶花、麦冬等，均为常见的城市绿化草本植物。</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城市湿地（芦苇</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菖蒲</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风车草等）</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城市湿地主要为青龙湖湖岸边的人工景观湿地，在整个青龙湖范围均有一定数量的分布。人工种植有芦苇、菖蒲、香蒲等湿生景观植物，属于青龙湖景观打造的人工植被。</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4.</w:t>
      </w:r>
      <w:r>
        <w:rPr>
          <w:rFonts w:hint="eastAsia" w:ascii="宋体" w:hAnsi="宋体" w:cs="宋体"/>
          <w:color w:val="000000" w:themeColor="text1"/>
          <w:sz w:val="24"/>
          <w:szCs w:val="24"/>
          <w:lang w:bidi="ar"/>
          <w14:textFill>
            <w14:solidFill>
              <w14:schemeClr w14:val="tx1"/>
            </w14:solidFill>
          </w14:textFill>
        </w:rPr>
        <w:t>城市行道树（银杏</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大叶桉</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黄葛树</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水杉）</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评价区内道路两侧分布的行道树。按照道路宽度与道路两侧人居环境不同分布有不同品种的行道树。行道树的主要树种有银杏、水杉、黄葛树、桉等，均为人工植被。</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5.</w:t>
      </w:r>
      <w:r>
        <w:rPr>
          <w:rFonts w:hint="eastAsia" w:ascii="宋体" w:hAnsi="宋体" w:cs="宋体"/>
          <w:color w:val="000000" w:themeColor="text1"/>
          <w:sz w:val="24"/>
          <w:szCs w:val="24"/>
          <w:lang w:bidi="ar"/>
          <w14:textFill>
            <w14:solidFill>
              <w14:schemeClr w14:val="tx1"/>
            </w14:solidFill>
          </w14:textFill>
        </w:rPr>
        <w:t>城市公园植被（山樱</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染井吉野樱林）</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评价区内的樱树林属于花果山风景名胜区内的景观植被，只分布在景区内的局部区域，分布数量较少，均为人工种植植被。樱树林林相结构简单，群落结构单一，郁闭度约在</w:t>
      </w:r>
      <w:r>
        <w:rPr>
          <w:color w:val="000000" w:themeColor="text1"/>
          <w:sz w:val="24"/>
          <w:szCs w:val="24"/>
          <w:lang w:bidi="ar"/>
          <w14:textFill>
            <w14:solidFill>
              <w14:schemeClr w14:val="tx1"/>
            </w14:solidFill>
          </w14:textFill>
        </w:rPr>
        <w:t>0.3~0.5</w:t>
      </w:r>
      <w:r>
        <w:rPr>
          <w:rFonts w:hint="eastAsia" w:ascii="宋体" w:hAnsi="宋体" w:cs="宋体"/>
          <w:color w:val="000000" w:themeColor="text1"/>
          <w:sz w:val="24"/>
          <w:szCs w:val="24"/>
          <w:lang w:bidi="ar"/>
          <w14:textFill>
            <w14:solidFill>
              <w14:schemeClr w14:val="tx1"/>
            </w14:solidFill>
          </w14:textFill>
        </w:rPr>
        <w:t>。乔木层只有山樱和染井吉野樱两种樱树，无灌木层分布，草本层基本为狗牙根，有少量野生草本植物扩散至林下。</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6.</w:t>
      </w:r>
      <w:r>
        <w:rPr>
          <w:rFonts w:hint="eastAsia" w:ascii="宋体" w:hAnsi="宋体" w:cs="宋体"/>
          <w:color w:val="000000" w:themeColor="text1"/>
          <w:sz w:val="24"/>
          <w:szCs w:val="24"/>
          <w:lang w:bidi="ar"/>
          <w14:textFill>
            <w14:solidFill>
              <w14:schemeClr w14:val="tx1"/>
            </w14:solidFill>
          </w14:textFill>
        </w:rPr>
        <w:t>城市公园植被（慈竹</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孝顺竹林）</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评价区内的竹林分布受人工种植的影响，其分布主要服从区域内的景观格局需要。并无特殊分布规律。主要的物种有慈竹和孝顺竹，均为西南地区常见的园林景观植物。</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7.</w:t>
      </w:r>
      <w:r>
        <w:rPr>
          <w:rFonts w:hint="eastAsia" w:ascii="宋体" w:hAnsi="宋体" w:cs="宋体"/>
          <w:color w:val="000000" w:themeColor="text1"/>
          <w:sz w:val="24"/>
          <w:szCs w:val="24"/>
          <w:lang w:bidi="ar"/>
          <w14:textFill>
            <w14:solidFill>
              <w14:schemeClr w14:val="tx1"/>
            </w14:solidFill>
          </w14:textFill>
        </w:rPr>
        <w:t>城市公园植被（小叶女贞</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红花檵木</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八角金盘</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鹅掌柴</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南天竹等灌丛）</w:t>
      </w:r>
    </w:p>
    <w:p>
      <w:pPr>
        <w:spacing w:line="360" w:lineRule="auto"/>
        <w:ind w:firstLine="482"/>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评价区内的城市公园灌丛为景观绿化灌丛，广布于整个花果山风景名胜区。栽培的景观植物物种主要有红花檵木、鹅掌柴等灌丛，亦为常见的景观绿化灌丛。</w:t>
      </w:r>
    </w:p>
    <w:p>
      <w:pPr>
        <w:spacing w:line="360" w:lineRule="auto"/>
        <w:ind w:firstLine="482"/>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8.</w:t>
      </w:r>
      <w:r>
        <w:rPr>
          <w:rFonts w:hint="eastAsia" w:ascii="宋体" w:hAnsi="宋体" w:cs="宋体"/>
          <w:color w:val="000000" w:themeColor="text1"/>
          <w:sz w:val="24"/>
          <w:szCs w:val="24"/>
          <w:lang w:bidi="ar"/>
          <w14:textFill>
            <w14:solidFill>
              <w14:schemeClr w14:val="tx1"/>
            </w14:solidFill>
          </w14:textFill>
        </w:rPr>
        <w:t>农业作物（芸薹等）</w:t>
      </w:r>
    </w:p>
    <w:p>
      <w:pPr>
        <w:spacing w:line="360" w:lineRule="auto"/>
        <w:ind w:firstLine="482"/>
        <w:jc w:val="both"/>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评价区内分布有一定数量的农田，基本沿东风渠及其支渠两侧分布，主要种植有芸薹、水稻等作物。</w:t>
      </w:r>
    </w:p>
    <w:p>
      <w:pPr>
        <w:spacing w:line="360" w:lineRule="auto"/>
        <w:jc w:val="both"/>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3.2.6.2.2植物多样性与植物区系</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）维管束植物组成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野外考察记录、野外考察采集的植物标本和拍摄照片鉴定结果，并结合考察区域的植被资料，对评价区的维管束植物种类做详细的生物多样性分析，本项目评价区维管植物包括蕨类植物、裸子植物和被子植物。</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评价区共有维管植物</w:t>
      </w:r>
      <w:r>
        <w:rPr>
          <w:color w:val="000000" w:themeColor="text1"/>
          <w:sz w:val="24"/>
          <w:szCs w:val="24"/>
          <w:lang w:bidi="ar"/>
          <w14:textFill>
            <w14:solidFill>
              <w14:schemeClr w14:val="tx1"/>
            </w14:solidFill>
          </w14:textFill>
        </w:rPr>
        <w:t>56</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123</w:t>
      </w:r>
      <w:r>
        <w:rPr>
          <w:rFonts w:hint="eastAsia" w:ascii="宋体" w:hAnsi="宋体" w:cs="宋体"/>
          <w:color w:val="000000" w:themeColor="text1"/>
          <w:sz w:val="24"/>
          <w:szCs w:val="24"/>
          <w:lang w:bidi="ar"/>
          <w14:textFill>
            <w14:solidFill>
              <w14:schemeClr w14:val="tx1"/>
            </w14:solidFill>
          </w14:textFill>
        </w:rPr>
        <w:t>属，</w:t>
      </w:r>
      <w:r>
        <w:rPr>
          <w:color w:val="000000" w:themeColor="text1"/>
          <w:sz w:val="24"/>
          <w:szCs w:val="24"/>
          <w:lang w:bidi="ar"/>
          <w14:textFill>
            <w14:solidFill>
              <w14:schemeClr w14:val="tx1"/>
            </w14:solidFill>
          </w14:textFill>
        </w:rPr>
        <w:t>163</w:t>
      </w:r>
      <w:r>
        <w:rPr>
          <w:rFonts w:hint="eastAsia" w:ascii="宋体" w:hAnsi="宋体" w:cs="宋体"/>
          <w:color w:val="000000" w:themeColor="text1"/>
          <w:sz w:val="24"/>
          <w:szCs w:val="24"/>
          <w:lang w:bidi="ar"/>
          <w14:textFill>
            <w14:solidFill>
              <w14:schemeClr w14:val="tx1"/>
            </w14:solidFill>
          </w14:textFill>
        </w:rPr>
        <w:t>种；其中蕨类植物共有</w:t>
      </w:r>
      <w:r>
        <w:rPr>
          <w:color w:val="000000" w:themeColor="text1"/>
          <w:sz w:val="24"/>
          <w:szCs w:val="24"/>
          <w:lang w:bidi="ar"/>
          <w14:textFill>
            <w14:solidFill>
              <w14:schemeClr w14:val="tx1"/>
            </w14:solidFill>
          </w14:textFill>
        </w:rPr>
        <w:t>6</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8</w:t>
      </w:r>
      <w:r>
        <w:rPr>
          <w:rFonts w:hint="eastAsia" w:ascii="宋体" w:hAnsi="宋体" w:cs="宋体"/>
          <w:color w:val="000000" w:themeColor="text1"/>
          <w:sz w:val="24"/>
          <w:szCs w:val="24"/>
          <w:lang w:bidi="ar"/>
          <w14:textFill>
            <w14:solidFill>
              <w14:schemeClr w14:val="tx1"/>
            </w14:solidFill>
          </w14:textFill>
        </w:rPr>
        <w:t>属，</w:t>
      </w:r>
      <w:r>
        <w:rPr>
          <w:color w:val="000000" w:themeColor="text1"/>
          <w:sz w:val="24"/>
          <w:szCs w:val="24"/>
          <w:lang w:bidi="ar"/>
          <w14:textFill>
            <w14:solidFill>
              <w14:schemeClr w14:val="tx1"/>
            </w14:solidFill>
          </w14:textFill>
        </w:rPr>
        <w:t>9</w:t>
      </w:r>
      <w:r>
        <w:rPr>
          <w:rFonts w:hint="eastAsia" w:ascii="宋体" w:hAnsi="宋体" w:cs="宋体"/>
          <w:color w:val="000000" w:themeColor="text1"/>
          <w:sz w:val="24"/>
          <w:szCs w:val="24"/>
          <w:lang w:bidi="ar"/>
          <w14:textFill>
            <w14:solidFill>
              <w14:schemeClr w14:val="tx1"/>
            </w14:solidFill>
          </w14:textFill>
        </w:rPr>
        <w:t>种；裸子植物共有</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属，</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种；被子植物共有</w:t>
      </w:r>
      <w:r>
        <w:rPr>
          <w:color w:val="000000" w:themeColor="text1"/>
          <w:sz w:val="24"/>
          <w:szCs w:val="24"/>
          <w:lang w:bidi="ar"/>
          <w14:textFill>
            <w14:solidFill>
              <w14:schemeClr w14:val="tx1"/>
            </w14:solidFill>
          </w14:textFill>
        </w:rPr>
        <w:t>48</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112</w:t>
      </w:r>
      <w:r>
        <w:rPr>
          <w:rFonts w:hint="eastAsia" w:ascii="宋体" w:hAnsi="宋体" w:cs="宋体"/>
          <w:color w:val="000000" w:themeColor="text1"/>
          <w:sz w:val="24"/>
          <w:szCs w:val="24"/>
          <w:lang w:bidi="ar"/>
          <w14:textFill>
            <w14:solidFill>
              <w14:schemeClr w14:val="tx1"/>
            </w14:solidFill>
          </w14:textFill>
        </w:rPr>
        <w:t>属，</w:t>
      </w:r>
      <w:r>
        <w:rPr>
          <w:color w:val="000000" w:themeColor="text1"/>
          <w:sz w:val="24"/>
          <w:szCs w:val="24"/>
          <w:lang w:bidi="ar"/>
          <w14:textFill>
            <w14:solidFill>
              <w14:schemeClr w14:val="tx1"/>
            </w14:solidFill>
          </w14:textFill>
        </w:rPr>
        <w:t>151</w:t>
      </w:r>
      <w:r>
        <w:rPr>
          <w:rFonts w:hint="eastAsia" w:ascii="宋体" w:hAnsi="宋体" w:cs="宋体"/>
          <w:color w:val="000000" w:themeColor="text1"/>
          <w:sz w:val="24"/>
          <w:szCs w:val="24"/>
          <w:lang w:bidi="ar"/>
          <w14:textFill>
            <w14:solidFill>
              <w14:schemeClr w14:val="tx1"/>
            </w14:solidFill>
          </w14:textFill>
        </w:rPr>
        <w:t>种。评价区蕨类植物中常见的为蜈蚣凤尾蕨（</w:t>
      </w:r>
      <w:r>
        <w:rPr>
          <w:i/>
          <w:iCs/>
          <w:color w:val="000000" w:themeColor="text1"/>
          <w:sz w:val="24"/>
          <w:szCs w:val="24"/>
          <w:lang w:bidi="ar"/>
          <w14:textFill>
            <w14:solidFill>
              <w14:schemeClr w14:val="tx1"/>
            </w14:solidFill>
          </w14:textFill>
        </w:rPr>
        <w:t>Pterisvittata</w:t>
      </w:r>
      <w:r>
        <w:rPr>
          <w:rFonts w:hint="eastAsia" w:ascii="宋体" w:hAnsi="宋体" w:cs="宋体"/>
          <w:color w:val="000000" w:themeColor="text1"/>
          <w:sz w:val="24"/>
          <w:szCs w:val="24"/>
          <w:lang w:bidi="ar"/>
          <w14:textFill>
            <w14:solidFill>
              <w14:schemeClr w14:val="tx1"/>
            </w14:solidFill>
          </w14:textFill>
        </w:rPr>
        <w:t>）。裸子植物中常见的为柏科（</w:t>
      </w:r>
      <w:r>
        <w:rPr>
          <w:color w:val="000000" w:themeColor="text1"/>
          <w:sz w:val="24"/>
          <w:szCs w:val="24"/>
          <w:lang w:bidi="ar"/>
          <w14:textFill>
            <w14:solidFill>
              <w14:schemeClr w14:val="tx1"/>
            </w14:solidFill>
          </w14:textFill>
        </w:rPr>
        <w:t>Cupressaceae</w:t>
      </w:r>
      <w:r>
        <w:rPr>
          <w:rFonts w:hint="eastAsia" w:ascii="宋体" w:hAnsi="宋体" w:cs="宋体"/>
          <w:color w:val="000000" w:themeColor="text1"/>
          <w:sz w:val="24"/>
          <w:szCs w:val="24"/>
          <w:lang w:bidi="ar"/>
          <w14:textFill>
            <w14:solidFill>
              <w14:schemeClr w14:val="tx1"/>
            </w14:solidFill>
          </w14:textFill>
        </w:rPr>
        <w:t>）的侧柏（</w:t>
      </w:r>
      <w:r>
        <w:rPr>
          <w:i/>
          <w:iCs/>
          <w:color w:val="000000" w:themeColor="text1"/>
          <w:sz w:val="24"/>
          <w:szCs w:val="24"/>
          <w:lang w:bidi="ar"/>
          <w14:textFill>
            <w14:solidFill>
              <w14:schemeClr w14:val="tx1"/>
            </w14:solidFill>
          </w14:textFill>
        </w:rPr>
        <w:t>Platycladusorientalis</w:t>
      </w:r>
      <w:r>
        <w:rPr>
          <w:rFonts w:hint="eastAsia" w:ascii="宋体" w:hAnsi="宋体" w:cs="宋体"/>
          <w:color w:val="000000" w:themeColor="text1"/>
          <w:sz w:val="24"/>
          <w:szCs w:val="24"/>
          <w:lang w:bidi="ar"/>
          <w14:textFill>
            <w14:solidFill>
              <w14:schemeClr w14:val="tx1"/>
            </w14:solidFill>
          </w14:textFill>
        </w:rPr>
        <w:t>），被子植物中常见的为菊科（</w:t>
      </w:r>
      <w:r>
        <w:rPr>
          <w:color w:val="000000" w:themeColor="text1"/>
          <w:sz w:val="24"/>
          <w:szCs w:val="24"/>
          <w:lang w:bidi="ar"/>
          <w14:textFill>
            <w14:solidFill>
              <w14:schemeClr w14:val="tx1"/>
            </w14:solidFill>
          </w14:textFill>
        </w:rPr>
        <w:t>Asteraceae</w:t>
      </w:r>
      <w:r>
        <w:rPr>
          <w:rFonts w:hint="eastAsia" w:ascii="宋体" w:hAnsi="宋体" w:cs="宋体"/>
          <w:color w:val="000000" w:themeColor="text1"/>
          <w:sz w:val="24"/>
          <w:szCs w:val="24"/>
          <w:lang w:bidi="ar"/>
          <w14:textFill>
            <w14:solidFill>
              <w14:schemeClr w14:val="tx1"/>
            </w14:solidFill>
          </w14:textFill>
        </w:rPr>
        <w:t>）、豆科（</w:t>
      </w:r>
      <w:r>
        <w:rPr>
          <w:color w:val="000000" w:themeColor="text1"/>
          <w:sz w:val="24"/>
          <w:szCs w:val="24"/>
          <w:lang w:bidi="ar"/>
          <w14:textFill>
            <w14:solidFill>
              <w14:schemeClr w14:val="tx1"/>
            </w14:solidFill>
          </w14:textFill>
        </w:rPr>
        <w:t>Leguminosae</w:t>
      </w:r>
      <w:r>
        <w:rPr>
          <w:rFonts w:hint="eastAsia" w:ascii="宋体" w:hAnsi="宋体" w:cs="宋体"/>
          <w:color w:val="000000" w:themeColor="text1"/>
          <w:sz w:val="24"/>
          <w:szCs w:val="24"/>
          <w:lang w:bidi="ar"/>
          <w14:textFill>
            <w14:solidFill>
              <w14:schemeClr w14:val="tx1"/>
            </w14:solidFill>
          </w14:textFill>
        </w:rPr>
        <w:t>）、禾本科（</w:t>
      </w:r>
      <w:r>
        <w:rPr>
          <w:color w:val="000000" w:themeColor="text1"/>
          <w:sz w:val="24"/>
          <w:szCs w:val="24"/>
          <w:lang w:bidi="ar"/>
          <w14:textFill>
            <w14:solidFill>
              <w14:schemeClr w14:val="tx1"/>
            </w14:solidFill>
          </w14:textFill>
        </w:rPr>
        <w:t>Poaceae</w:t>
      </w:r>
      <w:r>
        <w:rPr>
          <w:rFonts w:hint="eastAsia" w:ascii="宋体" w:hAnsi="宋体" w:cs="宋体"/>
          <w:color w:val="000000" w:themeColor="text1"/>
          <w:sz w:val="24"/>
          <w:szCs w:val="24"/>
          <w:lang w:bidi="ar"/>
          <w14:textFill>
            <w14:solidFill>
              <w14:schemeClr w14:val="tx1"/>
            </w14:solidFill>
          </w14:textFill>
        </w:rPr>
        <w:t>）以及蔷薇科（</w:t>
      </w:r>
      <w:r>
        <w:rPr>
          <w:color w:val="000000" w:themeColor="text1"/>
          <w:sz w:val="24"/>
          <w:szCs w:val="24"/>
          <w:lang w:bidi="ar"/>
          <w14:textFill>
            <w14:solidFill>
              <w14:schemeClr w14:val="tx1"/>
            </w14:solidFill>
          </w14:textFill>
        </w:rPr>
        <w:t>Rosaceae</w:t>
      </w:r>
      <w:r>
        <w:rPr>
          <w:rFonts w:hint="eastAsia" w:ascii="宋体" w:hAnsi="宋体" w:cs="宋体"/>
          <w:color w:val="000000" w:themeColor="text1"/>
          <w:sz w:val="24"/>
          <w:szCs w:val="24"/>
          <w:lang w:bidi="ar"/>
          <w14:textFill>
            <w14:solidFill>
              <w14:schemeClr w14:val="tx1"/>
            </w14:solidFill>
          </w14:textFill>
        </w:rPr>
        <w:t>）。区内植物区系的主体成分是被子植物。其属、种的数量都占总属、种数的</w:t>
      </w:r>
      <w:r>
        <w:rPr>
          <w:color w:val="000000" w:themeColor="text1"/>
          <w:sz w:val="24"/>
          <w:szCs w:val="24"/>
          <w:lang w:bidi="ar"/>
          <w14:textFill>
            <w14:solidFill>
              <w14:schemeClr w14:val="tx1"/>
            </w14:solidFill>
          </w14:textFill>
        </w:rPr>
        <w:t>90%</w:t>
      </w:r>
      <w:r>
        <w:rPr>
          <w:rFonts w:hint="eastAsia" w:ascii="宋体" w:hAnsi="宋体" w:cs="宋体"/>
          <w:color w:val="000000" w:themeColor="text1"/>
          <w:sz w:val="24"/>
          <w:szCs w:val="24"/>
          <w:lang w:bidi="ar"/>
          <w14:textFill>
            <w14:solidFill>
              <w14:schemeClr w14:val="tx1"/>
            </w14:solidFill>
          </w14:textFill>
        </w:rPr>
        <w:t>以上；在这之中菊科和禾本科等的种类数量较多。</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表3.2-1</w:t>
      </w:r>
      <w:r>
        <w:rPr>
          <w:rFonts w:hint="eastAsia" w:eastAsia="黑体"/>
          <w:color w:val="000000" w:themeColor="text1"/>
          <w:lang w:val="en-US" w:eastAsia="zh-CN"/>
          <w14:textFill>
            <w14:solidFill>
              <w14:schemeClr w14:val="tx1"/>
            </w14:solidFill>
          </w14:textFill>
        </w:rPr>
        <w:t>6</w:t>
      </w:r>
      <w:r>
        <w:rPr>
          <w:rFonts w:hint="eastAsia" w:eastAsia="黑体"/>
          <w:color w:val="000000" w:themeColor="text1"/>
          <w14:textFill>
            <w14:solidFill>
              <w14:schemeClr w14:val="tx1"/>
            </w14:solidFill>
          </w14:textFill>
        </w:rPr>
        <w:t>评价区维管植物科、属、种的组成统计表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1262"/>
        <w:gridCol w:w="871"/>
        <w:gridCol w:w="1064"/>
        <w:gridCol w:w="1064"/>
        <w:gridCol w:w="1066"/>
        <w:gridCol w:w="1064"/>
        <w:gridCol w:w="10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64" w:type="pct"/>
            <w:gridSpan w:val="2"/>
            <w:vMerge w:val="restar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类群</w:t>
            </w:r>
          </w:p>
        </w:tc>
        <w:tc>
          <w:tcPr>
            <w:tcW w:w="1135" w:type="pct"/>
            <w:gridSpan w:val="2"/>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科</w:t>
            </w:r>
          </w:p>
        </w:tc>
        <w:tc>
          <w:tcPr>
            <w:tcW w:w="1249" w:type="pct"/>
            <w:gridSpan w:val="2"/>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属</w:t>
            </w:r>
          </w:p>
        </w:tc>
        <w:tc>
          <w:tcPr>
            <w:tcW w:w="1250" w:type="pct"/>
            <w:gridSpan w:val="2"/>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364" w:type="pct"/>
            <w:gridSpan w:val="2"/>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b/>
                <w:bCs/>
                <w:color w:val="000000" w:themeColor="text1"/>
                <w:sz w:val="20"/>
                <w:szCs w:val="20"/>
                <w14:textFill>
                  <w14:solidFill>
                    <w14:schemeClr w14:val="tx1"/>
                  </w14:solidFill>
                </w14:textFill>
              </w:rPr>
            </w:pPr>
          </w:p>
        </w:tc>
        <w:tc>
          <w:tcPr>
            <w:tcW w:w="511"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数量</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比例</w:t>
            </w:r>
            <w:r>
              <w:rPr>
                <w:rFonts w:hint="default"/>
                <w:b/>
                <w:bCs/>
                <w:color w:val="000000" w:themeColor="text1"/>
                <w:kern w:val="44"/>
                <w:sz w:val="21"/>
                <w:szCs w:val="21"/>
                <w:lang w:bidi="ar"/>
                <w14:textFill>
                  <w14:solidFill>
                    <w14:schemeClr w14:val="tx1"/>
                  </w14:solidFill>
                </w14:textFill>
              </w:rPr>
              <w:t>%</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数量</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比例</w:t>
            </w:r>
            <w:r>
              <w:rPr>
                <w:rFonts w:hint="default"/>
                <w:b/>
                <w:bCs/>
                <w:color w:val="000000" w:themeColor="text1"/>
                <w:kern w:val="44"/>
                <w:sz w:val="21"/>
                <w:szCs w:val="21"/>
                <w:lang w:bidi="ar"/>
                <w14:textFill>
                  <w14:solidFill>
                    <w14:schemeClr w14:val="tx1"/>
                  </w14:solidFill>
                </w14:textFill>
              </w:rPr>
              <w:t>%</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数量</w:t>
            </w:r>
          </w:p>
        </w:tc>
        <w:tc>
          <w:tcPr>
            <w:tcW w:w="62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比例</w:t>
            </w:r>
            <w:r>
              <w:rPr>
                <w:rFonts w:hint="default"/>
                <w:b/>
                <w:bCs/>
                <w:color w:val="000000" w:themeColor="text1"/>
                <w:kern w:val="44"/>
                <w:sz w:val="21"/>
                <w:szCs w:val="21"/>
                <w:lang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64" w:type="pct"/>
            <w:gridSpan w:val="2"/>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蕨类植物</w:t>
            </w:r>
          </w:p>
        </w:tc>
        <w:tc>
          <w:tcPr>
            <w:tcW w:w="511"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10.71</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6.50</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9</w:t>
            </w:r>
          </w:p>
        </w:tc>
        <w:tc>
          <w:tcPr>
            <w:tcW w:w="62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restar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种子植物</w:t>
            </w:r>
          </w:p>
        </w:tc>
        <w:tc>
          <w:tcPr>
            <w:tcW w:w="739"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裸子植物</w:t>
            </w:r>
          </w:p>
        </w:tc>
        <w:tc>
          <w:tcPr>
            <w:tcW w:w="511"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3.57</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2.44</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62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4"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739"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被子植物</w:t>
            </w:r>
          </w:p>
        </w:tc>
        <w:tc>
          <w:tcPr>
            <w:tcW w:w="511"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48</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85.72</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112</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91.06</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151</w:t>
            </w:r>
          </w:p>
        </w:tc>
        <w:tc>
          <w:tcPr>
            <w:tcW w:w="62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92.64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64" w:type="pct"/>
            <w:gridSpan w:val="2"/>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合计</w:t>
            </w:r>
          </w:p>
        </w:tc>
        <w:tc>
          <w:tcPr>
            <w:tcW w:w="511"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56</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100</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123</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100</w:t>
            </w:r>
          </w:p>
        </w:tc>
        <w:tc>
          <w:tcPr>
            <w:tcW w:w="624"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163</w:t>
            </w:r>
          </w:p>
        </w:tc>
        <w:tc>
          <w:tcPr>
            <w:tcW w:w="62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100</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）属的区系组成与成分分析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对评价区内维管束植物属的区系进行划分，由下表可知，属于世界广布的属有</w:t>
      </w:r>
      <w:r>
        <w:rPr>
          <w:color w:val="000000" w:themeColor="text1"/>
          <w:sz w:val="24"/>
          <w:szCs w:val="24"/>
          <w:lang w:bidi="ar"/>
          <w14:textFill>
            <w14:solidFill>
              <w14:schemeClr w14:val="tx1"/>
            </w14:solidFill>
          </w14:textFill>
        </w:rPr>
        <w:t>20</w:t>
      </w:r>
      <w:r>
        <w:rPr>
          <w:rFonts w:hint="eastAsia" w:ascii="宋体" w:hAnsi="宋体" w:cs="宋体"/>
          <w:color w:val="000000" w:themeColor="text1"/>
          <w:sz w:val="24"/>
          <w:szCs w:val="24"/>
          <w:lang w:bidi="ar"/>
          <w14:textFill>
            <w14:solidFill>
              <w14:schemeClr w14:val="tx1"/>
            </w14:solidFill>
          </w14:textFill>
        </w:rPr>
        <w:t>个，其中包括了常见的飞蓬属（</w:t>
      </w:r>
      <w:r>
        <w:rPr>
          <w:i/>
          <w:iCs/>
          <w:color w:val="000000" w:themeColor="text1"/>
          <w:sz w:val="24"/>
          <w:szCs w:val="24"/>
          <w:lang w:bidi="ar"/>
          <w14:textFill>
            <w14:solidFill>
              <w14:schemeClr w14:val="tx1"/>
            </w14:solidFill>
          </w14:textFill>
        </w:rPr>
        <w:t>Erigeron</w:t>
      </w:r>
      <w:r>
        <w:rPr>
          <w:rFonts w:hint="eastAsia" w:ascii="宋体" w:hAnsi="宋体" w:cs="宋体"/>
          <w:color w:val="000000" w:themeColor="text1"/>
          <w:sz w:val="24"/>
          <w:szCs w:val="24"/>
          <w:lang w:bidi="ar"/>
          <w14:textFill>
            <w14:solidFill>
              <w14:schemeClr w14:val="tx1"/>
            </w14:solidFill>
          </w14:textFill>
        </w:rPr>
        <w:t>）、悬钩子属（</w:t>
      </w:r>
      <w:r>
        <w:rPr>
          <w:i/>
          <w:iCs/>
          <w:color w:val="000000" w:themeColor="text1"/>
          <w:sz w:val="24"/>
          <w:szCs w:val="24"/>
          <w:lang w:bidi="ar"/>
          <w14:textFill>
            <w14:solidFill>
              <w14:schemeClr w14:val="tx1"/>
            </w14:solidFill>
          </w14:textFill>
        </w:rPr>
        <w:t>Rubus</w:t>
      </w:r>
      <w:r>
        <w:rPr>
          <w:rFonts w:hint="eastAsia" w:ascii="宋体" w:hAnsi="宋体" w:cs="宋体"/>
          <w:color w:val="000000" w:themeColor="text1"/>
          <w:sz w:val="24"/>
          <w:szCs w:val="24"/>
          <w:lang w:bidi="ar"/>
          <w14:textFill>
            <w14:solidFill>
              <w14:schemeClr w14:val="tx1"/>
            </w14:solidFill>
          </w14:textFill>
        </w:rPr>
        <w:t>）和蓼属（</w:t>
      </w:r>
      <w:r>
        <w:rPr>
          <w:i/>
          <w:iCs/>
          <w:color w:val="000000" w:themeColor="text1"/>
          <w:sz w:val="24"/>
          <w:szCs w:val="24"/>
          <w:lang w:bidi="ar"/>
          <w14:textFill>
            <w14:solidFill>
              <w14:schemeClr w14:val="tx1"/>
            </w14:solidFill>
          </w14:textFill>
        </w:rPr>
        <w:t>Persicaria</w:t>
      </w:r>
      <w:r>
        <w:rPr>
          <w:rFonts w:hint="eastAsia" w:ascii="宋体" w:hAnsi="宋体" w:cs="宋体"/>
          <w:color w:val="000000" w:themeColor="text1"/>
          <w:sz w:val="24"/>
          <w:szCs w:val="24"/>
          <w:lang w:bidi="ar"/>
          <w14:textFill>
            <w14:solidFill>
              <w14:schemeClr w14:val="tx1"/>
            </w14:solidFill>
          </w14:textFill>
        </w:rPr>
        <w:t>）等。评价区内维管植物在属的分布类型中，温带分布类型（</w:t>
      </w:r>
      <w:r>
        <w:rPr>
          <w:color w:val="000000" w:themeColor="text1"/>
          <w:sz w:val="24"/>
          <w:szCs w:val="24"/>
          <w:lang w:bidi="ar"/>
          <w14:textFill>
            <w14:solidFill>
              <w14:schemeClr w14:val="tx1"/>
            </w14:solidFill>
          </w14:textFill>
        </w:rPr>
        <w:t>8-14</w:t>
      </w:r>
      <w:r>
        <w:rPr>
          <w:rFonts w:hint="eastAsia" w:ascii="宋体" w:hAnsi="宋体" w:cs="宋体"/>
          <w:color w:val="000000" w:themeColor="text1"/>
          <w:sz w:val="24"/>
          <w:szCs w:val="24"/>
          <w:lang w:bidi="ar"/>
          <w14:textFill>
            <w14:solidFill>
              <w14:schemeClr w14:val="tx1"/>
            </w14:solidFill>
          </w14:textFill>
        </w:rPr>
        <w:t>型）数量最多，有</w:t>
      </w:r>
      <w:r>
        <w:rPr>
          <w:color w:val="000000" w:themeColor="text1"/>
          <w:sz w:val="24"/>
          <w:szCs w:val="24"/>
          <w:lang w:bidi="ar"/>
          <w14:textFill>
            <w14:solidFill>
              <w14:schemeClr w14:val="tx1"/>
            </w14:solidFill>
          </w14:textFill>
        </w:rPr>
        <w:t>50</w:t>
      </w:r>
      <w:r>
        <w:rPr>
          <w:rFonts w:hint="eastAsia" w:ascii="宋体" w:hAnsi="宋体" w:cs="宋体"/>
          <w:color w:val="000000" w:themeColor="text1"/>
          <w:sz w:val="24"/>
          <w:szCs w:val="24"/>
          <w:lang w:bidi="ar"/>
          <w14:textFill>
            <w14:solidFill>
              <w14:schemeClr w14:val="tx1"/>
            </w14:solidFill>
          </w14:textFill>
        </w:rPr>
        <w:t>属，占非世界广布的</w:t>
      </w:r>
      <w:r>
        <w:rPr>
          <w:color w:val="000000" w:themeColor="text1"/>
          <w:sz w:val="24"/>
          <w:szCs w:val="24"/>
          <w:lang w:bidi="ar"/>
          <w14:textFill>
            <w14:solidFill>
              <w14:schemeClr w14:val="tx1"/>
            </w14:solidFill>
          </w14:textFill>
        </w:rPr>
        <w:t>54.35%</w:t>
      </w:r>
      <w:r>
        <w:rPr>
          <w:rFonts w:hint="eastAsia" w:ascii="宋体" w:hAnsi="宋体" w:cs="宋体"/>
          <w:color w:val="000000" w:themeColor="text1"/>
          <w:sz w:val="24"/>
          <w:szCs w:val="24"/>
          <w:lang w:bidi="ar"/>
          <w14:textFill>
            <w14:solidFill>
              <w14:schemeClr w14:val="tx1"/>
            </w14:solidFill>
          </w14:textFill>
        </w:rPr>
        <w:t>，热带分布类型（</w:t>
      </w:r>
      <w:r>
        <w:rPr>
          <w:color w:val="000000" w:themeColor="text1"/>
          <w:sz w:val="24"/>
          <w:szCs w:val="24"/>
          <w:lang w:bidi="ar"/>
          <w14:textFill>
            <w14:solidFill>
              <w14:schemeClr w14:val="tx1"/>
            </w14:solidFill>
          </w14:textFill>
        </w:rPr>
        <w:t>2-7</w:t>
      </w:r>
      <w:r>
        <w:rPr>
          <w:rFonts w:hint="eastAsia" w:ascii="宋体" w:hAnsi="宋体" w:cs="宋体"/>
          <w:color w:val="000000" w:themeColor="text1"/>
          <w:sz w:val="24"/>
          <w:szCs w:val="24"/>
          <w:lang w:bidi="ar"/>
          <w14:textFill>
            <w14:solidFill>
              <w14:schemeClr w14:val="tx1"/>
            </w14:solidFill>
          </w14:textFill>
        </w:rPr>
        <w:t>型）次之，有</w:t>
      </w:r>
      <w:r>
        <w:rPr>
          <w:color w:val="000000" w:themeColor="text1"/>
          <w:sz w:val="24"/>
          <w:szCs w:val="24"/>
          <w:lang w:bidi="ar"/>
          <w14:textFill>
            <w14:solidFill>
              <w14:schemeClr w14:val="tx1"/>
            </w14:solidFill>
          </w14:textFill>
        </w:rPr>
        <w:t>42</w:t>
      </w:r>
      <w:r>
        <w:rPr>
          <w:rFonts w:hint="eastAsia" w:ascii="宋体" w:hAnsi="宋体" w:cs="宋体"/>
          <w:color w:val="000000" w:themeColor="text1"/>
          <w:sz w:val="24"/>
          <w:szCs w:val="24"/>
          <w:lang w:bidi="ar"/>
          <w14:textFill>
            <w14:solidFill>
              <w14:schemeClr w14:val="tx1"/>
            </w14:solidFill>
          </w14:textFill>
        </w:rPr>
        <w:t>属，占非世界广布的</w:t>
      </w:r>
      <w:r>
        <w:rPr>
          <w:color w:val="000000" w:themeColor="text1"/>
          <w:sz w:val="24"/>
          <w:szCs w:val="24"/>
          <w:lang w:bidi="ar"/>
          <w14:textFill>
            <w14:solidFill>
              <w14:schemeClr w14:val="tx1"/>
            </w14:solidFill>
          </w14:textFill>
        </w:rPr>
        <w:t>45.65%</w:t>
      </w:r>
      <w:r>
        <w:rPr>
          <w:rFonts w:hint="eastAsia" w:ascii="宋体" w:hAnsi="宋体" w:cs="宋体"/>
          <w:color w:val="000000" w:themeColor="text1"/>
          <w:sz w:val="24"/>
          <w:szCs w:val="24"/>
          <w:lang w:bidi="ar"/>
          <w14:textFill>
            <w14:solidFill>
              <w14:schemeClr w14:val="tx1"/>
            </w14:solidFill>
          </w14:textFill>
        </w:rPr>
        <w:t>。此外，评价区还有</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属为中国特有。</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需指出的是，评价区的面积相对较小，其所处的植物区系表现面积中还有较强人为活动的一部分区域。通常而言，某一具体植物区系的表现面积至少在</w:t>
      </w:r>
      <w:r>
        <w:rPr>
          <w:color w:val="000000" w:themeColor="text1"/>
          <w:sz w:val="24"/>
          <w:szCs w:val="24"/>
          <w:lang w:bidi="ar"/>
          <w14:textFill>
            <w14:solidFill>
              <w14:schemeClr w14:val="tx1"/>
            </w14:solidFill>
          </w14:textFill>
        </w:rPr>
        <w:t>100km</w:t>
      </w:r>
      <w:r>
        <w:rPr>
          <w:color w:val="000000" w:themeColor="text1"/>
          <w:sz w:val="24"/>
          <w:szCs w:val="24"/>
          <w:vertAlign w:val="superscript"/>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以上，或者至少包含一定的特有成分。同时评价区的面积低于临界面积。因此，在评估某一较小地区的区系性质时，属分布区类型的统计分析往往有一定局限性，还不能完全反映具体区系的本来面貌。评价区的地区区系发生与演化历史较为复杂，需在适当的地理尺度上讨论为宜。在此不再对评价区的植物区系特征做进一步分析。</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w:t>
      </w:r>
      <w:r>
        <w:rPr>
          <w:rFonts w:hint="eastAsia" w:eastAsia="黑体"/>
          <w:color w:val="000000" w:themeColor="text1"/>
          <w14:textFill>
            <w14:solidFill>
              <w14:schemeClr w14:val="tx1"/>
            </w14:solidFill>
          </w14:textFill>
        </w:rPr>
        <w:t>3.2-1</w:t>
      </w:r>
      <w:r>
        <w:rPr>
          <w:rFonts w:hint="eastAsia" w:eastAsia="黑体"/>
          <w:color w:val="000000" w:themeColor="text1"/>
          <w:lang w:val="en-US" w:eastAsia="zh-CN"/>
          <w14:textFill>
            <w14:solidFill>
              <w14:schemeClr w14:val="tx1"/>
            </w14:solidFill>
          </w14:textFill>
        </w:rPr>
        <w:t>7</w:t>
      </w:r>
      <w:r>
        <w:rPr>
          <w:rFonts w:hint="eastAsia" w:eastAsia="黑体"/>
          <w:color w:val="000000" w:themeColor="text1"/>
          <w14:textFill>
            <w14:solidFill>
              <w14:schemeClr w14:val="tx1"/>
            </w14:solidFill>
          </w14:textFill>
        </w:rPr>
        <w:t>评价区维管植物属的分布区类型</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6169"/>
        <w:gridCol w:w="1045"/>
        <w:gridCol w:w="1308"/>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分布区类型</w:t>
            </w:r>
          </w:p>
        </w:tc>
        <w:tc>
          <w:tcPr>
            <w:tcW w:w="550"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属数</w:t>
            </w:r>
          </w:p>
        </w:tc>
        <w:tc>
          <w:tcPr>
            <w:tcW w:w="712" w:type="pct"/>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占比%</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1.世界广布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2.泛热带分布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27.37%</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2-2.热带亚洲-热带非洲-热带美洲（南美洲）分布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2.11%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3.东亚（热带、亚热带）及热带南美间断分布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2.11%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4.旧世界热带分布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5.热带亚洲至热带大洋洲</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4.21%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6.热带亚洲至热带非洲分布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7.热带亚洲分布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7-3.缅甸、泰国至华西南</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热带分布类型合计</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42</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44.21%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8.北温带分布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22.11%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8-4.北温带和南温带（全温带）间断分布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4.21%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8-5.欧亚和南美洲温带间断</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9.东亚和北美洲间断分布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5.26%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10.旧世界温带分布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2.11%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10-1.地中海区、西亚和东亚间断分布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10-3.欧亚和南非洲（有时也在大洋洲）间断</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11.温带亚洲分布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12.地中海区、西亚至中亚分布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2.11%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14.东亚（东喜马拉雅-日本）分布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8.42%</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14SH.中国—喜马拉雅分布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firstLineChars="20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14SJ.中国—日本分布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温带分布合计</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52.63%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15.中国特有</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737"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合计（非世界广布）</w:t>
            </w:r>
          </w:p>
        </w:tc>
        <w:tc>
          <w:tcPr>
            <w:tcW w:w="55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95</w:t>
            </w:r>
          </w:p>
        </w:tc>
        <w:tc>
          <w:tcPr>
            <w:tcW w:w="712"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bCs/>
                <w:color w:val="000000" w:themeColor="text1"/>
                <w:kern w:val="44"/>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3"/>
            <w:tcBorders>
              <w:top w:val="single" w:color="auto" w:sz="4" w:space="0"/>
              <w:left w:val="nil"/>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注：</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1.</w:t>
            </w:r>
            <w:r>
              <w:rPr>
                <w:rFonts w:hint="eastAsia" w:ascii="宋体" w:hAnsi="宋体" w:cs="宋体"/>
                <w:b/>
                <w:bCs/>
                <w:color w:val="000000" w:themeColor="text1"/>
                <w:kern w:val="44"/>
                <w:sz w:val="18"/>
                <w:szCs w:val="18"/>
                <w:lang w:bidi="ar"/>
                <w14:textFill>
                  <w14:solidFill>
                    <w14:schemeClr w14:val="tx1"/>
                  </w14:solidFill>
                </w14:textFill>
              </w:rPr>
              <w:t>世界广布</w:t>
            </w:r>
            <w:r>
              <w:rPr>
                <w:rFonts w:hint="default"/>
                <w:b/>
                <w:bCs/>
                <w:color w:val="000000" w:themeColor="text1"/>
                <w:kern w:val="44"/>
                <w:sz w:val="18"/>
                <w:szCs w:val="18"/>
                <w:lang w:bidi="ar"/>
                <w14:textFill>
                  <w14:solidFill>
                    <w14:schemeClr w14:val="tx1"/>
                  </w14:solidFill>
                </w14:textFill>
              </w:rPr>
              <w:t>Cosmopolitan</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世界广布指几乎遍布世界各大洲，没有特殊分布中心的属，或虽有一个或数个分布中心而包含世界广布种的属。</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2.</w:t>
            </w:r>
            <w:r>
              <w:rPr>
                <w:rFonts w:hint="eastAsia" w:ascii="宋体" w:hAnsi="宋体" w:cs="宋体"/>
                <w:b/>
                <w:bCs/>
                <w:color w:val="000000" w:themeColor="text1"/>
                <w:kern w:val="44"/>
                <w:sz w:val="18"/>
                <w:szCs w:val="18"/>
                <w:lang w:bidi="ar"/>
                <w14:textFill>
                  <w14:solidFill>
                    <w14:schemeClr w14:val="tx1"/>
                  </w14:solidFill>
                </w14:textFill>
              </w:rPr>
              <w:t>泛热带分布</w:t>
            </w:r>
            <w:r>
              <w:rPr>
                <w:rFonts w:hint="default"/>
                <w:b/>
                <w:bCs/>
                <w:color w:val="000000" w:themeColor="text1"/>
                <w:kern w:val="44"/>
                <w:sz w:val="18"/>
                <w:szCs w:val="18"/>
                <w:lang w:bidi="ar"/>
                <w14:textFill>
                  <w14:solidFill>
                    <w14:schemeClr w14:val="tx1"/>
                  </w14:solidFill>
                </w14:textFill>
              </w:rPr>
              <w:t>Pantropic</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泛热带分布区类型包括普遍分布于东、西两半球热带，和在全世界热带范围内有一个或数个分布中心，但在其他地区也有一些种类分布的热带属。有不少属广布于热带亚热带甚至到温带。</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2-2.</w:t>
            </w:r>
            <w:r>
              <w:rPr>
                <w:rFonts w:hint="eastAsia" w:ascii="宋体" w:hAnsi="宋体" w:cs="宋体"/>
                <w:color w:val="000000" w:themeColor="text1"/>
                <w:kern w:val="44"/>
                <w:sz w:val="18"/>
                <w:szCs w:val="18"/>
                <w:lang w:bidi="ar"/>
                <w14:textFill>
                  <w14:solidFill>
                    <w14:schemeClr w14:val="tx1"/>
                  </w14:solidFill>
                </w14:textFill>
              </w:rPr>
              <w:t>热带亚洲、非洲和中、南美洲间断分布。</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3.</w:t>
            </w:r>
            <w:r>
              <w:rPr>
                <w:rFonts w:hint="eastAsia" w:ascii="宋体" w:hAnsi="宋体" w:cs="宋体"/>
                <w:b/>
                <w:bCs/>
                <w:color w:val="000000" w:themeColor="text1"/>
                <w:kern w:val="44"/>
                <w:sz w:val="18"/>
                <w:szCs w:val="18"/>
                <w:lang w:bidi="ar"/>
                <w14:textFill>
                  <w14:solidFill>
                    <w14:schemeClr w14:val="tx1"/>
                  </w14:solidFill>
                </w14:textFill>
              </w:rPr>
              <w:t>热带亚洲和热带美洲间断分布</w:t>
            </w:r>
            <w:r>
              <w:rPr>
                <w:rFonts w:hint="default"/>
                <w:b/>
                <w:bCs/>
                <w:color w:val="000000" w:themeColor="text1"/>
                <w:kern w:val="44"/>
                <w:sz w:val="18"/>
                <w:szCs w:val="18"/>
                <w:lang w:bidi="ar"/>
                <w14:textFill>
                  <w14:solidFill>
                    <w14:schemeClr w14:val="tx1"/>
                  </w14:solidFill>
                </w14:textFill>
              </w:rPr>
              <w:t>Trop.Asia&amp;Trop.Amer.disjuncted</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这一分布区类型包括间断分布于美洲和亚洲温暖地区的热带属，在旧世界（东半球）从亚洲可能延伸到澳大利亚东北部或西南太平洋岛屿。</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4.</w:t>
            </w:r>
            <w:r>
              <w:rPr>
                <w:rFonts w:hint="eastAsia" w:ascii="宋体" w:hAnsi="宋体" w:cs="宋体"/>
                <w:b/>
                <w:bCs/>
                <w:color w:val="000000" w:themeColor="text1"/>
                <w:kern w:val="44"/>
                <w:sz w:val="18"/>
                <w:szCs w:val="18"/>
                <w:lang w:bidi="ar"/>
                <w14:textFill>
                  <w14:solidFill>
                    <w14:schemeClr w14:val="tx1"/>
                  </w14:solidFill>
                </w14:textFill>
              </w:rPr>
              <w:t>旧世界热带分布</w:t>
            </w:r>
            <w:r>
              <w:rPr>
                <w:rFonts w:hint="default"/>
                <w:b/>
                <w:bCs/>
                <w:color w:val="000000" w:themeColor="text1"/>
                <w:kern w:val="44"/>
                <w:sz w:val="18"/>
                <w:szCs w:val="18"/>
                <w:lang w:bidi="ar"/>
                <w14:textFill>
                  <w14:solidFill>
                    <w14:schemeClr w14:val="tx1"/>
                  </w14:solidFill>
                </w14:textFill>
              </w:rPr>
              <w:t>OldWorldTropics</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旧世界热带是指亚洲、非洲和大洋洲热带地区及其邻近岛屿（也常称为古热带</w:t>
            </w:r>
            <w:r>
              <w:rPr>
                <w:rFonts w:hint="default"/>
                <w:color w:val="000000" w:themeColor="text1"/>
                <w:kern w:val="44"/>
                <w:sz w:val="18"/>
                <w:szCs w:val="18"/>
                <w:lang w:bidi="ar"/>
                <w14:textFill>
                  <w14:solidFill>
                    <w14:schemeClr w14:val="tx1"/>
                  </w14:solidFill>
                </w14:textFill>
              </w:rPr>
              <w:t>Paleotropics</w:t>
            </w:r>
            <w:r>
              <w:rPr>
                <w:rFonts w:hint="eastAsia" w:ascii="宋体" w:hAnsi="宋体" w:cs="宋体"/>
                <w:color w:val="000000" w:themeColor="text1"/>
                <w:kern w:val="44"/>
                <w:sz w:val="18"/>
                <w:szCs w:val="18"/>
                <w:lang w:bidi="ar"/>
                <w14:textFill>
                  <w14:solidFill>
                    <w14:schemeClr w14:val="tx1"/>
                  </w14:solidFill>
                </w14:textFill>
              </w:rPr>
              <w:t>），以与美洲新大陆热带相区别。</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5.</w:t>
            </w:r>
            <w:r>
              <w:rPr>
                <w:rFonts w:hint="eastAsia" w:ascii="宋体" w:hAnsi="宋体" w:cs="宋体"/>
                <w:b/>
                <w:bCs/>
                <w:color w:val="000000" w:themeColor="text1"/>
                <w:kern w:val="44"/>
                <w:sz w:val="18"/>
                <w:szCs w:val="18"/>
                <w:lang w:bidi="ar"/>
                <w14:textFill>
                  <w14:solidFill>
                    <w14:schemeClr w14:val="tx1"/>
                  </w14:solidFill>
                </w14:textFill>
              </w:rPr>
              <w:t>热带亚洲至热带大洋洲分布</w:t>
            </w:r>
            <w:r>
              <w:rPr>
                <w:rFonts w:hint="default"/>
                <w:b/>
                <w:bCs/>
                <w:color w:val="000000" w:themeColor="text1"/>
                <w:kern w:val="44"/>
                <w:sz w:val="18"/>
                <w:szCs w:val="18"/>
                <w:lang w:bidi="ar"/>
                <w14:textFill>
                  <w14:solidFill>
                    <w14:schemeClr w14:val="tx1"/>
                  </w14:solidFill>
                </w14:textFill>
              </w:rPr>
              <w:t>TropicalAsia&amp;Trop.Australasia</w:t>
            </w:r>
          </w:p>
          <w:p>
            <w:pPr>
              <w:pStyle w:val="34"/>
              <w:keepNext w:val="0"/>
              <w:keepLines w:val="0"/>
              <w:widowControl w:val="0"/>
              <w:suppressLineNumbers w:val="0"/>
              <w:spacing w:before="0" w:beforeAutospacing="0" w:after="0" w:afterAutospacing="0"/>
              <w:ind w:left="0" w:right="0" w:firstLine="420"/>
              <w:jc w:val="both"/>
              <w:rPr>
                <w:rFonts w:hint="default"/>
                <w:b/>
                <w:bCs/>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热带亚洲—大洋洲分布区是旧世界热带分布区的东翼，其西端有时可达马达加斯加，但一般不到非洲大陆。</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6.</w:t>
            </w:r>
            <w:r>
              <w:rPr>
                <w:rFonts w:hint="eastAsia" w:ascii="宋体" w:hAnsi="宋体" w:cs="宋体"/>
                <w:b/>
                <w:bCs/>
                <w:color w:val="000000" w:themeColor="text1"/>
                <w:kern w:val="44"/>
                <w:sz w:val="18"/>
                <w:szCs w:val="18"/>
                <w:lang w:bidi="ar"/>
                <w14:textFill>
                  <w14:solidFill>
                    <w14:schemeClr w14:val="tx1"/>
                  </w14:solidFill>
                </w14:textFill>
              </w:rPr>
              <w:t>热带亚洲至热带非洲分布</w:t>
            </w:r>
            <w:r>
              <w:rPr>
                <w:rFonts w:hint="default"/>
                <w:b/>
                <w:bCs/>
                <w:color w:val="000000" w:themeColor="text1"/>
                <w:kern w:val="44"/>
                <w:sz w:val="18"/>
                <w:szCs w:val="18"/>
                <w:lang w:bidi="ar"/>
                <w14:textFill>
                  <w14:solidFill>
                    <w14:schemeClr w14:val="tx1"/>
                  </w14:solidFill>
                </w14:textFill>
              </w:rPr>
              <w:t>Trop.AsiatoTrop.Africa</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这一分布区类型是旧世界热带分布区类型的西翼，即从热带非洲至印度—马来西亚，特别是其西部（西马来西亚），有的属也分布到斐济等南太平洋岛屿，但不见于澳大利亚大陆。</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7.</w:t>
            </w:r>
            <w:r>
              <w:rPr>
                <w:rFonts w:hint="eastAsia" w:ascii="宋体" w:hAnsi="宋体" w:cs="宋体"/>
                <w:b/>
                <w:bCs/>
                <w:color w:val="000000" w:themeColor="text1"/>
                <w:kern w:val="44"/>
                <w:sz w:val="18"/>
                <w:szCs w:val="18"/>
                <w:lang w:bidi="ar"/>
                <w14:textFill>
                  <w14:solidFill>
                    <w14:schemeClr w14:val="tx1"/>
                  </w14:solidFill>
                </w14:textFill>
              </w:rPr>
              <w:t>热带亚洲（印度－马来西亚）分布</w:t>
            </w:r>
            <w:r>
              <w:rPr>
                <w:rFonts w:hint="default"/>
                <w:b/>
                <w:bCs/>
                <w:color w:val="000000" w:themeColor="text1"/>
                <w:kern w:val="44"/>
                <w:sz w:val="18"/>
                <w:szCs w:val="18"/>
                <w:lang w:bidi="ar"/>
                <w14:textFill>
                  <w14:solidFill>
                    <w14:schemeClr w14:val="tx1"/>
                  </w14:solidFill>
                </w14:textFill>
              </w:rPr>
              <w:t>Trop.Asia(Indo-Malesia)</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热带亚洲</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印度</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马来西亚</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是旧世界热带的中心部分。这一类型分布区的范围包括印度、斯里兰卡、缅甸、泰国、中南半岛、印度尼西亚、加里曼丹、菲律宾及新几内亚等。东面可达斐济等南太平洋岛屿，但不到澳大利亚大陆。其中分布区的北部边缘，往往到达我国西南、华南及台湾，甚至更北地区。</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7-3.</w:t>
            </w:r>
            <w:r>
              <w:rPr>
                <w:rFonts w:hint="eastAsia" w:ascii="宋体" w:hAnsi="宋体" w:cs="宋体"/>
                <w:color w:val="000000" w:themeColor="text1"/>
                <w:kern w:val="44"/>
                <w:sz w:val="18"/>
                <w:szCs w:val="18"/>
                <w:lang w:bidi="ar"/>
                <w14:textFill>
                  <w14:solidFill>
                    <w14:schemeClr w14:val="tx1"/>
                  </w14:solidFill>
                </w14:textFill>
              </w:rPr>
              <w:t>缅甸、泰国至华西南分布。</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8.</w:t>
            </w:r>
            <w:r>
              <w:rPr>
                <w:rFonts w:hint="eastAsia" w:ascii="宋体" w:hAnsi="宋体" w:cs="宋体"/>
                <w:b/>
                <w:bCs/>
                <w:color w:val="000000" w:themeColor="text1"/>
                <w:kern w:val="44"/>
                <w:sz w:val="18"/>
                <w:szCs w:val="18"/>
                <w:lang w:bidi="ar"/>
                <w14:textFill>
                  <w14:solidFill>
                    <w14:schemeClr w14:val="tx1"/>
                  </w14:solidFill>
                </w14:textFill>
              </w:rPr>
              <w:t>北温带分布</w:t>
            </w:r>
            <w:r>
              <w:rPr>
                <w:rFonts w:hint="default"/>
                <w:b/>
                <w:bCs/>
                <w:color w:val="000000" w:themeColor="text1"/>
                <w:kern w:val="44"/>
                <w:sz w:val="18"/>
                <w:szCs w:val="18"/>
                <w:lang w:bidi="ar"/>
                <w14:textFill>
                  <w14:solidFill>
                    <w14:schemeClr w14:val="tx1"/>
                  </w14:solidFill>
                </w14:textFill>
              </w:rPr>
              <w:t>NorthTemperate</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北温带分布区类型一般是指那些广泛分布于欧洲、亚洲和北美洲温带地区的属。由于地理和历史的原因，有些属沿山脉向南伸延到热带山区，甚至远达南半球温带，但其原始类型或分布中心仍在北温带。</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8-4.</w:t>
            </w:r>
            <w:r>
              <w:rPr>
                <w:rFonts w:hint="eastAsia" w:ascii="宋体" w:hAnsi="宋体" w:cs="宋体"/>
                <w:color w:val="000000" w:themeColor="text1"/>
                <w:kern w:val="44"/>
                <w:sz w:val="18"/>
                <w:szCs w:val="18"/>
                <w:lang w:bidi="ar"/>
                <w14:textFill>
                  <w14:solidFill>
                    <w14:schemeClr w14:val="tx1"/>
                  </w14:solidFill>
                </w14:textFill>
              </w:rPr>
              <w:t>北温带和南温带间断分布“全温带”。</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包括北温带和澳大利亚或澳大利亚－南非洲或澳大利亚－南美洲间断分布；北温带和南美洲－南非洲间断分布；北温带和南美洲间断分布；北温带和南部非洲间断分布以及标准型。</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8-5.</w:t>
            </w:r>
            <w:r>
              <w:rPr>
                <w:rFonts w:hint="eastAsia" w:ascii="宋体" w:hAnsi="宋体" w:cs="宋体"/>
                <w:color w:val="000000" w:themeColor="text1"/>
                <w:kern w:val="44"/>
                <w:sz w:val="18"/>
                <w:szCs w:val="18"/>
                <w:lang w:bidi="ar"/>
                <w14:textFill>
                  <w14:solidFill>
                    <w14:schemeClr w14:val="tx1"/>
                  </w14:solidFill>
                </w14:textFill>
              </w:rPr>
              <w:t>欧亚和南美温带间断分布。</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9.</w:t>
            </w:r>
            <w:r>
              <w:rPr>
                <w:rFonts w:hint="eastAsia" w:ascii="宋体" w:hAnsi="宋体" w:cs="宋体"/>
                <w:b/>
                <w:bCs/>
                <w:color w:val="000000" w:themeColor="text1"/>
                <w:kern w:val="44"/>
                <w:sz w:val="18"/>
                <w:szCs w:val="18"/>
                <w:lang w:bidi="ar"/>
                <w14:textFill>
                  <w14:solidFill>
                    <w14:schemeClr w14:val="tx1"/>
                  </w14:solidFill>
                </w14:textFill>
              </w:rPr>
              <w:t>东亚和北美洲间断分布</w:t>
            </w:r>
            <w:r>
              <w:rPr>
                <w:rFonts w:hint="default"/>
                <w:b/>
                <w:bCs/>
                <w:color w:val="000000" w:themeColor="text1"/>
                <w:kern w:val="44"/>
                <w:sz w:val="18"/>
                <w:szCs w:val="18"/>
                <w:lang w:bidi="ar"/>
                <w14:textFill>
                  <w14:solidFill>
                    <w14:schemeClr w14:val="tx1"/>
                  </w14:solidFill>
                </w14:textFill>
              </w:rPr>
              <w:t>E.Asia&amp;N.Amer.disjuncted</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间断分布于东亚和北美洲温带及亚热带地区。</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10.</w:t>
            </w:r>
            <w:r>
              <w:rPr>
                <w:rFonts w:hint="eastAsia" w:ascii="宋体" w:hAnsi="宋体" w:cs="宋体"/>
                <w:b/>
                <w:bCs/>
                <w:color w:val="000000" w:themeColor="text1"/>
                <w:kern w:val="44"/>
                <w:sz w:val="18"/>
                <w:szCs w:val="18"/>
                <w:lang w:bidi="ar"/>
                <w14:textFill>
                  <w14:solidFill>
                    <w14:schemeClr w14:val="tx1"/>
                  </w14:solidFill>
                </w14:textFill>
              </w:rPr>
              <w:t>旧世界温带分布</w:t>
            </w:r>
            <w:r>
              <w:rPr>
                <w:rFonts w:hint="default"/>
                <w:b/>
                <w:bCs/>
                <w:color w:val="000000" w:themeColor="text1"/>
                <w:kern w:val="44"/>
                <w:sz w:val="18"/>
                <w:szCs w:val="18"/>
                <w:lang w:bidi="ar"/>
                <w14:textFill>
                  <w14:solidFill>
                    <w14:schemeClr w14:val="tx1"/>
                  </w14:solidFill>
                </w14:textFill>
              </w:rPr>
              <w:t>OldWorldTemperate</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这一分布区类型一般是指广泛分布于欧洲、亚洲中</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高纬度的温带和寒温带或最多有个别种延伸到亚洲</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非洲热带山地或甚至澳大利亚的属。</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10-1.</w:t>
            </w:r>
            <w:r>
              <w:rPr>
                <w:rFonts w:hint="eastAsia" w:ascii="宋体" w:hAnsi="宋体" w:cs="宋体"/>
                <w:color w:val="000000" w:themeColor="text1"/>
                <w:kern w:val="44"/>
                <w:sz w:val="18"/>
                <w:szCs w:val="18"/>
                <w:lang w:bidi="ar"/>
                <w14:textFill>
                  <w14:solidFill>
                    <w14:schemeClr w14:val="tx1"/>
                  </w14:solidFill>
                </w14:textFill>
              </w:rPr>
              <w:t>地中海区、西亚（或中亚）和东亚间断分布。分布中心多偏于东亚、个别则偏于地中海－西亚。</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10-3.</w:t>
            </w:r>
            <w:r>
              <w:rPr>
                <w:rFonts w:hint="eastAsia" w:ascii="宋体" w:hAnsi="宋体" w:cs="宋体"/>
                <w:color w:val="000000" w:themeColor="text1"/>
                <w:kern w:val="44"/>
                <w:sz w:val="18"/>
                <w:szCs w:val="18"/>
                <w:lang w:bidi="ar"/>
                <w14:textFill>
                  <w14:solidFill>
                    <w14:schemeClr w14:val="tx1"/>
                  </w14:solidFill>
                </w14:textFill>
              </w:rPr>
              <w:t>欧亚和南部非洲（有时也在大洋洲）间断分布。</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11.</w:t>
            </w:r>
            <w:r>
              <w:rPr>
                <w:rFonts w:hint="eastAsia" w:ascii="宋体" w:hAnsi="宋体" w:cs="宋体"/>
                <w:b/>
                <w:bCs/>
                <w:color w:val="000000" w:themeColor="text1"/>
                <w:kern w:val="44"/>
                <w:sz w:val="18"/>
                <w:szCs w:val="18"/>
                <w:lang w:bidi="ar"/>
                <w14:textFill>
                  <w14:solidFill>
                    <w14:schemeClr w14:val="tx1"/>
                  </w14:solidFill>
                </w14:textFill>
              </w:rPr>
              <w:t>温带亚洲分布</w:t>
            </w:r>
            <w:r>
              <w:rPr>
                <w:rFonts w:hint="default"/>
                <w:b/>
                <w:bCs/>
                <w:color w:val="000000" w:themeColor="text1"/>
                <w:kern w:val="44"/>
                <w:sz w:val="18"/>
                <w:szCs w:val="18"/>
                <w:lang w:bidi="ar"/>
                <w14:textFill>
                  <w14:solidFill>
                    <w14:schemeClr w14:val="tx1"/>
                  </w14:solidFill>
                </w14:textFill>
              </w:rPr>
              <w:t>Temp.Asia</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这一分布区类型是指主要局限于亚洲温带地区的属，它们分布区的范围一般包括从苏联中亚（或南俄罗斯）至东西伯利亚和亚洲东北部，南部界限至喜马拉雅山区，我国西南，华北至东北，朝鲜和日本北部。也有一些属种分布到亚热带，个别属种到达亚洲热带，甚至到新几内亚。</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12.</w:t>
            </w:r>
            <w:r>
              <w:rPr>
                <w:rFonts w:hint="eastAsia" w:ascii="宋体" w:hAnsi="宋体" w:cs="宋体"/>
                <w:b/>
                <w:bCs/>
                <w:color w:val="000000" w:themeColor="text1"/>
                <w:kern w:val="44"/>
                <w:sz w:val="18"/>
                <w:szCs w:val="18"/>
                <w:lang w:bidi="ar"/>
                <w14:textFill>
                  <w14:solidFill>
                    <w14:schemeClr w14:val="tx1"/>
                  </w14:solidFill>
                </w14:textFill>
              </w:rPr>
              <w:t>地中海区、西亚至中亚分布</w:t>
            </w:r>
            <w:r>
              <w:rPr>
                <w:rFonts w:hint="default"/>
                <w:b/>
                <w:bCs/>
                <w:color w:val="000000" w:themeColor="text1"/>
                <w:kern w:val="44"/>
                <w:sz w:val="18"/>
                <w:szCs w:val="18"/>
                <w:lang w:bidi="ar"/>
                <w14:textFill>
                  <w14:solidFill>
                    <w14:schemeClr w14:val="tx1"/>
                  </w14:solidFill>
                </w14:textFill>
              </w:rPr>
              <w:t>Mediterranea,W.AsiatoC.Asia</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这一分布区类型是指分布于现代地中海周围，经过西亚或西南亚至苏联中亚和我国新疆、青藏高原及蒙古高原一带的属。中亚乃指亚洲内陆整个干旱中心地区，包括苏联中亚部分（中亚西部），我国新疆，青藏高原至内蒙西部和蒙古南部（中亚东部），亦即古地中海区的大部分。</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14.</w:t>
            </w:r>
            <w:r>
              <w:rPr>
                <w:rFonts w:hint="eastAsia" w:ascii="宋体" w:hAnsi="宋体" w:cs="宋体"/>
                <w:b/>
                <w:bCs/>
                <w:color w:val="000000" w:themeColor="text1"/>
                <w:kern w:val="44"/>
                <w:sz w:val="18"/>
                <w:szCs w:val="18"/>
                <w:lang w:bidi="ar"/>
                <w14:textFill>
                  <w14:solidFill>
                    <w14:schemeClr w14:val="tx1"/>
                  </w14:solidFill>
                </w14:textFill>
              </w:rPr>
              <w:t>东亚分布</w:t>
            </w:r>
            <w:r>
              <w:rPr>
                <w:rFonts w:hint="default"/>
                <w:b/>
                <w:bCs/>
                <w:color w:val="000000" w:themeColor="text1"/>
                <w:kern w:val="44"/>
                <w:sz w:val="18"/>
                <w:szCs w:val="18"/>
                <w:lang w:bidi="ar"/>
                <w14:textFill>
                  <w14:solidFill>
                    <w14:schemeClr w14:val="tx1"/>
                  </w14:solidFill>
                </w14:textFill>
              </w:rPr>
              <w:t>E.Asia</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这里指的是从东喜马拉雅一直分布到日本的一些属。其分布区向东北一般不超过苏联境内的阿穆尔州，并从日本北部至萨哈林，向西南不超过越南北部和喜马拉雅东部，向南最远达菲律宾、苏门答腊和爪哇，向西北一般以我国各类森林边界为界。它们和温带亚洲的一些属有时难以区分，但本类型一般分布区较小，几乎都是森林区系成分，并且分布中心不超过喜马拉雅至日本的范围。</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14-1.</w:t>
            </w:r>
            <w:r>
              <w:rPr>
                <w:rFonts w:hint="eastAsia" w:ascii="宋体" w:hAnsi="宋体" w:cs="宋体"/>
                <w:color w:val="000000" w:themeColor="text1"/>
                <w:kern w:val="44"/>
                <w:sz w:val="18"/>
                <w:szCs w:val="18"/>
                <w:lang w:bidi="ar"/>
                <w14:textFill>
                  <w14:solidFill>
                    <w14:schemeClr w14:val="tx1"/>
                  </w14:solidFill>
                </w14:textFill>
              </w:rPr>
              <w:t>中国</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喜马拉雅分布。</w:t>
            </w:r>
            <w:r>
              <w:rPr>
                <w:rFonts w:hint="default"/>
                <w:color w:val="000000" w:themeColor="text1"/>
                <w:kern w:val="44"/>
                <w:sz w:val="18"/>
                <w:szCs w:val="18"/>
                <w:lang w:bidi="ar"/>
                <w14:textFill>
                  <w14:solidFill>
                    <w14:schemeClr w14:val="tx1"/>
                  </w14:solidFill>
                </w14:textFill>
              </w:rPr>
              <w:t>Sino-Himalaya(SH).</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主要分布于喜马拉雅山区诸国至我国西南诸省，有的达到陕、甘、华东或台湾省，向南延伸到中南半岛，但不见于日本。有时与热带亚洲分布的变型不易区别。但一般均达到亚热带或温带。</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18"/>
                <w:szCs w:val="18"/>
                <w14:textFill>
                  <w14:solidFill>
                    <w14:schemeClr w14:val="tx1"/>
                  </w14:solidFill>
                </w14:textFill>
              </w:rPr>
            </w:pPr>
            <w:r>
              <w:rPr>
                <w:rFonts w:hint="default"/>
                <w:color w:val="000000" w:themeColor="text1"/>
                <w:kern w:val="44"/>
                <w:sz w:val="18"/>
                <w:szCs w:val="18"/>
                <w:lang w:bidi="ar"/>
                <w14:textFill>
                  <w14:solidFill>
                    <w14:schemeClr w14:val="tx1"/>
                  </w14:solidFill>
                </w14:textFill>
              </w:rPr>
              <w:t>14-2.</w:t>
            </w:r>
            <w:r>
              <w:rPr>
                <w:rFonts w:hint="eastAsia" w:ascii="宋体" w:hAnsi="宋体" w:cs="宋体"/>
                <w:color w:val="000000" w:themeColor="text1"/>
                <w:kern w:val="44"/>
                <w:sz w:val="18"/>
                <w:szCs w:val="18"/>
                <w:lang w:bidi="ar"/>
                <w14:textFill>
                  <w14:solidFill>
                    <w14:schemeClr w14:val="tx1"/>
                  </w14:solidFill>
                </w14:textFill>
              </w:rPr>
              <w:t>中国</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日本分布。</w:t>
            </w:r>
            <w:r>
              <w:rPr>
                <w:rFonts w:hint="default"/>
                <w:color w:val="000000" w:themeColor="text1"/>
                <w:kern w:val="44"/>
                <w:sz w:val="18"/>
                <w:szCs w:val="18"/>
                <w:lang w:bidi="ar"/>
                <w14:textFill>
                  <w14:solidFill>
                    <w14:schemeClr w14:val="tx1"/>
                  </w14:solidFill>
                </w14:textFill>
              </w:rPr>
              <w:t>Sino-Japan(SJ).</w:t>
            </w:r>
          </w:p>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18"/>
                <w:szCs w:val="18"/>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分布于我国滇、川金沙江河谷以东地区直至日本和琉球，但不见于喜马拉雅。</w:t>
            </w:r>
          </w:p>
          <w:p>
            <w:pPr>
              <w:pStyle w:val="34"/>
              <w:keepNext w:val="0"/>
              <w:keepLines w:val="0"/>
              <w:widowControl w:val="0"/>
              <w:suppressLineNumbers w:val="0"/>
              <w:spacing w:before="0" w:beforeAutospacing="0" w:after="0" w:afterAutospacing="0"/>
              <w:ind w:left="0" w:right="0" w:firstLine="422"/>
              <w:jc w:val="both"/>
              <w:rPr>
                <w:rFonts w:hint="default"/>
                <w:b/>
                <w:bCs/>
                <w:color w:val="000000" w:themeColor="text1"/>
                <w:kern w:val="44"/>
                <w:sz w:val="18"/>
                <w:szCs w:val="18"/>
                <w14:textFill>
                  <w14:solidFill>
                    <w14:schemeClr w14:val="tx1"/>
                  </w14:solidFill>
                </w14:textFill>
              </w:rPr>
            </w:pPr>
            <w:r>
              <w:rPr>
                <w:rFonts w:hint="default"/>
                <w:b/>
                <w:bCs/>
                <w:color w:val="000000" w:themeColor="text1"/>
                <w:kern w:val="44"/>
                <w:sz w:val="18"/>
                <w:szCs w:val="18"/>
                <w:lang w:bidi="ar"/>
                <w14:textFill>
                  <w14:solidFill>
                    <w14:schemeClr w14:val="tx1"/>
                  </w14:solidFill>
                </w14:textFill>
              </w:rPr>
              <w:t>15.</w:t>
            </w:r>
            <w:r>
              <w:rPr>
                <w:rFonts w:hint="eastAsia" w:ascii="宋体" w:hAnsi="宋体" w:cs="宋体"/>
                <w:b/>
                <w:bCs/>
                <w:color w:val="000000" w:themeColor="text1"/>
                <w:kern w:val="44"/>
                <w:sz w:val="18"/>
                <w:szCs w:val="18"/>
                <w:lang w:bidi="ar"/>
                <w14:textFill>
                  <w14:solidFill>
                    <w14:schemeClr w14:val="tx1"/>
                  </w14:solidFill>
                </w14:textFill>
              </w:rPr>
              <w:t>中国特有分布</w:t>
            </w:r>
            <w:r>
              <w:rPr>
                <w:rFonts w:hint="default"/>
                <w:b/>
                <w:bCs/>
                <w:color w:val="000000" w:themeColor="text1"/>
                <w:kern w:val="44"/>
                <w:sz w:val="18"/>
                <w:szCs w:val="18"/>
                <w:lang w:bidi="ar"/>
                <w14:textFill>
                  <w14:solidFill>
                    <w14:schemeClr w14:val="tx1"/>
                  </w14:solidFill>
                </w14:textFill>
              </w:rPr>
              <w:t>EndemictoChina</w:t>
            </w:r>
          </w:p>
          <w:p>
            <w:pPr>
              <w:pStyle w:val="34"/>
              <w:keepNext w:val="0"/>
              <w:keepLines w:val="0"/>
              <w:widowControl w:val="0"/>
              <w:suppressLineNumbers w:val="0"/>
              <w:spacing w:before="0" w:beforeAutospacing="0" w:after="0" w:afterAutospacing="0"/>
              <w:ind w:left="0" w:right="0" w:firstLine="360" w:firstLineChars="20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18"/>
                <w:szCs w:val="18"/>
                <w:lang w:bidi="ar"/>
                <w14:textFill>
                  <w14:solidFill>
                    <w14:schemeClr w14:val="tx1"/>
                  </w14:solidFill>
                </w14:textFill>
              </w:rPr>
              <w:t>以云南或西南诸省为中心，向东北、向东或向西北方向辐射并逐渐减少，而主要分布于秦岭</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山东以南的亚热带和热带地区，个别可以突破国界到邻近各国如缅甸、中南半岛、朝鲜、苏联远东、蒙古等等，极个别还可以间断分布到菲律宾或甚至斐济，总之以中国整体的自然植物区</w:t>
            </w:r>
            <w:r>
              <w:rPr>
                <w:rFonts w:hint="default"/>
                <w:color w:val="000000" w:themeColor="text1"/>
                <w:kern w:val="44"/>
                <w:sz w:val="18"/>
                <w:szCs w:val="18"/>
                <w:lang w:bidi="ar"/>
                <w14:textFill>
                  <w14:solidFill>
                    <w14:schemeClr w14:val="tx1"/>
                  </w14:solidFill>
                </w14:textFill>
              </w:rPr>
              <w:t>(FloristicRegion)</w:t>
            </w:r>
            <w:r>
              <w:rPr>
                <w:rFonts w:hint="eastAsia" w:ascii="宋体" w:hAnsi="宋体" w:cs="宋体"/>
                <w:color w:val="000000" w:themeColor="text1"/>
                <w:kern w:val="44"/>
                <w:sz w:val="18"/>
                <w:szCs w:val="18"/>
                <w:lang w:bidi="ar"/>
                <w14:textFill>
                  <w14:solidFill>
                    <w14:schemeClr w14:val="tx1"/>
                  </w14:solidFill>
                </w14:textFill>
              </w:rPr>
              <w:t>为中心而分布界限不越出国境很远。大致可分为西南，华中</w:t>
            </w:r>
            <w:r>
              <w:rPr>
                <w:rFonts w:hint="default"/>
                <w:color w:val="000000" w:themeColor="text1"/>
                <w:kern w:val="44"/>
                <w:sz w:val="18"/>
                <w:szCs w:val="18"/>
                <w:lang w:bidi="ar"/>
                <w14:textFill>
                  <w14:solidFill>
                    <w14:schemeClr w14:val="tx1"/>
                  </w14:solidFill>
                </w14:textFill>
              </w:rPr>
              <w:t>-</w:t>
            </w:r>
            <w:r>
              <w:rPr>
                <w:rFonts w:hint="eastAsia" w:ascii="宋体" w:hAnsi="宋体" w:cs="宋体"/>
                <w:color w:val="000000" w:themeColor="text1"/>
                <w:kern w:val="44"/>
                <w:sz w:val="18"/>
                <w:szCs w:val="18"/>
                <w:lang w:bidi="ar"/>
                <w14:textFill>
                  <w14:solidFill>
                    <w14:schemeClr w14:val="tx1"/>
                  </w14:solidFill>
                </w14:textFill>
              </w:rPr>
              <w:t>华东、华南、华北和西北五个属组。</w:t>
            </w:r>
          </w:p>
        </w:tc>
      </w:tr>
    </w:tbl>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3.2.6.2.3重要植物物种</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）国家重点保护野生植物</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按照国家林业和草原局、农业农村部</w:t>
      </w:r>
      <w:r>
        <w:rPr>
          <w:color w:val="000000" w:themeColor="text1"/>
          <w:sz w:val="24"/>
          <w:szCs w:val="24"/>
          <w:lang w:bidi="ar"/>
          <w14:textFill>
            <w14:solidFill>
              <w14:schemeClr w14:val="tx1"/>
            </w14:solidFill>
          </w14:textFill>
        </w:rPr>
        <w:t>2021</w:t>
      </w:r>
      <w:r>
        <w:rPr>
          <w:rFonts w:hint="eastAsia" w:ascii="宋体" w:hAnsi="宋体" w:cs="宋体"/>
          <w:color w:val="000000" w:themeColor="text1"/>
          <w:sz w:val="24"/>
          <w:szCs w:val="24"/>
          <w:lang w:bidi="ar"/>
          <w14:textFill>
            <w14:solidFill>
              <w14:schemeClr w14:val="tx1"/>
            </w14:solidFill>
          </w14:textFill>
        </w:rPr>
        <w:t>年</w:t>
      </w:r>
      <w:r>
        <w:rPr>
          <w:color w:val="000000" w:themeColor="text1"/>
          <w:sz w:val="24"/>
          <w:szCs w:val="24"/>
          <w:lang w:bidi="ar"/>
          <w14:textFill>
            <w14:solidFill>
              <w14:schemeClr w14:val="tx1"/>
            </w14:solidFill>
          </w14:textFill>
        </w:rPr>
        <w:t>9</w:t>
      </w:r>
      <w:r>
        <w:rPr>
          <w:rFonts w:hint="eastAsia" w:ascii="宋体" w:hAnsi="宋体" w:cs="宋体"/>
          <w:color w:val="000000" w:themeColor="text1"/>
          <w:sz w:val="24"/>
          <w:szCs w:val="24"/>
          <w:lang w:bidi="ar"/>
          <w14:textFill>
            <w14:solidFill>
              <w14:schemeClr w14:val="tx1"/>
            </w14:solidFill>
          </w14:textFill>
        </w:rPr>
        <w:t>月</w:t>
      </w:r>
      <w:r>
        <w:rPr>
          <w:color w:val="000000" w:themeColor="text1"/>
          <w:sz w:val="24"/>
          <w:szCs w:val="24"/>
          <w:lang w:bidi="ar"/>
          <w14:textFill>
            <w14:solidFill>
              <w14:schemeClr w14:val="tx1"/>
            </w14:solidFill>
          </w14:textFill>
        </w:rPr>
        <w:t>7</w:t>
      </w:r>
      <w:r>
        <w:rPr>
          <w:rFonts w:hint="eastAsia" w:ascii="宋体" w:hAnsi="宋体" w:cs="宋体"/>
          <w:color w:val="000000" w:themeColor="text1"/>
          <w:sz w:val="24"/>
          <w:szCs w:val="24"/>
          <w:lang w:bidi="ar"/>
          <w14:textFill>
            <w14:solidFill>
              <w14:schemeClr w14:val="tx1"/>
            </w14:solidFill>
          </w14:textFill>
        </w:rPr>
        <w:t>日发布的《国家重点保护野生植物名录》（</w:t>
      </w:r>
      <w:r>
        <w:rPr>
          <w:color w:val="000000" w:themeColor="text1"/>
          <w:sz w:val="24"/>
          <w:szCs w:val="24"/>
          <w:lang w:bidi="ar"/>
          <w14:textFill>
            <w14:solidFill>
              <w14:schemeClr w14:val="tx1"/>
            </w14:solidFill>
          </w14:textFill>
        </w:rPr>
        <w:t>2021</w:t>
      </w:r>
      <w:r>
        <w:rPr>
          <w:rFonts w:hint="eastAsia" w:ascii="宋体" w:hAnsi="宋体" w:cs="宋体"/>
          <w:color w:val="000000" w:themeColor="text1"/>
          <w:sz w:val="24"/>
          <w:szCs w:val="24"/>
          <w:lang w:bidi="ar"/>
          <w14:textFill>
            <w14:solidFill>
              <w14:schemeClr w14:val="tx1"/>
            </w14:solidFill>
          </w14:textFill>
        </w:rPr>
        <w:t>年第</w:t>
      </w:r>
      <w:r>
        <w:rPr>
          <w:color w:val="000000" w:themeColor="text1"/>
          <w:sz w:val="24"/>
          <w:szCs w:val="24"/>
          <w:lang w:bidi="ar"/>
          <w14:textFill>
            <w14:solidFill>
              <w14:schemeClr w14:val="tx1"/>
            </w14:solidFill>
          </w14:textFill>
        </w:rPr>
        <w:t>15</w:t>
      </w:r>
      <w:r>
        <w:rPr>
          <w:rFonts w:hint="eastAsia" w:ascii="宋体" w:hAnsi="宋体" w:cs="宋体"/>
          <w:color w:val="000000" w:themeColor="text1"/>
          <w:sz w:val="24"/>
          <w:szCs w:val="24"/>
          <w:lang w:bidi="ar"/>
          <w14:textFill>
            <w14:solidFill>
              <w14:schemeClr w14:val="tx1"/>
            </w14:solidFill>
          </w14:textFill>
        </w:rPr>
        <w:t>号）文和川府函〔</w:t>
      </w:r>
      <w:r>
        <w:rPr>
          <w:color w:val="000000" w:themeColor="text1"/>
          <w:sz w:val="24"/>
          <w:szCs w:val="24"/>
          <w:lang w:bidi="ar"/>
          <w14:textFill>
            <w14:solidFill>
              <w14:schemeClr w14:val="tx1"/>
            </w14:solidFill>
          </w14:textFill>
        </w:rPr>
        <w:t>2016</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27</w:t>
      </w:r>
      <w:r>
        <w:rPr>
          <w:rFonts w:hint="eastAsia" w:ascii="宋体" w:hAnsi="宋体" w:cs="宋体"/>
          <w:color w:val="000000" w:themeColor="text1"/>
          <w:sz w:val="24"/>
          <w:szCs w:val="24"/>
          <w:lang w:bidi="ar"/>
          <w14:textFill>
            <w14:solidFill>
              <w14:schemeClr w14:val="tx1"/>
            </w14:solidFill>
          </w14:textFill>
        </w:rPr>
        <w:t>号《四川省重点保护野生植物名录》中所列物种，结合现场调查结果与资料分析，评价区范围内有水杉（</w:t>
      </w:r>
      <w:r>
        <w:rPr>
          <w:i/>
          <w:iCs/>
          <w:color w:val="000000" w:themeColor="text1"/>
          <w:sz w:val="24"/>
          <w:szCs w:val="24"/>
          <w:lang w:bidi="ar"/>
          <w14:textFill>
            <w14:solidFill>
              <w14:schemeClr w14:val="tx1"/>
            </w14:solidFill>
          </w14:textFill>
        </w:rPr>
        <w:t>Metasequoiaglyptostroboides</w:t>
      </w:r>
      <w:r>
        <w:rPr>
          <w:rFonts w:hint="eastAsia" w:ascii="宋体" w:hAnsi="宋体" w:cs="宋体"/>
          <w:color w:val="000000" w:themeColor="text1"/>
          <w:sz w:val="24"/>
          <w:szCs w:val="24"/>
          <w:lang w:bidi="ar"/>
          <w14:textFill>
            <w14:solidFill>
              <w14:schemeClr w14:val="tx1"/>
            </w14:solidFill>
          </w14:textFill>
        </w:rPr>
        <w:t>）、银杏（</w:t>
      </w:r>
      <w:r>
        <w:rPr>
          <w:rFonts w:hint="eastAsia"/>
          <w:color w:val="000000" w:themeColor="text1"/>
          <w:sz w:val="24"/>
          <w:szCs w:val="24"/>
          <w:lang w:bidi="ar"/>
          <w14:textFill>
            <w14:solidFill>
              <w14:schemeClr w14:val="tx1"/>
            </w14:solidFill>
          </w14:textFill>
        </w:rPr>
        <w:tab/>
      </w:r>
      <w:r>
        <w:rPr>
          <w:i/>
          <w:iCs/>
          <w:color w:val="000000" w:themeColor="text1"/>
          <w:sz w:val="24"/>
          <w:szCs w:val="24"/>
          <w:lang w:bidi="ar"/>
          <w14:textFill>
            <w14:solidFill>
              <w14:schemeClr w14:val="tx1"/>
            </w14:solidFill>
          </w14:textFill>
        </w:rPr>
        <w:t>Ginkgobiloba</w:t>
      </w:r>
      <w:r>
        <w:rPr>
          <w:rFonts w:hint="eastAsia" w:ascii="宋体" w:hAnsi="宋体" w:cs="宋体"/>
          <w:color w:val="000000" w:themeColor="text1"/>
          <w:sz w:val="24"/>
          <w:szCs w:val="24"/>
          <w:lang w:bidi="ar"/>
          <w14:textFill>
            <w14:solidFill>
              <w14:schemeClr w14:val="tx1"/>
            </w14:solidFill>
          </w14:textFill>
        </w:rPr>
        <w:t>）、天竺桂（</w:t>
      </w:r>
      <w:r>
        <w:rPr>
          <w:i/>
          <w:iCs/>
          <w:color w:val="000000" w:themeColor="text1"/>
          <w:sz w:val="24"/>
          <w:szCs w:val="24"/>
          <w:lang w:bidi="ar"/>
          <w14:textFill>
            <w14:solidFill>
              <w14:schemeClr w14:val="tx1"/>
            </w14:solidFill>
          </w14:textFill>
        </w:rPr>
        <w:t>Cinnamomumjaponicum</w:t>
      </w:r>
      <w:r>
        <w:rPr>
          <w:rFonts w:hint="eastAsia" w:ascii="宋体" w:hAnsi="宋体" w:cs="宋体"/>
          <w:color w:val="000000" w:themeColor="text1"/>
          <w:sz w:val="24"/>
          <w:szCs w:val="24"/>
          <w:lang w:bidi="ar"/>
          <w14:textFill>
            <w14:solidFill>
              <w14:schemeClr w14:val="tx1"/>
            </w14:solidFill>
          </w14:textFill>
        </w:rPr>
        <w:t>）和杏（</w:t>
      </w:r>
      <w:r>
        <w:rPr>
          <w:i/>
          <w:iCs/>
          <w:color w:val="000000" w:themeColor="text1"/>
          <w:sz w:val="24"/>
          <w:szCs w:val="24"/>
          <w:lang w:bidi="ar"/>
          <w14:textFill>
            <w14:solidFill>
              <w14:schemeClr w14:val="tx1"/>
            </w14:solidFill>
          </w14:textFill>
        </w:rPr>
        <w:t>Prunusarmeniaca</w:t>
      </w:r>
      <w:r>
        <w:rPr>
          <w:rFonts w:hint="eastAsia" w:ascii="宋体" w:hAnsi="宋体" w:cs="宋体"/>
          <w:color w:val="000000" w:themeColor="text1"/>
          <w:sz w:val="24"/>
          <w:szCs w:val="24"/>
          <w:lang w:bidi="ar"/>
          <w14:textFill>
            <w14:solidFill>
              <w14:schemeClr w14:val="tx1"/>
            </w14:solidFill>
          </w14:textFill>
        </w:rPr>
        <w:t>）。经核实，以上四种保护植物均为人工栽培，用于花果山风景名胜区内的景观打造，不属于野生植物，不纳入国家重点保护野生植物范畴。综上，评价区未发现野生的国家重点保护植物和省级保护植物分布。</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（2）古树名木</w:t>
      </w:r>
    </w:p>
    <w:p>
      <w:pPr>
        <w:spacing w:line="360" w:lineRule="auto"/>
        <w:ind w:firstLine="480" w:firstLineChars="200"/>
        <w:jc w:val="both"/>
        <w:rPr>
          <w:color w:val="000000" w:themeColor="text1"/>
          <w:sz w:val="24"/>
          <w:szCs w:val="24"/>
          <w:lang w:bidi="ar"/>
          <w14:textFill>
            <w14:solidFill>
              <w14:schemeClr w14:val="tx1"/>
            </w14:solidFill>
          </w14:textFill>
        </w:rPr>
      </w:pPr>
      <w:r>
        <w:rPr>
          <w:color w:val="000000" w:themeColor="text1"/>
          <w:sz w:val="24"/>
          <w:szCs w:val="24"/>
          <w:lang w:bidi="ar"/>
          <w14:textFill>
            <w14:solidFill>
              <w14:schemeClr w14:val="tx1"/>
            </w14:solidFill>
          </w14:textFill>
        </w:rPr>
        <w:t>经调查，项目评价区有一株古树名木的分布，调查结果见下表：</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w:t>
      </w:r>
      <w:r>
        <w:rPr>
          <w:rFonts w:hint="eastAsia" w:eastAsia="黑体"/>
          <w:color w:val="000000" w:themeColor="text1"/>
          <w14:textFill>
            <w14:solidFill>
              <w14:schemeClr w14:val="tx1"/>
            </w14:solidFill>
          </w14:textFill>
        </w:rPr>
        <w:t>3.2-1</w:t>
      </w:r>
      <w:r>
        <w:rPr>
          <w:rFonts w:hint="eastAsia" w:eastAsia="黑体"/>
          <w:color w:val="000000" w:themeColor="text1"/>
          <w:lang w:val="en-US" w:eastAsia="zh-CN"/>
          <w14:textFill>
            <w14:solidFill>
              <w14:schemeClr w14:val="tx1"/>
            </w14:solidFill>
          </w14:textFill>
        </w:rPr>
        <w:t xml:space="preserve">8 </w:t>
      </w:r>
      <w:r>
        <w:rPr>
          <w:rFonts w:hint="eastAsia" w:eastAsia="黑体"/>
          <w:color w:val="000000" w:themeColor="text1"/>
          <w14:textFill>
            <w14:solidFill>
              <w14:schemeClr w14:val="tx1"/>
            </w14:solidFill>
          </w14:textFill>
        </w:rPr>
        <w:t>评价区古树名木分布情况</w:t>
      </w:r>
    </w:p>
    <w:tbl>
      <w:tblPr>
        <w:tblStyle w:val="14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9"/>
        <w:gridCol w:w="2182"/>
        <w:gridCol w:w="1702"/>
        <w:gridCol w:w="849"/>
        <w:gridCol w:w="1558"/>
        <w:gridCol w:w="16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序号</w:t>
            </w:r>
          </w:p>
        </w:tc>
        <w:tc>
          <w:tcPr>
            <w:tcW w:w="1280"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b/>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树种名称</w:t>
            </w:r>
          </w:p>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（中文名/拉丁名）</w:t>
            </w:r>
          </w:p>
        </w:tc>
        <w:tc>
          <w:tcPr>
            <w:tcW w:w="998"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生长状况</w:t>
            </w:r>
          </w:p>
        </w:tc>
        <w:tc>
          <w:tcPr>
            <w:tcW w:w="498"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树龄</w:t>
            </w:r>
          </w:p>
        </w:tc>
        <w:tc>
          <w:tcPr>
            <w:tcW w:w="914"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经纬度/海拔</w:t>
            </w:r>
          </w:p>
        </w:tc>
        <w:tc>
          <w:tcPr>
            <w:tcW w:w="945"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工程占用情况（是/否）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280"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皂荚</w:t>
            </w:r>
          </w:p>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Gleditsia sinensis Lam.</w:t>
            </w:r>
          </w:p>
        </w:tc>
        <w:tc>
          <w:tcPr>
            <w:tcW w:w="998"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树高17.6m，平均冠幅14m，正常株，长势良好</w:t>
            </w:r>
          </w:p>
        </w:tc>
        <w:tc>
          <w:tcPr>
            <w:tcW w:w="498"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190</w:t>
            </w:r>
          </w:p>
        </w:tc>
        <w:tc>
          <w:tcPr>
            <w:tcW w:w="914"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104.19268°E</w:t>
            </w:r>
          </w:p>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30.642584°N</w:t>
            </w:r>
          </w:p>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490m</w:t>
            </w:r>
          </w:p>
        </w:tc>
        <w:tc>
          <w:tcPr>
            <w:tcW w:w="945" w:type="pct"/>
            <w:shd w:val="clear" w:color="auto" w:fill="auto"/>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jc w:val="center"/>
              <w:textAlignment w:val="auto"/>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否</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）珍稀濒危植物及特有种</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根据《中国生物多样性红色名录－高等植物卷（</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）》（中华人民共和国环境保护、中国科学院，</w:t>
      </w:r>
      <w:r>
        <w:rPr>
          <w:color w:val="000000" w:themeColor="text1"/>
          <w:sz w:val="24"/>
          <w:szCs w:val="24"/>
          <w:lang w:bidi="ar"/>
          <w14:textFill>
            <w14:solidFill>
              <w14:schemeClr w14:val="tx1"/>
            </w14:solidFill>
          </w14:textFill>
        </w:rPr>
        <w:t>2023</w:t>
      </w:r>
      <w:r>
        <w:rPr>
          <w:rFonts w:hint="eastAsia" w:ascii="宋体" w:hAnsi="宋体" w:cs="宋体"/>
          <w:color w:val="000000" w:themeColor="text1"/>
          <w:sz w:val="24"/>
          <w:szCs w:val="24"/>
          <w:lang w:bidi="ar"/>
          <w14:textFill>
            <w14:solidFill>
              <w14:schemeClr w14:val="tx1"/>
            </w14:solidFill>
          </w14:textFill>
        </w:rPr>
        <w:t>年），结合相关资料，评价区内中国特有种植物有贯众（</w:t>
      </w:r>
      <w:r>
        <w:rPr>
          <w:i/>
          <w:iCs/>
          <w:color w:val="000000" w:themeColor="text1"/>
          <w:sz w:val="24"/>
          <w:szCs w:val="24"/>
          <w:lang w:bidi="ar"/>
          <w14:textFill>
            <w14:solidFill>
              <w14:schemeClr w14:val="tx1"/>
            </w14:solidFill>
          </w14:textFill>
        </w:rPr>
        <w:t>Cyrtomiumfortunei</w:t>
      </w:r>
      <w:r>
        <w:rPr>
          <w:rFonts w:hint="eastAsia" w:ascii="宋体" w:hAnsi="宋体" w:cs="宋体"/>
          <w:color w:val="000000" w:themeColor="text1"/>
          <w:sz w:val="24"/>
          <w:szCs w:val="24"/>
          <w:lang w:bidi="ar"/>
          <w14:textFill>
            <w14:solidFill>
              <w14:schemeClr w14:val="tx1"/>
            </w14:solidFill>
          </w14:textFill>
        </w:rPr>
        <w:t>）、水杉、银杏、异叶黄鹌菜（</w:t>
      </w:r>
      <w:r>
        <w:rPr>
          <w:i/>
          <w:iCs/>
          <w:color w:val="000000" w:themeColor="text1"/>
          <w:sz w:val="24"/>
          <w:szCs w:val="24"/>
          <w:lang w:bidi="ar"/>
          <w14:textFill>
            <w14:solidFill>
              <w14:schemeClr w14:val="tx1"/>
            </w14:solidFill>
          </w14:textFill>
        </w:rPr>
        <w:t>Youngiaheterophylla</w:t>
      </w:r>
      <w:r>
        <w:rPr>
          <w:rFonts w:hint="eastAsia" w:ascii="宋体" w:hAnsi="宋体" w:cs="宋体"/>
          <w:color w:val="000000" w:themeColor="text1"/>
          <w:sz w:val="24"/>
          <w:szCs w:val="24"/>
          <w:lang w:bidi="ar"/>
          <w14:textFill>
            <w14:solidFill>
              <w14:schemeClr w14:val="tx1"/>
            </w14:solidFill>
          </w14:textFill>
        </w:rPr>
        <w:t>）、十大功劳（</w:t>
      </w:r>
      <w:r>
        <w:rPr>
          <w:i/>
          <w:iCs/>
          <w:color w:val="000000" w:themeColor="text1"/>
          <w:sz w:val="24"/>
          <w:szCs w:val="24"/>
          <w:lang w:bidi="ar"/>
          <w14:textFill>
            <w14:solidFill>
              <w14:schemeClr w14:val="tx1"/>
            </w14:solidFill>
          </w14:textFill>
        </w:rPr>
        <w:t>Mahoniafortune</w:t>
      </w:r>
      <w:r>
        <w:rPr>
          <w:rFonts w:hint="eastAsia" w:ascii="宋体" w:hAnsi="宋体" w:cs="宋体"/>
          <w:color w:val="000000" w:themeColor="text1"/>
          <w:sz w:val="24"/>
          <w:szCs w:val="24"/>
          <w:lang w:bidi="ar"/>
          <w14:textFill>
            <w14:solidFill>
              <w14:schemeClr w14:val="tx1"/>
            </w14:solidFill>
          </w14:textFill>
        </w:rPr>
        <w:t>）、寸金草（</w:t>
      </w:r>
      <w:r>
        <w:rPr>
          <w:i/>
          <w:iCs/>
          <w:color w:val="000000" w:themeColor="text1"/>
          <w:sz w:val="24"/>
          <w:szCs w:val="24"/>
          <w:lang w:bidi="ar"/>
          <w14:textFill>
            <w14:solidFill>
              <w14:schemeClr w14:val="tx1"/>
            </w14:solidFill>
          </w14:textFill>
        </w:rPr>
        <w:t>Clinopodiummegalanthum</w:t>
      </w:r>
      <w:r>
        <w:rPr>
          <w:rFonts w:hint="eastAsia" w:ascii="宋体" w:hAnsi="宋体" w:cs="宋体"/>
          <w:color w:val="000000" w:themeColor="text1"/>
          <w:sz w:val="24"/>
          <w:szCs w:val="24"/>
          <w:lang w:bidi="ar"/>
          <w14:textFill>
            <w14:solidFill>
              <w14:schemeClr w14:val="tx1"/>
            </w14:solidFill>
          </w14:textFill>
        </w:rPr>
        <w:t>）、柔毛益母草（</w:t>
      </w:r>
      <w:r>
        <w:rPr>
          <w:i/>
          <w:iCs/>
          <w:color w:val="000000" w:themeColor="text1"/>
          <w:sz w:val="24"/>
          <w:szCs w:val="24"/>
          <w:lang w:bidi="ar"/>
          <w14:textFill>
            <w14:solidFill>
              <w14:schemeClr w14:val="tx1"/>
            </w14:solidFill>
          </w14:textFill>
        </w:rPr>
        <w:t>Leonurusvillosissimus</w:t>
      </w:r>
      <w:r>
        <w:rPr>
          <w:rFonts w:hint="eastAsia" w:ascii="宋体" w:hAnsi="宋体" w:cs="宋体"/>
          <w:color w:val="000000" w:themeColor="text1"/>
          <w:sz w:val="24"/>
          <w:szCs w:val="24"/>
          <w:lang w:bidi="ar"/>
          <w14:textFill>
            <w14:solidFill>
              <w14:schemeClr w14:val="tx1"/>
            </w14:solidFill>
          </w14:textFill>
        </w:rPr>
        <w:t>）、佛光草（</w:t>
      </w:r>
      <w:r>
        <w:rPr>
          <w:i/>
          <w:iCs/>
          <w:color w:val="000000" w:themeColor="text1"/>
          <w:sz w:val="24"/>
          <w:szCs w:val="24"/>
          <w:lang w:bidi="ar"/>
          <w14:textFill>
            <w14:solidFill>
              <w14:schemeClr w14:val="tx1"/>
            </w14:solidFill>
          </w14:textFill>
        </w:rPr>
        <w:t>Salviasubstolonifera</w:t>
      </w:r>
      <w:r>
        <w:rPr>
          <w:rFonts w:hint="eastAsia" w:ascii="宋体" w:hAnsi="宋体" w:cs="宋体"/>
          <w:color w:val="000000" w:themeColor="text1"/>
          <w:sz w:val="24"/>
          <w:szCs w:val="24"/>
          <w:lang w:bidi="ar"/>
          <w14:textFill>
            <w14:solidFill>
              <w14:schemeClr w14:val="tx1"/>
            </w14:solidFill>
          </w14:textFill>
        </w:rPr>
        <w:t>）、紫玉兰</w:t>
      </w:r>
      <w:r>
        <w:rPr>
          <w:rFonts w:hint="eastAsia"/>
          <w:color w:val="000000" w:themeColor="text1"/>
          <w:sz w:val="24"/>
          <w:szCs w:val="24"/>
          <w:lang w:bidi="ar"/>
          <w14:textFill>
            <w14:solidFill>
              <w14:schemeClr w14:val="tx1"/>
            </w14:solidFill>
          </w14:textFill>
        </w:rPr>
        <w:tab/>
      </w:r>
      <w:r>
        <w:rPr>
          <w:rFonts w:hint="eastAsia" w:ascii="宋体" w:hAnsi="宋体" w:cs="宋体"/>
          <w:color w:val="000000" w:themeColor="text1"/>
          <w:sz w:val="24"/>
          <w:szCs w:val="24"/>
          <w:lang w:bidi="ar"/>
          <w14:textFill>
            <w14:solidFill>
              <w14:schemeClr w14:val="tx1"/>
            </w14:solidFill>
          </w14:textFill>
        </w:rPr>
        <w:t>（</w:t>
      </w:r>
      <w:r>
        <w:rPr>
          <w:i/>
          <w:iCs/>
          <w:color w:val="000000" w:themeColor="text1"/>
          <w:sz w:val="24"/>
          <w:szCs w:val="24"/>
          <w:lang w:bidi="ar"/>
          <w14:textFill>
            <w14:solidFill>
              <w14:schemeClr w14:val="tx1"/>
            </w14:solidFill>
          </w14:textFill>
        </w:rPr>
        <w:t>Yulanialiliiflora</w:t>
      </w:r>
      <w:r>
        <w:rPr>
          <w:rFonts w:hint="eastAsia" w:ascii="宋体" w:hAnsi="宋体" w:cs="宋体"/>
          <w:color w:val="000000" w:themeColor="text1"/>
          <w:sz w:val="24"/>
          <w:szCs w:val="24"/>
          <w:lang w:bidi="ar"/>
          <w14:textFill>
            <w14:solidFill>
              <w14:schemeClr w14:val="tx1"/>
            </w14:solidFill>
          </w14:textFill>
        </w:rPr>
        <w:t>）、玉兰（</w:t>
      </w:r>
      <w:r>
        <w:rPr>
          <w:i/>
          <w:iCs/>
          <w:color w:val="000000" w:themeColor="text1"/>
          <w:sz w:val="24"/>
          <w:szCs w:val="24"/>
          <w:lang w:bidi="ar"/>
          <w14:textFill>
            <w14:solidFill>
              <w14:schemeClr w14:val="tx1"/>
            </w14:solidFill>
          </w14:textFill>
        </w:rPr>
        <w:t>Yulaniadenudate</w:t>
      </w:r>
      <w:r>
        <w:rPr>
          <w:rFonts w:hint="eastAsia" w:ascii="宋体" w:hAnsi="宋体" w:cs="宋体"/>
          <w:color w:val="000000" w:themeColor="text1"/>
          <w:sz w:val="24"/>
          <w:szCs w:val="24"/>
          <w:lang w:bidi="ar"/>
          <w14:textFill>
            <w14:solidFill>
              <w14:schemeClr w14:val="tx1"/>
            </w14:solidFill>
          </w14:textFill>
        </w:rPr>
        <w:t>）、迎春花（</w:t>
      </w:r>
      <w:r>
        <w:rPr>
          <w:i/>
          <w:iCs/>
          <w:color w:val="000000" w:themeColor="text1"/>
          <w:sz w:val="24"/>
          <w:szCs w:val="24"/>
          <w:lang w:bidi="ar"/>
          <w14:textFill>
            <w14:solidFill>
              <w14:schemeClr w14:val="tx1"/>
            </w14:solidFill>
          </w14:textFill>
        </w:rPr>
        <w:t>Jasminumnudiflorum</w:t>
      </w:r>
      <w:r>
        <w:rPr>
          <w:rFonts w:hint="eastAsia" w:ascii="宋体" w:hAnsi="宋体" w:cs="宋体"/>
          <w:color w:val="000000" w:themeColor="text1"/>
          <w:sz w:val="24"/>
          <w:szCs w:val="24"/>
          <w:lang w:bidi="ar"/>
          <w14:textFill>
            <w14:solidFill>
              <w14:schemeClr w14:val="tx1"/>
            </w14:solidFill>
          </w14:textFill>
        </w:rPr>
        <w:t>）、小叶女贞（</w:t>
      </w:r>
      <w:r>
        <w:rPr>
          <w:i/>
          <w:iCs/>
          <w:color w:val="000000" w:themeColor="text1"/>
          <w:sz w:val="24"/>
          <w:szCs w:val="24"/>
          <w:lang w:bidi="ar"/>
          <w14:textFill>
            <w14:solidFill>
              <w14:schemeClr w14:val="tx1"/>
            </w14:solidFill>
          </w14:textFill>
        </w:rPr>
        <w:t>Ligustrumquihoui</w:t>
      </w:r>
      <w:r>
        <w:rPr>
          <w:rFonts w:hint="eastAsia" w:ascii="宋体" w:hAnsi="宋体" w:cs="宋体"/>
          <w:color w:val="000000" w:themeColor="text1"/>
          <w:sz w:val="24"/>
          <w:szCs w:val="24"/>
          <w:lang w:bidi="ar"/>
          <w14:textFill>
            <w14:solidFill>
              <w14:schemeClr w14:val="tx1"/>
            </w14:solidFill>
          </w14:textFill>
        </w:rPr>
        <w:t>）、慈竹（</w:t>
      </w:r>
      <w:r>
        <w:rPr>
          <w:i/>
          <w:iCs/>
          <w:color w:val="000000" w:themeColor="text1"/>
          <w:sz w:val="24"/>
          <w:szCs w:val="24"/>
          <w:lang w:bidi="ar"/>
          <w14:textFill>
            <w14:solidFill>
              <w14:schemeClr w14:val="tx1"/>
            </w14:solidFill>
          </w14:textFill>
        </w:rPr>
        <w:t>Bambusaemeiensis</w:t>
      </w:r>
      <w:r>
        <w:rPr>
          <w:rFonts w:hint="eastAsia" w:ascii="宋体" w:hAnsi="宋体" w:cs="宋体"/>
          <w:color w:val="000000" w:themeColor="text1"/>
          <w:sz w:val="24"/>
          <w:szCs w:val="24"/>
          <w:lang w:bidi="ar"/>
          <w14:textFill>
            <w14:solidFill>
              <w14:schemeClr w14:val="tx1"/>
            </w14:solidFill>
          </w14:textFill>
        </w:rPr>
        <w:t>）、高羊茅（</w:t>
      </w:r>
      <w:r>
        <w:rPr>
          <w:i/>
          <w:iCs/>
          <w:color w:val="000000" w:themeColor="text1"/>
          <w:sz w:val="24"/>
          <w:szCs w:val="24"/>
          <w:lang w:bidi="ar"/>
          <w14:textFill>
            <w14:solidFill>
              <w14:schemeClr w14:val="tx1"/>
            </w14:solidFill>
          </w14:textFill>
        </w:rPr>
        <w:t>Festucaelata</w:t>
      </w:r>
      <w:r>
        <w:rPr>
          <w:rFonts w:hint="eastAsia" w:ascii="宋体" w:hAnsi="宋体" w:cs="宋体"/>
          <w:color w:val="000000" w:themeColor="text1"/>
          <w:sz w:val="24"/>
          <w:szCs w:val="24"/>
          <w:lang w:bidi="ar"/>
          <w14:textFill>
            <w14:solidFill>
              <w14:schemeClr w14:val="tx1"/>
            </w14:solidFill>
          </w14:textFill>
        </w:rPr>
        <w:t>）、过路黄（</w:t>
      </w:r>
      <w:r>
        <w:rPr>
          <w:i/>
          <w:iCs/>
          <w:color w:val="000000" w:themeColor="text1"/>
          <w:sz w:val="24"/>
          <w:szCs w:val="24"/>
          <w:lang w:bidi="ar"/>
          <w14:textFill>
            <w14:solidFill>
              <w14:schemeClr w14:val="tx1"/>
            </w14:solidFill>
          </w14:textFill>
        </w:rPr>
        <w:t>Lysimachiachristinae</w:t>
      </w:r>
      <w:r>
        <w:rPr>
          <w:rFonts w:hint="eastAsia" w:ascii="宋体" w:hAnsi="宋体" w:cs="宋体"/>
          <w:color w:val="000000" w:themeColor="text1"/>
          <w:sz w:val="24"/>
          <w:szCs w:val="24"/>
          <w:lang w:bidi="ar"/>
          <w14:textFill>
            <w14:solidFill>
              <w14:schemeClr w14:val="tx1"/>
            </w14:solidFill>
          </w14:textFill>
        </w:rPr>
        <w:t>）、青甘杨（</w:t>
      </w:r>
      <w:r>
        <w:rPr>
          <w:i/>
          <w:iCs/>
          <w:color w:val="000000" w:themeColor="text1"/>
          <w:sz w:val="24"/>
          <w:szCs w:val="24"/>
          <w:lang w:bidi="ar"/>
          <w14:textFill>
            <w14:solidFill>
              <w14:schemeClr w14:val="tx1"/>
            </w14:solidFill>
          </w14:textFill>
        </w:rPr>
        <w:t>Populusprzewalskii</w:t>
      </w:r>
      <w:r>
        <w:rPr>
          <w:rFonts w:hint="eastAsia" w:ascii="宋体" w:hAnsi="宋体" w:cs="宋体"/>
          <w:color w:val="000000" w:themeColor="text1"/>
          <w:sz w:val="24"/>
          <w:szCs w:val="24"/>
          <w:lang w:bidi="ar"/>
          <w14:textFill>
            <w14:solidFill>
              <w14:schemeClr w14:val="tx1"/>
            </w14:solidFill>
          </w14:textFill>
        </w:rPr>
        <w:t>）、七叶树（</w:t>
      </w:r>
      <w:r>
        <w:rPr>
          <w:i/>
          <w:iCs/>
          <w:color w:val="000000" w:themeColor="text1"/>
          <w:sz w:val="24"/>
          <w:szCs w:val="24"/>
          <w:lang w:bidi="ar"/>
          <w14:textFill>
            <w14:solidFill>
              <w14:schemeClr w14:val="tx1"/>
            </w14:solidFill>
          </w14:textFill>
        </w:rPr>
        <w:t>Aesculuschinensis</w:t>
      </w:r>
      <w:r>
        <w:rPr>
          <w:rFonts w:hint="eastAsia" w:ascii="宋体" w:hAnsi="宋体" w:cs="宋体"/>
          <w:color w:val="000000" w:themeColor="text1"/>
          <w:sz w:val="24"/>
          <w:szCs w:val="24"/>
          <w:lang w:bidi="ar"/>
          <w14:textFill>
            <w14:solidFill>
              <w14:schemeClr w14:val="tx1"/>
            </w14:solidFill>
          </w14:textFill>
        </w:rPr>
        <w:t>），共计</w:t>
      </w:r>
      <w:r>
        <w:rPr>
          <w:color w:val="000000" w:themeColor="text1"/>
          <w:sz w:val="24"/>
          <w:szCs w:val="24"/>
          <w:lang w:bidi="ar"/>
          <w14:textFill>
            <w14:solidFill>
              <w14:schemeClr w14:val="tx1"/>
            </w14:solidFill>
          </w14:textFill>
        </w:rPr>
        <w:t>17</w:t>
      </w:r>
      <w:r>
        <w:rPr>
          <w:rFonts w:hint="eastAsia" w:ascii="宋体" w:hAnsi="宋体" w:cs="宋体"/>
          <w:color w:val="000000" w:themeColor="text1"/>
          <w:sz w:val="24"/>
          <w:szCs w:val="24"/>
          <w:lang w:bidi="ar"/>
          <w14:textFill>
            <w14:solidFill>
              <w14:schemeClr w14:val="tx1"/>
            </w14:solidFill>
          </w14:textFill>
        </w:rPr>
        <w:t>种。经核实以上</w:t>
      </w:r>
      <w:r>
        <w:rPr>
          <w:color w:val="000000" w:themeColor="text1"/>
          <w:sz w:val="24"/>
          <w:szCs w:val="24"/>
          <w:lang w:bidi="ar"/>
          <w14:textFill>
            <w14:solidFill>
              <w14:schemeClr w14:val="tx1"/>
            </w14:solidFill>
          </w14:textFill>
        </w:rPr>
        <w:t>17</w:t>
      </w:r>
      <w:r>
        <w:rPr>
          <w:rFonts w:hint="eastAsia" w:ascii="宋体" w:hAnsi="宋体" w:cs="宋体"/>
          <w:color w:val="000000" w:themeColor="text1"/>
          <w:sz w:val="24"/>
          <w:szCs w:val="24"/>
          <w:lang w:bidi="ar"/>
          <w14:textFill>
            <w14:solidFill>
              <w14:schemeClr w14:val="tx1"/>
            </w14:solidFill>
          </w14:textFill>
        </w:rPr>
        <w:t>种中国特有种植物，其中</w:t>
      </w:r>
      <w:r>
        <w:rPr>
          <w:color w:val="000000" w:themeColor="text1"/>
          <w:sz w:val="24"/>
          <w:szCs w:val="24"/>
          <w:lang w:bidi="ar"/>
          <w14:textFill>
            <w14:solidFill>
              <w14:schemeClr w14:val="tx1"/>
            </w14:solidFill>
          </w14:textFill>
        </w:rPr>
        <w:t>11</w:t>
      </w:r>
      <w:r>
        <w:rPr>
          <w:rFonts w:hint="eastAsia" w:ascii="宋体" w:hAnsi="宋体" w:cs="宋体"/>
          <w:color w:val="000000" w:themeColor="text1"/>
          <w:sz w:val="24"/>
          <w:szCs w:val="24"/>
          <w:lang w:bidi="ar"/>
          <w14:textFill>
            <w14:solidFill>
              <w14:schemeClr w14:val="tx1"/>
            </w14:solidFill>
          </w14:textFill>
        </w:rPr>
        <w:t>种为人工栽培的园林景观植物，其他</w:t>
      </w:r>
      <w:r>
        <w:rPr>
          <w:color w:val="000000" w:themeColor="text1"/>
          <w:sz w:val="24"/>
          <w:szCs w:val="24"/>
          <w:lang w:bidi="ar"/>
          <w14:textFill>
            <w14:solidFill>
              <w14:schemeClr w14:val="tx1"/>
            </w14:solidFill>
          </w14:textFill>
        </w:rPr>
        <w:t>6</w:t>
      </w:r>
      <w:r>
        <w:rPr>
          <w:rFonts w:hint="eastAsia" w:ascii="宋体" w:hAnsi="宋体" w:cs="宋体"/>
          <w:color w:val="000000" w:themeColor="text1"/>
          <w:sz w:val="24"/>
          <w:szCs w:val="24"/>
          <w:lang w:bidi="ar"/>
          <w14:textFill>
            <w14:solidFill>
              <w14:schemeClr w14:val="tx1"/>
            </w14:solidFill>
          </w14:textFill>
        </w:rPr>
        <w:t>种特有种均为当地常见的野生草本植物。</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此外，评价范围内暂未发现分布有珍稀濒危植物（易危、濒危和极危物种）野生种群。</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4</w:t>
      </w:r>
      <w:r>
        <w:rPr>
          <w:rFonts w:hint="eastAsia" w:ascii="宋体" w:hAnsi="宋体" w:cs="宋体"/>
          <w:color w:val="000000" w:themeColor="text1"/>
          <w:sz w:val="24"/>
          <w:szCs w:val="24"/>
          <w:lang w:bidi="ar"/>
          <w14:textFill>
            <w14:solidFill>
              <w14:schemeClr w14:val="tx1"/>
            </w14:solidFill>
          </w14:textFill>
        </w:rPr>
        <w:t>）极小种群</w:t>
      </w:r>
    </w:p>
    <w:p>
      <w:pPr>
        <w:spacing w:line="360" w:lineRule="auto"/>
        <w:ind w:firstLine="480" w:firstLineChars="200"/>
        <w:jc w:val="both"/>
        <w:rPr>
          <w:rFonts w:hint="eastAsia"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依据《四川省极小种群野生植物拯救保护研究》（四川省林业科学研究院，</w:t>
      </w:r>
      <w:r>
        <w:rPr>
          <w:color w:val="000000" w:themeColor="text1"/>
          <w:sz w:val="24"/>
          <w:szCs w:val="24"/>
          <w:lang w:bidi="ar"/>
          <w14:textFill>
            <w14:solidFill>
              <w14:schemeClr w14:val="tx1"/>
            </w14:solidFill>
          </w14:textFill>
        </w:rPr>
        <w:t>2014</w:t>
      </w:r>
      <w:r>
        <w:rPr>
          <w:rFonts w:hint="eastAsia" w:ascii="宋体" w:hAnsi="宋体" w:cs="宋体"/>
          <w:color w:val="000000" w:themeColor="text1"/>
          <w:sz w:val="24"/>
          <w:szCs w:val="24"/>
          <w:lang w:bidi="ar"/>
          <w14:textFill>
            <w14:solidFill>
              <w14:schemeClr w14:val="tx1"/>
            </w14:solidFill>
          </w14:textFill>
        </w:rPr>
        <w:t>年）、《四川省极小种群野生植物资源现状及其保护研究》（四川林业科技，</w:t>
      </w:r>
      <w:r>
        <w:rPr>
          <w:color w:val="000000" w:themeColor="text1"/>
          <w:sz w:val="24"/>
          <w:szCs w:val="24"/>
          <w:lang w:bidi="ar"/>
          <w14:textFill>
            <w14:solidFill>
              <w14:schemeClr w14:val="tx1"/>
            </w14:solidFill>
          </w14:textFill>
        </w:rPr>
        <w:t>2014</w:t>
      </w:r>
      <w:r>
        <w:rPr>
          <w:rFonts w:hint="eastAsia" w:ascii="宋体" w:hAnsi="宋体" w:cs="宋体"/>
          <w:color w:val="000000" w:themeColor="text1"/>
          <w:sz w:val="24"/>
          <w:szCs w:val="24"/>
          <w:lang w:bidi="ar"/>
          <w14:textFill>
            <w14:solidFill>
              <w14:schemeClr w14:val="tx1"/>
            </w14:solidFill>
          </w14:textFill>
        </w:rPr>
        <w:t>年）、《四川省野生植物极小种群保护工程规划》《全国极小种群野生植物拯救保护工程规划（</w:t>
      </w:r>
      <w:r>
        <w:rPr>
          <w:color w:val="000000" w:themeColor="text1"/>
          <w:sz w:val="24"/>
          <w:szCs w:val="24"/>
          <w:lang w:bidi="ar"/>
          <w14:textFill>
            <w14:solidFill>
              <w14:schemeClr w14:val="tx1"/>
            </w14:solidFill>
          </w14:textFill>
        </w:rPr>
        <w:t>2011~2015</w:t>
      </w:r>
      <w:r>
        <w:rPr>
          <w:rFonts w:hint="eastAsia" w:ascii="宋体" w:hAnsi="宋体" w:cs="宋体"/>
          <w:color w:val="000000" w:themeColor="text1"/>
          <w:sz w:val="24"/>
          <w:szCs w:val="24"/>
          <w:lang w:bidi="ar"/>
          <w14:textFill>
            <w14:solidFill>
              <w14:schemeClr w14:val="tx1"/>
            </w14:solidFill>
          </w14:textFill>
        </w:rPr>
        <w:t>年）》《四川省“十二五”野生动植物保护发展规划》相关规划和研究成果，经查阅资料，结合现场调查：评价区未发现极小种群植物物种，项目用地不占用极小种群植物物种及其栖息地。</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3.2.6.2.4入侵植物</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根据调查结果，参考《中国外来入侵植物的等级划分与地理分布格局分析》（闫小玲等，</w:t>
      </w:r>
      <w:r>
        <w:rPr>
          <w:color w:val="000000" w:themeColor="text1"/>
          <w:sz w:val="24"/>
          <w:szCs w:val="24"/>
          <w:lang w:bidi="ar"/>
          <w14:textFill>
            <w14:solidFill>
              <w14:schemeClr w14:val="tx1"/>
            </w14:solidFill>
          </w14:textFill>
        </w:rPr>
        <w:t>2014</w:t>
      </w:r>
      <w:r>
        <w:rPr>
          <w:rFonts w:hint="eastAsia" w:ascii="宋体" w:hAnsi="宋体" w:cs="宋体"/>
          <w:color w:val="000000" w:themeColor="text1"/>
          <w:sz w:val="24"/>
          <w:szCs w:val="24"/>
          <w:lang w:bidi="ar"/>
          <w14:textFill>
            <w14:solidFill>
              <w14:schemeClr w14:val="tx1"/>
            </w14:solidFill>
          </w14:textFill>
        </w:rPr>
        <w:t>），确定评价区内有</w:t>
      </w:r>
      <w:r>
        <w:rPr>
          <w:color w:val="000000" w:themeColor="text1"/>
          <w:sz w:val="24"/>
          <w:szCs w:val="24"/>
          <w:lang w:bidi="ar"/>
          <w14:textFill>
            <w14:solidFill>
              <w14:schemeClr w14:val="tx1"/>
            </w14:solidFill>
          </w14:textFill>
        </w:rPr>
        <w:t>4</w:t>
      </w:r>
      <w:r>
        <w:rPr>
          <w:rFonts w:hint="eastAsia" w:ascii="宋体" w:hAnsi="宋体" w:cs="宋体"/>
          <w:color w:val="000000" w:themeColor="text1"/>
          <w:sz w:val="24"/>
          <w:szCs w:val="24"/>
          <w:lang w:bidi="ar"/>
          <w14:textFill>
            <w14:solidFill>
              <w14:schemeClr w14:val="tx1"/>
            </w14:solidFill>
          </w14:textFill>
        </w:rPr>
        <w:t>种</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级恶性入侵植物，为喜旱莲子草（</w:t>
      </w:r>
      <w:r>
        <w:rPr>
          <w:i/>
          <w:iCs/>
          <w:color w:val="000000" w:themeColor="text1"/>
          <w:sz w:val="24"/>
          <w:szCs w:val="24"/>
          <w:lang w:bidi="ar"/>
          <w14:textFill>
            <w14:solidFill>
              <w14:schemeClr w14:val="tx1"/>
            </w14:solidFill>
          </w14:textFill>
        </w:rPr>
        <w:t>Alternantheraphiloxeroides</w:t>
      </w:r>
      <w:r>
        <w:rPr>
          <w:rFonts w:hint="eastAsia" w:ascii="宋体" w:hAnsi="宋体" w:cs="宋体"/>
          <w:color w:val="000000" w:themeColor="text1"/>
          <w:sz w:val="24"/>
          <w:szCs w:val="24"/>
          <w:lang w:bidi="ar"/>
          <w14:textFill>
            <w14:solidFill>
              <w14:schemeClr w14:val="tx1"/>
            </w14:solidFill>
          </w14:textFill>
        </w:rPr>
        <w:t>）、一年蓬（</w:t>
      </w:r>
      <w:r>
        <w:rPr>
          <w:i/>
          <w:iCs/>
          <w:color w:val="000000" w:themeColor="text1"/>
          <w:sz w:val="24"/>
          <w:szCs w:val="24"/>
          <w:lang w:bidi="ar"/>
          <w14:textFill>
            <w14:solidFill>
              <w14:schemeClr w14:val="tx1"/>
            </w14:solidFill>
          </w14:textFill>
        </w:rPr>
        <w:t>Erigeronannuus</w:t>
      </w:r>
      <w:r>
        <w:rPr>
          <w:rFonts w:hint="eastAsia" w:ascii="宋体" w:hAnsi="宋体" w:cs="宋体"/>
          <w:color w:val="000000" w:themeColor="text1"/>
          <w:sz w:val="24"/>
          <w:szCs w:val="24"/>
          <w:lang w:bidi="ar"/>
          <w14:textFill>
            <w14:solidFill>
              <w14:schemeClr w14:val="tx1"/>
            </w14:solidFill>
          </w14:textFill>
        </w:rPr>
        <w:t>）、苏门白酒草（</w:t>
      </w:r>
      <w:r>
        <w:rPr>
          <w:i/>
          <w:iCs/>
          <w:color w:val="000000" w:themeColor="text1"/>
          <w:sz w:val="24"/>
          <w:szCs w:val="24"/>
          <w:lang w:bidi="ar"/>
          <w14:textFill>
            <w14:solidFill>
              <w14:schemeClr w14:val="tx1"/>
            </w14:solidFill>
          </w14:textFill>
        </w:rPr>
        <w:t>Erigeronsumatrensis</w:t>
      </w:r>
      <w:r>
        <w:rPr>
          <w:rFonts w:hint="eastAsia" w:ascii="宋体" w:hAnsi="宋体" w:cs="宋体"/>
          <w:color w:val="000000" w:themeColor="text1"/>
          <w:sz w:val="24"/>
          <w:szCs w:val="24"/>
          <w:lang w:bidi="ar"/>
          <w14:textFill>
            <w14:solidFill>
              <w14:schemeClr w14:val="tx1"/>
            </w14:solidFill>
          </w14:textFill>
        </w:rPr>
        <w:t>）、小蓬草（</w:t>
      </w:r>
      <w:r>
        <w:rPr>
          <w:i/>
          <w:iCs/>
          <w:color w:val="000000" w:themeColor="text1"/>
          <w:sz w:val="24"/>
          <w:szCs w:val="24"/>
          <w:lang w:bidi="ar"/>
          <w14:textFill>
            <w14:solidFill>
              <w14:schemeClr w14:val="tx1"/>
            </w14:solidFill>
          </w14:textFill>
        </w:rPr>
        <w:t>Conyzacanadensis</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种</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级严重入侵植物，为香丝草（</w:t>
      </w:r>
      <w:r>
        <w:rPr>
          <w:i/>
          <w:iCs/>
          <w:color w:val="000000" w:themeColor="text1"/>
          <w:sz w:val="24"/>
          <w:szCs w:val="24"/>
          <w:lang w:bidi="ar"/>
          <w14:textFill>
            <w14:solidFill>
              <w14:schemeClr w14:val="tx1"/>
            </w14:solidFill>
          </w14:textFill>
        </w:rPr>
        <w:t>Erigeronbonariensis</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种</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级局部入侵植物，为白车轴草（</w:t>
      </w:r>
      <w:r>
        <w:rPr>
          <w:i/>
          <w:iCs/>
          <w:color w:val="000000" w:themeColor="text1"/>
          <w:sz w:val="24"/>
          <w:szCs w:val="24"/>
          <w:lang w:bidi="ar"/>
          <w14:textFill>
            <w14:solidFill>
              <w14:schemeClr w14:val="tx1"/>
            </w14:solidFill>
          </w14:textFill>
        </w:rPr>
        <w:t>Trifoliumrepens</w:t>
      </w:r>
      <w:r>
        <w:rPr>
          <w:rFonts w:hint="eastAsia" w:ascii="宋体" w:hAnsi="宋体" w:cs="宋体"/>
          <w:color w:val="000000" w:themeColor="text1"/>
          <w:sz w:val="24"/>
          <w:szCs w:val="24"/>
          <w:lang w:bidi="ar"/>
          <w14:textFill>
            <w14:solidFill>
              <w14:schemeClr w14:val="tx1"/>
            </w14:solidFill>
          </w14:textFill>
        </w:rPr>
        <w:t>）、阿拉伯婆婆纳（</w:t>
      </w:r>
      <w:r>
        <w:rPr>
          <w:i/>
          <w:iCs/>
          <w:color w:val="000000" w:themeColor="text1"/>
          <w:sz w:val="24"/>
          <w:szCs w:val="24"/>
          <w:lang w:bidi="ar"/>
          <w14:textFill>
            <w14:solidFill>
              <w14:schemeClr w14:val="tx1"/>
            </w14:solidFill>
          </w14:textFill>
        </w:rPr>
        <w:t>Veronicapersica</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种</w:t>
      </w:r>
      <w:r>
        <w:rPr>
          <w:color w:val="000000" w:themeColor="text1"/>
          <w:sz w:val="24"/>
          <w:szCs w:val="24"/>
          <w:lang w:bidi="ar"/>
          <w14:textFill>
            <w14:solidFill>
              <w14:schemeClr w14:val="tx1"/>
            </w14:solidFill>
          </w14:textFill>
        </w:rPr>
        <w:t>4</w:t>
      </w:r>
      <w:r>
        <w:rPr>
          <w:rFonts w:hint="eastAsia" w:ascii="宋体" w:hAnsi="宋体" w:cs="宋体"/>
          <w:color w:val="000000" w:themeColor="text1"/>
          <w:sz w:val="24"/>
          <w:szCs w:val="24"/>
          <w:lang w:bidi="ar"/>
          <w14:textFill>
            <w14:solidFill>
              <w14:schemeClr w14:val="tx1"/>
            </w14:solidFill>
          </w14:textFill>
        </w:rPr>
        <w:t>级一般入侵植物，为红花酢浆草（</w:t>
      </w:r>
      <w:r>
        <w:rPr>
          <w:i/>
          <w:iCs/>
          <w:color w:val="000000" w:themeColor="text1"/>
          <w:sz w:val="24"/>
          <w:szCs w:val="24"/>
          <w:lang w:bidi="ar"/>
          <w14:textFill>
            <w14:solidFill>
              <w14:schemeClr w14:val="tx1"/>
            </w14:solidFill>
          </w14:textFill>
        </w:rPr>
        <w:t>Oxaliscorymbosa</w:t>
      </w:r>
      <w:r>
        <w:rPr>
          <w:rFonts w:hint="eastAsia" w:ascii="宋体" w:hAnsi="宋体" w:cs="宋体"/>
          <w:color w:val="000000" w:themeColor="text1"/>
          <w:sz w:val="24"/>
          <w:szCs w:val="24"/>
          <w:lang w:bidi="ar"/>
          <w14:textFill>
            <w14:solidFill>
              <w14:schemeClr w14:val="tx1"/>
            </w14:solidFill>
          </w14:textFill>
        </w:rPr>
        <w:t>）、婆婆纳（</w:t>
      </w:r>
      <w:r>
        <w:rPr>
          <w:i/>
          <w:iCs/>
          <w:color w:val="000000" w:themeColor="text1"/>
          <w:sz w:val="24"/>
          <w:szCs w:val="24"/>
          <w:lang w:bidi="ar"/>
          <w14:textFill>
            <w14:solidFill>
              <w14:schemeClr w14:val="tx1"/>
            </w14:solidFill>
          </w14:textFill>
        </w:rPr>
        <w:t>Veronicapolita</w:t>
      </w:r>
      <w:r>
        <w:rPr>
          <w:rFonts w:hint="eastAsia" w:ascii="宋体" w:hAnsi="宋体" w:cs="宋体"/>
          <w:color w:val="000000" w:themeColor="text1"/>
          <w:sz w:val="24"/>
          <w:szCs w:val="24"/>
          <w:lang w:bidi="ar"/>
          <w14:textFill>
            <w14:solidFill>
              <w14:schemeClr w14:val="tx1"/>
            </w14:solidFill>
          </w14:textFill>
        </w:rPr>
        <w:t>）、棕叶狗尾草（</w:t>
      </w:r>
      <w:r>
        <w:rPr>
          <w:i/>
          <w:iCs/>
          <w:color w:val="000000" w:themeColor="text1"/>
          <w:sz w:val="24"/>
          <w:szCs w:val="24"/>
          <w:lang w:bidi="ar"/>
          <w14:textFill>
            <w14:solidFill>
              <w14:schemeClr w14:val="tx1"/>
            </w14:solidFill>
          </w14:textFill>
        </w:rPr>
        <w:t>Setariapalmifolia</w:t>
      </w:r>
      <w:r>
        <w:rPr>
          <w:rFonts w:hint="eastAsia" w:ascii="宋体" w:hAnsi="宋体" w:cs="宋体"/>
          <w:color w:val="000000" w:themeColor="text1"/>
          <w:sz w:val="24"/>
          <w:szCs w:val="24"/>
          <w:lang w:bidi="ar"/>
          <w14:textFill>
            <w14:solidFill>
              <w14:schemeClr w14:val="tx1"/>
            </w14:solidFill>
          </w14:textFill>
        </w:rPr>
        <w:t>）。这</w:t>
      </w:r>
      <w:r>
        <w:rPr>
          <w:color w:val="000000" w:themeColor="text1"/>
          <w:sz w:val="24"/>
          <w:szCs w:val="24"/>
          <w:lang w:bidi="ar"/>
          <w14:textFill>
            <w14:solidFill>
              <w14:schemeClr w14:val="tx1"/>
            </w14:solidFill>
          </w14:textFill>
        </w:rPr>
        <w:t>10</w:t>
      </w:r>
      <w:r>
        <w:rPr>
          <w:rFonts w:hint="eastAsia" w:ascii="宋体" w:hAnsi="宋体" w:cs="宋体"/>
          <w:color w:val="000000" w:themeColor="text1"/>
          <w:sz w:val="24"/>
          <w:szCs w:val="24"/>
          <w:lang w:bidi="ar"/>
          <w14:textFill>
            <w14:solidFill>
              <w14:schemeClr w14:val="tx1"/>
            </w14:solidFill>
          </w14:textFill>
        </w:rPr>
        <w:t>种入侵植物均为草本植物，在全国广泛分布，在评价区主要分布于道路附近的草地。</w:t>
      </w:r>
    </w:p>
    <w:p>
      <w:pPr>
        <w:autoSpaceDE/>
        <w:autoSpaceDN/>
        <w:adjustRightInd w:val="0"/>
        <w:snapToGrid w:val="0"/>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3.2.6.3陆生动物组成与分布现状</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3.2.6.3.1陆生动物多样性</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根据调查结果，并检索查阅并参考《中国两栖动物及其分布彩色图鉴》（费梁等，</w:t>
      </w:r>
      <w:r>
        <w:rPr>
          <w:color w:val="000000" w:themeColor="text1"/>
          <w:sz w:val="24"/>
          <w:szCs w:val="24"/>
          <w:lang w:bidi="ar"/>
          <w14:textFill>
            <w14:solidFill>
              <w14:schemeClr w14:val="tx1"/>
            </w14:solidFill>
          </w14:textFill>
        </w:rPr>
        <w:t>2012</w:t>
      </w:r>
      <w:r>
        <w:rPr>
          <w:rFonts w:hint="eastAsia" w:ascii="宋体" w:hAnsi="宋体" w:cs="宋体"/>
          <w:color w:val="000000" w:themeColor="text1"/>
          <w:sz w:val="24"/>
          <w:szCs w:val="24"/>
          <w:lang w:bidi="ar"/>
          <w14:textFill>
            <w14:solidFill>
              <w14:schemeClr w14:val="tx1"/>
            </w14:solidFill>
          </w14:textFill>
        </w:rPr>
        <w:t>）、《中国动物志：两栖纲》（费梁主编，</w:t>
      </w:r>
      <w:r>
        <w:rPr>
          <w:color w:val="000000" w:themeColor="text1"/>
          <w:sz w:val="24"/>
          <w:szCs w:val="24"/>
          <w:lang w:bidi="ar"/>
          <w14:textFill>
            <w14:solidFill>
              <w14:schemeClr w14:val="tx1"/>
            </w14:solidFill>
          </w14:textFill>
        </w:rPr>
        <w:t>2009</w:t>
      </w:r>
      <w:r>
        <w:rPr>
          <w:rFonts w:hint="eastAsia" w:ascii="宋体" w:hAnsi="宋体" w:cs="宋体"/>
          <w:color w:val="000000" w:themeColor="text1"/>
          <w:sz w:val="24"/>
          <w:szCs w:val="24"/>
          <w:lang w:bidi="ar"/>
          <w14:textFill>
            <w14:solidFill>
              <w14:schemeClr w14:val="tx1"/>
            </w14:solidFill>
          </w14:textFill>
        </w:rPr>
        <w:t>）、《中国爬行纲动物分类厘定》（蔡波等，</w:t>
      </w:r>
      <w:r>
        <w:rPr>
          <w:color w:val="000000" w:themeColor="text1"/>
          <w:sz w:val="24"/>
          <w:szCs w:val="24"/>
          <w:lang w:bidi="ar"/>
          <w14:textFill>
            <w14:solidFill>
              <w14:schemeClr w14:val="tx1"/>
            </w14:solidFill>
          </w14:textFill>
        </w:rPr>
        <w:t>2015</w:t>
      </w:r>
      <w:r>
        <w:rPr>
          <w:rFonts w:hint="eastAsia" w:ascii="宋体" w:hAnsi="宋体" w:cs="宋体"/>
          <w:color w:val="000000" w:themeColor="text1"/>
          <w:sz w:val="24"/>
          <w:szCs w:val="24"/>
          <w:lang w:bidi="ar"/>
          <w14:textFill>
            <w14:solidFill>
              <w14:schemeClr w14:val="tx1"/>
            </w14:solidFill>
          </w14:textFill>
        </w:rPr>
        <w:t>）、《中国两栖、爬行动物更新名录》（王剀等，</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）、《中国爬行动物图鉴》（中国野生动物保护协会，</w:t>
      </w:r>
      <w:r>
        <w:rPr>
          <w:color w:val="000000" w:themeColor="text1"/>
          <w:sz w:val="24"/>
          <w:szCs w:val="24"/>
          <w:lang w:bidi="ar"/>
          <w14:textFill>
            <w14:solidFill>
              <w14:schemeClr w14:val="tx1"/>
            </w14:solidFill>
          </w14:textFill>
        </w:rPr>
        <w:t>2002</w:t>
      </w:r>
      <w:r>
        <w:rPr>
          <w:rFonts w:hint="eastAsia" w:ascii="宋体" w:hAnsi="宋体" w:cs="宋体"/>
          <w:color w:val="000000" w:themeColor="text1"/>
          <w:sz w:val="24"/>
          <w:szCs w:val="24"/>
          <w:lang w:bidi="ar"/>
          <w14:textFill>
            <w14:solidFill>
              <w14:schemeClr w14:val="tx1"/>
            </w14:solidFill>
          </w14:textFill>
        </w:rPr>
        <w:t>）、《中国鸟类分类与分布名录（第二版）》（郑光美，</w:t>
      </w:r>
      <w:r>
        <w:rPr>
          <w:color w:val="000000" w:themeColor="text1"/>
          <w:sz w:val="24"/>
          <w:szCs w:val="24"/>
          <w:lang w:bidi="ar"/>
          <w14:textFill>
            <w14:solidFill>
              <w14:schemeClr w14:val="tx1"/>
            </w14:solidFill>
          </w14:textFill>
        </w:rPr>
        <w:t>2011</w:t>
      </w:r>
      <w:r>
        <w:rPr>
          <w:rFonts w:hint="eastAsia" w:ascii="宋体" w:hAnsi="宋体" w:cs="宋体"/>
          <w:color w:val="000000" w:themeColor="text1"/>
          <w:sz w:val="24"/>
          <w:szCs w:val="24"/>
          <w:lang w:bidi="ar"/>
          <w14:textFill>
            <w14:solidFill>
              <w14:schemeClr w14:val="tx1"/>
            </w14:solidFill>
          </w14:textFill>
        </w:rPr>
        <w:t>）、《中国兽类野外手册》（四川教育出版社，</w:t>
      </w:r>
      <w:r>
        <w:rPr>
          <w:color w:val="000000" w:themeColor="text1"/>
          <w:sz w:val="24"/>
          <w:szCs w:val="24"/>
          <w:lang w:bidi="ar"/>
          <w14:textFill>
            <w14:solidFill>
              <w14:schemeClr w14:val="tx1"/>
            </w14:solidFill>
          </w14:textFill>
        </w:rPr>
        <w:t>2009</w:t>
      </w:r>
      <w:r>
        <w:rPr>
          <w:rFonts w:hint="eastAsia" w:ascii="宋体" w:hAnsi="宋体" w:cs="宋体"/>
          <w:color w:val="000000" w:themeColor="text1"/>
          <w:sz w:val="24"/>
          <w:szCs w:val="24"/>
          <w:lang w:bidi="ar"/>
          <w14:textFill>
            <w14:solidFill>
              <w14:schemeClr w14:val="tx1"/>
            </w14:solidFill>
          </w14:textFill>
        </w:rPr>
        <w:t>年）、《中国哺乳动物多样性及地理分布》（蒋志刚等，</w:t>
      </w:r>
      <w:r>
        <w:rPr>
          <w:color w:val="000000" w:themeColor="text1"/>
          <w:sz w:val="24"/>
          <w:szCs w:val="24"/>
          <w:lang w:bidi="ar"/>
          <w14:textFill>
            <w14:solidFill>
              <w14:schemeClr w14:val="tx1"/>
            </w14:solidFill>
          </w14:textFill>
        </w:rPr>
        <w:t>2015</w:t>
      </w:r>
      <w:r>
        <w:rPr>
          <w:rFonts w:hint="eastAsia" w:ascii="宋体" w:hAnsi="宋体" w:cs="宋体"/>
          <w:color w:val="000000" w:themeColor="text1"/>
          <w:sz w:val="24"/>
          <w:szCs w:val="24"/>
          <w:lang w:bidi="ar"/>
          <w14:textFill>
            <w14:solidFill>
              <w14:schemeClr w14:val="tx1"/>
            </w14:solidFill>
          </w14:textFill>
        </w:rPr>
        <w:t>）、《中国哺乳动物多样性（第</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版）》（蒋志刚等，</w:t>
      </w:r>
      <w:r>
        <w:rPr>
          <w:color w:val="000000" w:themeColor="text1"/>
          <w:sz w:val="24"/>
          <w:szCs w:val="24"/>
          <w:lang w:bidi="ar"/>
          <w14:textFill>
            <w14:solidFill>
              <w14:schemeClr w14:val="tx1"/>
            </w14:solidFill>
          </w14:textFill>
        </w:rPr>
        <w:t>2017</w:t>
      </w:r>
      <w:r>
        <w:rPr>
          <w:rFonts w:hint="eastAsia" w:ascii="宋体" w:hAnsi="宋体" w:cs="宋体"/>
          <w:color w:val="000000" w:themeColor="text1"/>
          <w:sz w:val="24"/>
          <w:szCs w:val="24"/>
          <w:lang w:bidi="ar"/>
          <w14:textFill>
            <w14:solidFill>
              <w14:schemeClr w14:val="tx1"/>
            </w14:solidFill>
          </w14:textFill>
        </w:rPr>
        <w:t>）、《中国脊椎动物红色名录》（科学出版社等，</w:t>
      </w:r>
      <w:r>
        <w:rPr>
          <w:color w:val="000000" w:themeColor="text1"/>
          <w:sz w:val="24"/>
          <w:szCs w:val="24"/>
          <w:lang w:bidi="ar"/>
          <w14:textFill>
            <w14:solidFill>
              <w14:schemeClr w14:val="tx1"/>
            </w14:solidFill>
          </w14:textFill>
        </w:rPr>
        <w:t>2016</w:t>
      </w:r>
      <w:r>
        <w:rPr>
          <w:rFonts w:hint="eastAsia" w:ascii="宋体" w:hAnsi="宋体" w:cs="宋体"/>
          <w:color w:val="000000" w:themeColor="text1"/>
          <w:sz w:val="24"/>
          <w:szCs w:val="24"/>
          <w:lang w:bidi="ar"/>
          <w14:textFill>
            <w14:solidFill>
              <w14:schemeClr w14:val="tx1"/>
            </w14:solidFill>
          </w14:textFill>
        </w:rPr>
        <w:t>）、《中国兽类名录（</w:t>
      </w:r>
      <w:r>
        <w:rPr>
          <w:color w:val="000000" w:themeColor="text1"/>
          <w:sz w:val="24"/>
          <w:szCs w:val="24"/>
          <w:lang w:bidi="ar"/>
          <w14:textFill>
            <w14:solidFill>
              <w14:schemeClr w14:val="tx1"/>
            </w14:solidFill>
          </w14:textFill>
        </w:rPr>
        <w:t>2021</w:t>
      </w:r>
      <w:r>
        <w:rPr>
          <w:rFonts w:hint="eastAsia" w:ascii="宋体" w:hAnsi="宋体" w:cs="宋体"/>
          <w:color w:val="000000" w:themeColor="text1"/>
          <w:sz w:val="24"/>
          <w:szCs w:val="24"/>
          <w:lang w:bidi="ar"/>
          <w14:textFill>
            <w14:solidFill>
              <w14:schemeClr w14:val="tx1"/>
            </w14:solidFill>
          </w14:textFill>
        </w:rPr>
        <w:t>版）》（魏辅文等，</w:t>
      </w:r>
      <w:r>
        <w:rPr>
          <w:color w:val="000000" w:themeColor="text1"/>
          <w:sz w:val="24"/>
          <w:szCs w:val="24"/>
          <w:lang w:bidi="ar"/>
          <w14:textFill>
            <w14:solidFill>
              <w14:schemeClr w14:val="tx1"/>
            </w14:solidFill>
          </w14:textFill>
        </w:rPr>
        <w:t>2021</w:t>
      </w:r>
      <w:r>
        <w:rPr>
          <w:rFonts w:hint="eastAsia" w:ascii="宋体" w:hAnsi="宋体" w:cs="宋体"/>
          <w:color w:val="000000" w:themeColor="text1"/>
          <w:sz w:val="24"/>
          <w:szCs w:val="24"/>
          <w:lang w:bidi="ar"/>
          <w14:textFill>
            <w14:solidFill>
              <w14:schemeClr w14:val="tx1"/>
            </w14:solidFill>
          </w14:textFill>
        </w:rPr>
        <w:t>）著作以及关于本地区脊椎动物的相关文献资料：《四川资源动物志》（胡锦矗，</w:t>
      </w:r>
      <w:r>
        <w:rPr>
          <w:color w:val="000000" w:themeColor="text1"/>
          <w:sz w:val="24"/>
          <w:szCs w:val="24"/>
          <w:lang w:bidi="ar"/>
          <w14:textFill>
            <w14:solidFill>
              <w14:schemeClr w14:val="tx1"/>
            </w14:solidFill>
          </w14:textFill>
        </w:rPr>
        <w:t>1984</w:t>
      </w:r>
      <w:r>
        <w:rPr>
          <w:rFonts w:hint="eastAsia" w:ascii="宋体" w:hAnsi="宋体" w:cs="宋体"/>
          <w:color w:val="000000" w:themeColor="text1"/>
          <w:sz w:val="24"/>
          <w:szCs w:val="24"/>
          <w:lang w:bidi="ar"/>
          <w14:textFill>
            <w14:solidFill>
              <w14:schemeClr w14:val="tx1"/>
            </w14:solidFill>
          </w14:textFill>
        </w:rPr>
        <w:t>年）、《四川兽类名录新订》（胡锦矗等，</w:t>
      </w:r>
      <w:r>
        <w:rPr>
          <w:color w:val="000000" w:themeColor="text1"/>
          <w:sz w:val="24"/>
          <w:szCs w:val="24"/>
          <w:lang w:bidi="ar"/>
          <w14:textFill>
            <w14:solidFill>
              <w14:schemeClr w14:val="tx1"/>
            </w14:solidFill>
          </w14:textFill>
        </w:rPr>
        <w:t>2007</w:t>
      </w:r>
      <w:r>
        <w:rPr>
          <w:rFonts w:hint="eastAsia" w:ascii="宋体" w:hAnsi="宋体" w:cs="宋体"/>
          <w:color w:val="000000" w:themeColor="text1"/>
          <w:sz w:val="24"/>
          <w:szCs w:val="24"/>
          <w:lang w:bidi="ar"/>
          <w14:textFill>
            <w14:solidFill>
              <w14:schemeClr w14:val="tx1"/>
            </w14:solidFill>
          </w14:textFill>
        </w:rPr>
        <w:t>年）、《四川鸟类资源概况》（李桂垣，</w:t>
      </w:r>
      <w:r>
        <w:rPr>
          <w:color w:val="000000" w:themeColor="text1"/>
          <w:sz w:val="24"/>
          <w:szCs w:val="24"/>
          <w:lang w:bidi="ar"/>
          <w14:textFill>
            <w14:solidFill>
              <w14:schemeClr w14:val="tx1"/>
            </w14:solidFill>
          </w14:textFill>
        </w:rPr>
        <w:t>2017</w:t>
      </w:r>
      <w:r>
        <w:rPr>
          <w:rFonts w:hint="eastAsia" w:ascii="宋体" w:hAnsi="宋体" w:cs="宋体"/>
          <w:color w:val="000000" w:themeColor="text1"/>
          <w:sz w:val="24"/>
          <w:szCs w:val="24"/>
          <w:lang w:bidi="ar"/>
          <w14:textFill>
            <w14:solidFill>
              <w14:schemeClr w14:val="tx1"/>
            </w14:solidFill>
          </w14:textFill>
        </w:rPr>
        <w:t>年）、《四川省生物资源及其分区研究》（李体俊，</w:t>
      </w:r>
      <w:r>
        <w:rPr>
          <w:color w:val="000000" w:themeColor="text1"/>
          <w:sz w:val="24"/>
          <w:szCs w:val="24"/>
          <w:lang w:bidi="ar"/>
          <w14:textFill>
            <w14:solidFill>
              <w14:schemeClr w14:val="tx1"/>
            </w14:solidFill>
          </w14:textFill>
        </w:rPr>
        <w:t>1988</w:t>
      </w:r>
      <w:r>
        <w:rPr>
          <w:rFonts w:hint="eastAsia" w:ascii="宋体" w:hAnsi="宋体" w:cs="宋体"/>
          <w:color w:val="000000" w:themeColor="text1"/>
          <w:sz w:val="24"/>
          <w:szCs w:val="24"/>
          <w:lang w:bidi="ar"/>
          <w14:textFill>
            <w14:solidFill>
              <w14:schemeClr w14:val="tx1"/>
            </w14:solidFill>
          </w14:textFill>
        </w:rPr>
        <w:t>年）、《四川两栖类地理分异的研究》（何强，</w:t>
      </w:r>
      <w:r>
        <w:rPr>
          <w:color w:val="000000" w:themeColor="text1"/>
          <w:sz w:val="24"/>
          <w:szCs w:val="24"/>
          <w:lang w:bidi="ar"/>
          <w14:textFill>
            <w14:solidFill>
              <w14:schemeClr w14:val="tx1"/>
            </w14:solidFill>
          </w14:textFill>
        </w:rPr>
        <w:t>1990</w:t>
      </w:r>
      <w:r>
        <w:rPr>
          <w:rFonts w:hint="eastAsia" w:ascii="宋体" w:hAnsi="宋体" w:cs="宋体"/>
          <w:color w:val="000000" w:themeColor="text1"/>
          <w:sz w:val="24"/>
          <w:szCs w:val="24"/>
          <w:lang w:bidi="ar"/>
          <w14:textFill>
            <w14:solidFill>
              <w14:schemeClr w14:val="tx1"/>
            </w14:solidFill>
          </w14:textFill>
        </w:rPr>
        <w:t>年）等，对评价区的野生动物资源现状进行评价。</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本项目调查过程中，结合现有资料与实地调查结果，在评价范围内统计到陆生野生动物</w:t>
      </w:r>
      <w:r>
        <w:rPr>
          <w:color w:val="000000" w:themeColor="text1"/>
          <w:sz w:val="24"/>
          <w:szCs w:val="24"/>
          <w:lang w:bidi="ar"/>
          <w14:textFill>
            <w14:solidFill>
              <w14:schemeClr w14:val="tx1"/>
            </w14:solidFill>
          </w14:textFill>
        </w:rPr>
        <w:t>20</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46</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143</w:t>
      </w:r>
      <w:r>
        <w:rPr>
          <w:rFonts w:hint="eastAsia" w:ascii="宋体" w:hAnsi="宋体" w:cs="宋体"/>
          <w:color w:val="000000" w:themeColor="text1"/>
          <w:sz w:val="24"/>
          <w:szCs w:val="24"/>
          <w:lang w:bidi="ar"/>
          <w14:textFill>
            <w14:solidFill>
              <w14:schemeClr w14:val="tx1"/>
            </w14:solidFill>
          </w14:textFill>
        </w:rPr>
        <w:t>种，其中两栖纲有</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4</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8</w:t>
      </w:r>
      <w:r>
        <w:rPr>
          <w:rFonts w:hint="eastAsia" w:ascii="宋体" w:hAnsi="宋体" w:cs="宋体"/>
          <w:color w:val="000000" w:themeColor="text1"/>
          <w:sz w:val="24"/>
          <w:szCs w:val="24"/>
          <w:lang w:bidi="ar"/>
          <w14:textFill>
            <w14:solidFill>
              <w14:schemeClr w14:val="tx1"/>
            </w14:solidFill>
          </w14:textFill>
        </w:rPr>
        <w:t>种，爬行纲有</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5</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12</w:t>
      </w:r>
      <w:r>
        <w:rPr>
          <w:rFonts w:hint="eastAsia" w:ascii="宋体" w:hAnsi="宋体" w:cs="宋体"/>
          <w:color w:val="000000" w:themeColor="text1"/>
          <w:sz w:val="24"/>
          <w:szCs w:val="24"/>
          <w:lang w:bidi="ar"/>
          <w14:textFill>
            <w14:solidFill>
              <w14:schemeClr w14:val="tx1"/>
            </w14:solidFill>
          </w14:textFill>
        </w:rPr>
        <w:t>种，鸟纲有</w:t>
      </w:r>
      <w:r>
        <w:rPr>
          <w:color w:val="000000" w:themeColor="text1"/>
          <w:sz w:val="24"/>
          <w:szCs w:val="24"/>
          <w:lang w:bidi="ar"/>
          <w14:textFill>
            <w14:solidFill>
              <w14:schemeClr w14:val="tx1"/>
            </w14:solidFill>
          </w14:textFill>
        </w:rPr>
        <w:t>14</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31</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111</w:t>
      </w:r>
      <w:r>
        <w:rPr>
          <w:rFonts w:hint="eastAsia" w:ascii="宋体" w:hAnsi="宋体" w:cs="宋体"/>
          <w:color w:val="000000" w:themeColor="text1"/>
          <w:sz w:val="24"/>
          <w:szCs w:val="24"/>
          <w:lang w:bidi="ar"/>
          <w14:textFill>
            <w14:solidFill>
              <w14:schemeClr w14:val="tx1"/>
            </w14:solidFill>
          </w14:textFill>
        </w:rPr>
        <w:t>种，哺乳纲有</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5</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12</w:t>
      </w:r>
      <w:r>
        <w:rPr>
          <w:rFonts w:hint="eastAsia" w:ascii="宋体" w:hAnsi="宋体" w:cs="宋体"/>
          <w:color w:val="000000" w:themeColor="text1"/>
          <w:sz w:val="24"/>
          <w:szCs w:val="24"/>
          <w:lang w:bidi="ar"/>
          <w14:textFill>
            <w14:solidFill>
              <w14:schemeClr w14:val="tx1"/>
            </w14:solidFill>
          </w14:textFill>
        </w:rPr>
        <w:t>种。</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表3.2-1</w:t>
      </w:r>
      <w:r>
        <w:rPr>
          <w:rFonts w:hint="eastAsia" w:eastAsia="黑体"/>
          <w:color w:val="000000" w:themeColor="text1"/>
          <w:lang w:val="en-US" w:eastAsia="zh-CN"/>
          <w14:textFill>
            <w14:solidFill>
              <w14:schemeClr w14:val="tx1"/>
            </w14:solidFill>
          </w14:textFill>
        </w:rPr>
        <w:t>9</w:t>
      </w:r>
      <w:r>
        <w:rPr>
          <w:rFonts w:hint="eastAsia" w:eastAsia="黑体"/>
          <w:color w:val="000000" w:themeColor="text1"/>
          <w14:textFill>
            <w14:solidFill>
              <w14:schemeClr w14:val="tx1"/>
            </w14:solidFill>
          </w14:textFill>
        </w:rPr>
        <w:t>评价区域陆生脊椎动物种类统计表</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137"/>
        <w:gridCol w:w="854"/>
        <w:gridCol w:w="854"/>
        <w:gridCol w:w="859"/>
        <w:gridCol w:w="1703"/>
        <w:gridCol w:w="1502"/>
        <w:gridCol w:w="1613"/>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667" w:type="pct"/>
            <w:vMerge w:val="restart"/>
            <w:tcBorders>
              <w:top w:val="single" w:color="auto" w:sz="12"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类群</w:t>
            </w:r>
          </w:p>
        </w:tc>
        <w:tc>
          <w:tcPr>
            <w:tcW w:w="1506" w:type="pct"/>
            <w:gridSpan w:val="3"/>
            <w:tcBorders>
              <w:top w:val="single" w:color="auto" w:sz="12"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物种丰富度</w:t>
            </w:r>
          </w:p>
        </w:tc>
        <w:tc>
          <w:tcPr>
            <w:tcW w:w="999" w:type="pct"/>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中国特有种</w:t>
            </w:r>
          </w:p>
        </w:tc>
        <w:tc>
          <w:tcPr>
            <w:tcW w:w="1827" w:type="pct"/>
            <w:gridSpan w:val="2"/>
            <w:tcBorders>
              <w:top w:val="single" w:color="auto" w:sz="12"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国家重点保护野生动物</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667" w:type="pct"/>
            <w:vMerge w:val="continue"/>
            <w:tcBorders>
              <w:top w:val="single" w:color="auto" w:sz="12"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目数</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科数</w:t>
            </w:r>
          </w:p>
        </w:tc>
        <w:tc>
          <w:tcPr>
            <w:tcW w:w="50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种数</w:t>
            </w:r>
          </w:p>
        </w:tc>
        <w:tc>
          <w:tcPr>
            <w:tcW w:w="999" w:type="pct"/>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国家</w:t>
            </w:r>
            <w:r>
              <w:rPr>
                <w:rFonts w:hint="default"/>
                <w:color w:val="000000" w:themeColor="text1"/>
                <w:kern w:val="44"/>
                <w:sz w:val="21"/>
                <w:szCs w:val="21"/>
                <w:lang w:bidi="ar"/>
                <w14:textFill>
                  <w14:solidFill>
                    <w14:schemeClr w14:val="tx1"/>
                  </w14:solidFill>
                </w14:textFill>
              </w:rPr>
              <w:t>Ⅰ</w:t>
            </w:r>
            <w:r>
              <w:rPr>
                <w:rFonts w:hint="eastAsia" w:ascii="宋体" w:hAnsi="宋体" w:cs="宋体"/>
                <w:color w:val="000000" w:themeColor="text1"/>
                <w:kern w:val="44"/>
                <w:sz w:val="21"/>
                <w:szCs w:val="21"/>
                <w:lang w:bidi="ar"/>
                <w14:textFill>
                  <w14:solidFill>
                    <w14:schemeClr w14:val="tx1"/>
                  </w14:solidFill>
                </w14:textFill>
              </w:rPr>
              <w:t>级</w:t>
            </w:r>
          </w:p>
        </w:tc>
        <w:tc>
          <w:tcPr>
            <w:tcW w:w="945"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国家</w:t>
            </w:r>
            <w:r>
              <w:rPr>
                <w:rFonts w:hint="default"/>
                <w:color w:val="000000" w:themeColor="text1"/>
                <w:kern w:val="44"/>
                <w:sz w:val="21"/>
                <w:szCs w:val="21"/>
                <w:lang w:bidi="ar"/>
                <w14:textFill>
                  <w14:solidFill>
                    <w14:schemeClr w14:val="tx1"/>
                  </w14:solidFill>
                </w14:textFill>
              </w:rPr>
              <w:t>Ⅱ</w:t>
            </w:r>
            <w:r>
              <w:rPr>
                <w:rFonts w:hint="eastAsia" w:ascii="宋体" w:hAnsi="宋体" w:cs="宋体"/>
                <w:color w:val="000000" w:themeColor="text1"/>
                <w:kern w:val="44"/>
                <w:sz w:val="21"/>
                <w:szCs w:val="21"/>
                <w:lang w:bidi="ar"/>
                <w14:textFill>
                  <w14:solidFill>
                    <w14:schemeClr w14:val="tx1"/>
                  </w14:solidFill>
                </w14:textFill>
              </w:rPr>
              <w:t>级</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667"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两栖纲</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w:t>
            </w:r>
          </w:p>
        </w:tc>
        <w:tc>
          <w:tcPr>
            <w:tcW w:w="50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99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945"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667"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爬行纲</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p>
        </w:tc>
        <w:tc>
          <w:tcPr>
            <w:tcW w:w="50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12</w:t>
            </w:r>
          </w:p>
        </w:tc>
        <w:tc>
          <w:tcPr>
            <w:tcW w:w="99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945"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667"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鸟纲</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14</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31</w:t>
            </w:r>
          </w:p>
        </w:tc>
        <w:tc>
          <w:tcPr>
            <w:tcW w:w="50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111</w:t>
            </w:r>
          </w:p>
        </w:tc>
        <w:tc>
          <w:tcPr>
            <w:tcW w:w="99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45"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667"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哺乳纲</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p>
        </w:tc>
        <w:tc>
          <w:tcPr>
            <w:tcW w:w="50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12</w:t>
            </w:r>
          </w:p>
        </w:tc>
        <w:tc>
          <w:tcPr>
            <w:tcW w:w="99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945"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667" w:type="pct"/>
            <w:tcBorders>
              <w:top w:val="single" w:color="auto" w:sz="4" w:space="0"/>
              <w:left w:val="nil"/>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总计</w:t>
            </w:r>
          </w:p>
        </w:tc>
        <w:tc>
          <w:tcPr>
            <w:tcW w:w="501"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20</w:t>
            </w:r>
          </w:p>
        </w:tc>
        <w:tc>
          <w:tcPr>
            <w:tcW w:w="501"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46</w:t>
            </w:r>
          </w:p>
        </w:tc>
        <w:tc>
          <w:tcPr>
            <w:tcW w:w="503"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143</w:t>
            </w:r>
          </w:p>
        </w:tc>
        <w:tc>
          <w:tcPr>
            <w:tcW w:w="999"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p>
        </w:tc>
        <w:tc>
          <w:tcPr>
            <w:tcW w:w="881"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45" w:type="pct"/>
            <w:tcBorders>
              <w:top w:val="single" w:color="auto" w:sz="4" w:space="0"/>
              <w:left w:val="single" w:color="auto" w:sz="4" w:space="0"/>
              <w:bottom w:val="single" w:color="auto" w:sz="12"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w:t>
            </w:r>
          </w:p>
        </w:tc>
      </w:tr>
    </w:tbl>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3.2.6.3.2两栖纲</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）物种组成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根据野外调查和文献，确认在评价区域内共分布有两栖动物</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4</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8</w:t>
      </w:r>
      <w:r>
        <w:rPr>
          <w:rFonts w:hint="eastAsia" w:ascii="宋体" w:hAnsi="宋体" w:cs="宋体"/>
          <w:color w:val="000000" w:themeColor="text1"/>
          <w:sz w:val="24"/>
          <w:szCs w:val="24"/>
          <w:lang w:bidi="ar"/>
          <w14:textFill>
            <w14:solidFill>
              <w14:schemeClr w14:val="tx1"/>
            </w14:solidFill>
          </w14:textFill>
        </w:rPr>
        <w:t>种。科的物种组成见下表。</w:t>
      </w:r>
    </w:p>
    <w:p>
      <w:pPr>
        <w:pStyle w:val="34"/>
        <w:widowControl w:val="0"/>
        <w:spacing w:before="0" w:beforeAutospacing="0" w:after="0" w:afterAutospacing="0"/>
        <w:ind w:left="440" w:hanging="44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lang w:val="en-US" w:eastAsia="zh-CN"/>
          <w14:textFill>
            <w14:solidFill>
              <w14:schemeClr w14:val="tx1"/>
            </w14:solidFill>
          </w14:textFill>
        </w:rPr>
        <w:t>20</w:t>
      </w:r>
      <w:r>
        <w:rPr>
          <w:rFonts w:hint="eastAsia" w:eastAsia="黑体"/>
          <w:color w:val="000000" w:themeColor="text1"/>
          <w14:textFill>
            <w14:solidFill>
              <w14:schemeClr w14:val="tx1"/>
            </w14:solidFill>
          </w14:textFill>
        </w:rPr>
        <w:t>评价区两栖动物物种组成</w:t>
      </w:r>
    </w:p>
    <w:tbl>
      <w:tblPr>
        <w:tblStyle w:val="140"/>
        <w:tblW w:w="495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2376"/>
        <w:gridCol w:w="1886"/>
        <w:gridCol w:w="20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0"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目</w:t>
            </w:r>
          </w:p>
        </w:tc>
        <w:tc>
          <w:tcPr>
            <w:tcW w:w="140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科</w:t>
            </w:r>
          </w:p>
        </w:tc>
        <w:tc>
          <w:tcPr>
            <w:tcW w:w="111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种</w:t>
            </w:r>
          </w:p>
        </w:tc>
        <w:tc>
          <w:tcPr>
            <w:tcW w:w="121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lang w:bidi="ar"/>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占总种数的%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0" w:type="pct"/>
            <w:vMerge w:val="restar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无尾目ANURA</w:t>
            </w:r>
          </w:p>
        </w:tc>
        <w:tc>
          <w:tcPr>
            <w:tcW w:w="140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叉舌蛙科Dicroglossidae</w:t>
            </w:r>
          </w:p>
        </w:tc>
        <w:tc>
          <w:tcPr>
            <w:tcW w:w="111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21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0" w:type="pct"/>
            <w:vMerge w:val="continue"/>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p>
        </w:tc>
        <w:tc>
          <w:tcPr>
            <w:tcW w:w="140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蛙科Ranidae</w:t>
            </w:r>
          </w:p>
        </w:tc>
        <w:tc>
          <w:tcPr>
            <w:tcW w:w="111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21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0" w:type="pct"/>
            <w:vMerge w:val="continue"/>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p>
        </w:tc>
        <w:tc>
          <w:tcPr>
            <w:tcW w:w="140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姬蛙科Microhylidae</w:t>
            </w:r>
          </w:p>
        </w:tc>
        <w:tc>
          <w:tcPr>
            <w:tcW w:w="111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21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260" w:type="pct"/>
            <w:vMerge w:val="continue"/>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p>
        </w:tc>
        <w:tc>
          <w:tcPr>
            <w:tcW w:w="140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美洲水蛙属Lithobates</w:t>
            </w:r>
          </w:p>
        </w:tc>
        <w:tc>
          <w:tcPr>
            <w:tcW w:w="1117"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216" w:type="pct"/>
            <w:tcBorders>
              <w:tl2br w:val="nil"/>
              <w:tr2bl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lang w:bidi="ar"/>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25</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）物种组分分析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评价区两栖纲动物调查物种名录结果如下：</w:t>
      </w:r>
    </w:p>
    <w:p>
      <w:pPr>
        <w:pStyle w:val="34"/>
        <w:widowControl w:val="0"/>
        <w:spacing w:before="0" w:beforeAutospacing="0" w:after="0" w:afterAutospacing="0"/>
        <w:ind w:left="440" w:hanging="44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lang w:val="en-US" w:eastAsia="zh-CN"/>
          <w14:textFill>
            <w14:solidFill>
              <w14:schemeClr w14:val="tx1"/>
            </w14:solidFill>
          </w14:textFill>
        </w:rPr>
        <w:t>21</w:t>
      </w:r>
      <w:r>
        <w:rPr>
          <w:rFonts w:hint="eastAsia" w:eastAsia="黑体"/>
          <w:color w:val="000000" w:themeColor="text1"/>
          <w14:textFill>
            <w14:solidFill>
              <w14:schemeClr w14:val="tx1"/>
            </w14:solidFill>
          </w14:textFill>
        </w:rPr>
        <w:t>评价区两栖动物调查名录</w:t>
      </w:r>
    </w:p>
    <w:tbl>
      <w:tblPr>
        <w:tblStyle w:val="140"/>
        <w:tblW w:w="0" w:type="auto"/>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557"/>
        <w:gridCol w:w="969"/>
        <w:gridCol w:w="1559"/>
        <w:gridCol w:w="992"/>
        <w:gridCol w:w="2268"/>
        <w:gridCol w:w="709"/>
        <w:gridCol w:w="741"/>
        <w:gridCol w:w="727"/>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序号</w:t>
            </w:r>
          </w:p>
        </w:tc>
        <w:tc>
          <w:tcPr>
            <w:tcW w:w="969"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1559"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科名</w:t>
            </w:r>
          </w:p>
        </w:tc>
        <w:tc>
          <w:tcPr>
            <w:tcW w:w="992"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种</w:t>
            </w:r>
          </w:p>
        </w:tc>
        <w:tc>
          <w:tcPr>
            <w:tcW w:w="2268"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学名</w:t>
            </w:r>
          </w:p>
        </w:tc>
        <w:tc>
          <w:tcPr>
            <w:tcW w:w="709"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外来物种</w:t>
            </w:r>
          </w:p>
        </w:tc>
        <w:tc>
          <w:tcPr>
            <w:tcW w:w="741"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濒危等级</w:t>
            </w:r>
          </w:p>
        </w:tc>
        <w:tc>
          <w:tcPr>
            <w:tcW w:w="727" w:type="dxa"/>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特有种</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6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蛙科</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Ranidae</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黑斑侧褶蛙</w:t>
            </w:r>
          </w:p>
        </w:tc>
        <w:tc>
          <w:tcPr>
            <w:tcW w:w="226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Pelophylaxnigromaculatus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w:t>
            </w:r>
          </w:p>
        </w:tc>
        <w:tc>
          <w:tcPr>
            <w:tcW w:w="74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NT</w:t>
            </w:r>
          </w:p>
        </w:tc>
        <w:tc>
          <w:tcPr>
            <w:tcW w:w="727"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96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蛙科</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Ranidae</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沼蛙</w:t>
            </w:r>
          </w:p>
        </w:tc>
        <w:tc>
          <w:tcPr>
            <w:tcW w:w="226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Boulengeranaguentheri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w:t>
            </w:r>
          </w:p>
        </w:tc>
        <w:tc>
          <w:tcPr>
            <w:tcW w:w="74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NT</w:t>
            </w:r>
          </w:p>
        </w:tc>
        <w:tc>
          <w:tcPr>
            <w:tcW w:w="727"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96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叉舌蛙科</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Dicroglossidae</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泽陆蛙</w:t>
            </w:r>
          </w:p>
        </w:tc>
        <w:tc>
          <w:tcPr>
            <w:tcW w:w="226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Fejervaryamultistriata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w:t>
            </w:r>
          </w:p>
        </w:tc>
        <w:tc>
          <w:tcPr>
            <w:tcW w:w="74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727"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w:t>
            </w:r>
          </w:p>
        </w:tc>
        <w:tc>
          <w:tcPr>
            <w:tcW w:w="96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叉舌蛙科</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Dicroglossidae</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棘腹蛙</w:t>
            </w:r>
          </w:p>
        </w:tc>
        <w:tc>
          <w:tcPr>
            <w:tcW w:w="226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Quasipaaboulengeri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w:t>
            </w:r>
          </w:p>
        </w:tc>
        <w:tc>
          <w:tcPr>
            <w:tcW w:w="74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VU</w:t>
            </w:r>
          </w:p>
        </w:tc>
        <w:tc>
          <w:tcPr>
            <w:tcW w:w="727"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p>
        </w:tc>
        <w:tc>
          <w:tcPr>
            <w:tcW w:w="96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姬蛙科</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Microhylidae</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饰纹姬蛙</w:t>
            </w:r>
          </w:p>
        </w:tc>
        <w:tc>
          <w:tcPr>
            <w:tcW w:w="226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Microhylafissipes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w:t>
            </w:r>
          </w:p>
        </w:tc>
        <w:tc>
          <w:tcPr>
            <w:tcW w:w="74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727"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p>
        </w:tc>
        <w:tc>
          <w:tcPr>
            <w:tcW w:w="96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姬蛙科</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Microhylidae</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四川狭口蛙</w:t>
            </w:r>
          </w:p>
        </w:tc>
        <w:tc>
          <w:tcPr>
            <w:tcW w:w="226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Kaloularugifera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w:t>
            </w:r>
          </w:p>
        </w:tc>
        <w:tc>
          <w:tcPr>
            <w:tcW w:w="74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727"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w:t>
            </w:r>
          </w:p>
        </w:tc>
        <w:tc>
          <w:tcPr>
            <w:tcW w:w="96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美洲水蛙属</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Lithobates</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牛蛙</w:t>
            </w:r>
          </w:p>
        </w:tc>
        <w:tc>
          <w:tcPr>
            <w:tcW w:w="226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Lithobatescatesbeiana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c>
          <w:tcPr>
            <w:tcW w:w="74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727"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57" w:type="dxa"/>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969"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美洲水蛙属</w:t>
            </w:r>
          </w:p>
        </w:tc>
        <w:tc>
          <w:tcPr>
            <w:tcW w:w="1559"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Lithobates</w:t>
            </w:r>
          </w:p>
        </w:tc>
        <w:tc>
          <w:tcPr>
            <w:tcW w:w="992"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河蛙</w:t>
            </w:r>
          </w:p>
        </w:tc>
        <w:tc>
          <w:tcPr>
            <w:tcW w:w="2268"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kern w:val="44"/>
                <w:sz w:val="21"/>
                <w:szCs w:val="21"/>
                <w:lang w:bidi="ar"/>
                <w14:textFill>
                  <w14:solidFill>
                    <w14:schemeClr w14:val="tx1"/>
                  </w14:solidFill>
                </w14:textFill>
              </w:rPr>
              <w:t>Lithobatesheckscheri</w:t>
            </w:r>
          </w:p>
        </w:tc>
        <w:tc>
          <w:tcPr>
            <w:tcW w:w="709"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c>
          <w:tcPr>
            <w:tcW w:w="741"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c>
          <w:tcPr>
            <w:tcW w:w="727" w:type="dxa"/>
            <w:tcBorders>
              <w:top w:val="single" w:color="auto" w:sz="4" w:space="0"/>
              <w:left w:val="single" w:color="auto" w:sz="4" w:space="0"/>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w:t>
            </w:r>
          </w:p>
        </w:tc>
      </w:tr>
    </w:tbl>
    <w:p>
      <w:pPr>
        <w:spacing w:line="360" w:lineRule="auto"/>
        <w:ind w:firstLine="480" w:firstLineChars="200"/>
        <w:jc w:val="both"/>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由上表可知，根据《中国生物多样性红色名录—脊椎动物卷（</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）》，评价区内的两栖生物中，濒危等级被列为近危（</w:t>
      </w:r>
      <w:r>
        <w:rPr>
          <w:color w:val="000000" w:themeColor="text1"/>
          <w:sz w:val="24"/>
          <w:szCs w:val="24"/>
          <w:lang w:bidi="ar"/>
          <w14:textFill>
            <w14:solidFill>
              <w14:schemeClr w14:val="tx1"/>
            </w14:solidFill>
          </w14:textFill>
        </w:rPr>
        <w:t>NT</w:t>
      </w:r>
      <w:r>
        <w:rPr>
          <w:rFonts w:hint="eastAsia" w:ascii="宋体" w:hAnsi="宋体" w:cs="宋体"/>
          <w:color w:val="000000" w:themeColor="text1"/>
          <w:sz w:val="24"/>
          <w:szCs w:val="24"/>
          <w:lang w:bidi="ar"/>
          <w14:textFill>
            <w14:solidFill>
              <w14:schemeClr w14:val="tx1"/>
            </w14:solidFill>
          </w14:textFill>
        </w:rPr>
        <w:t>）的有黑斑侧褶蛙和沼蛙</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种，列为易危（</w:t>
      </w:r>
      <w:r>
        <w:rPr>
          <w:color w:val="000000" w:themeColor="text1"/>
          <w:sz w:val="24"/>
          <w:szCs w:val="24"/>
          <w:lang w:bidi="ar"/>
          <w14:textFill>
            <w14:solidFill>
              <w14:schemeClr w14:val="tx1"/>
            </w14:solidFill>
          </w14:textFill>
        </w:rPr>
        <w:t>VU</w:t>
      </w:r>
      <w:r>
        <w:rPr>
          <w:rFonts w:hint="eastAsia" w:ascii="宋体" w:hAnsi="宋体" w:cs="宋体"/>
          <w:color w:val="000000" w:themeColor="text1"/>
          <w:sz w:val="24"/>
          <w:szCs w:val="24"/>
          <w:lang w:bidi="ar"/>
          <w14:textFill>
            <w14:solidFill>
              <w14:schemeClr w14:val="tx1"/>
            </w14:solidFill>
          </w14:textFill>
        </w:rPr>
        <w:t>）的有棘腹蛙</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种；另外，两栖纲中的中国特有种有四川狭口蛙</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种；外来入侵物种有牛蛙和河蛙</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种。</w:t>
      </w:r>
    </w:p>
    <w:p>
      <w:pPr>
        <w:spacing w:line="360" w:lineRule="auto"/>
        <w:jc w:val="both"/>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3.2.6.3.爬行纲</w:t>
      </w:r>
    </w:p>
    <w:p>
      <w:pPr>
        <w:spacing w:line="360" w:lineRule="auto"/>
        <w:ind w:firstLine="480" w:firstLineChars="200"/>
        <w:jc w:val="both"/>
        <w:rPr>
          <w:color w:val="000000" w:themeColor="text1"/>
          <w:sz w:val="24"/>
          <w:szCs w:val="24"/>
          <w14:textFill>
            <w14:solidFill>
              <w14:schemeClr w14:val="tx1"/>
            </w14:solidFill>
          </w14:textFill>
        </w:rPr>
      </w:pPr>
      <w:bookmarkStart w:id="446" w:name="_Hlk163995781"/>
      <w:bookmarkEnd w:id="446"/>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）物种组成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根据野外调查和文献，确认在评价区域内共分布有</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6</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6</w:t>
      </w:r>
      <w:r>
        <w:rPr>
          <w:rFonts w:hint="eastAsia" w:ascii="宋体" w:hAnsi="宋体" w:cs="宋体"/>
          <w:color w:val="000000" w:themeColor="text1"/>
          <w:sz w:val="24"/>
          <w:szCs w:val="24"/>
          <w:lang w:bidi="ar"/>
          <w14:textFill>
            <w14:solidFill>
              <w14:schemeClr w14:val="tx1"/>
            </w14:solidFill>
          </w14:textFill>
        </w:rPr>
        <w:t>种爬行动物。</w:t>
      </w:r>
    </w:p>
    <w:p>
      <w:pPr>
        <w:pStyle w:val="34"/>
        <w:widowControl w:val="0"/>
        <w:spacing w:before="0" w:beforeAutospacing="0" w:after="0" w:afterAutospacing="0"/>
        <w:ind w:left="440" w:firstLine="480"/>
        <w:jc w:val="center"/>
        <w:rPr>
          <w:rFonts w:eastAsia="黑体"/>
          <w:b/>
          <w:color w:val="000000" w:themeColor="text1"/>
          <w:kern w:val="44"/>
          <w:sz w:val="21"/>
          <w:szCs w:val="2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lang w:val="en-US" w:eastAsia="zh-CN"/>
          <w14:textFill>
            <w14:solidFill>
              <w14:schemeClr w14:val="tx1"/>
            </w14:solidFill>
          </w14:textFill>
        </w:rPr>
        <w:t>22</w:t>
      </w:r>
      <w:r>
        <w:rPr>
          <w:rFonts w:hint="eastAsia" w:eastAsia="黑体"/>
          <w:color w:val="000000" w:themeColor="text1"/>
          <w14:textFill>
            <w14:solidFill>
              <w14:schemeClr w14:val="tx1"/>
            </w14:solidFill>
          </w14:textFill>
        </w:rPr>
        <w:t>评价区爬行纲动物物种组成</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510"/>
        <w:gridCol w:w="2679"/>
        <w:gridCol w:w="1214"/>
        <w:gridCol w:w="2119"/>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3" w:type="pct"/>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目</w:t>
            </w:r>
          </w:p>
        </w:tc>
        <w:tc>
          <w:tcPr>
            <w:tcW w:w="1572"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712"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物种数</w:t>
            </w:r>
          </w:p>
        </w:tc>
        <w:tc>
          <w:tcPr>
            <w:tcW w:w="1243" w:type="pct"/>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占总种数的</w:t>
            </w:r>
            <w:r>
              <w:rPr>
                <w:rFonts w:hint="default"/>
                <w:b/>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3" w:type="pct"/>
            <w:vMerge w:val="restar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有鳞目</w:t>
            </w:r>
            <w:r>
              <w:rPr>
                <w:rFonts w:hint="default"/>
                <w:color w:val="000000" w:themeColor="text1"/>
                <w:kern w:val="44"/>
                <w:sz w:val="21"/>
                <w:szCs w:val="21"/>
                <w:lang w:bidi="ar"/>
                <w14:textFill>
                  <w14:solidFill>
                    <w14:schemeClr w14:val="tx1"/>
                  </w14:solidFill>
                </w14:textFill>
              </w:rPr>
              <w:t>Squamata</w:t>
            </w:r>
          </w:p>
        </w:tc>
        <w:tc>
          <w:tcPr>
            <w:tcW w:w="15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壁虎科</w:t>
            </w:r>
            <w:r>
              <w:rPr>
                <w:rFonts w:hint="default"/>
                <w:color w:val="000000" w:themeColor="text1"/>
                <w:kern w:val="44"/>
                <w:sz w:val="21"/>
                <w:szCs w:val="21"/>
                <w:lang w:bidi="ar"/>
                <w14:textFill>
                  <w14:solidFill>
                    <w14:schemeClr w14:val="tx1"/>
                  </w14:solidFill>
                </w14:textFill>
              </w:rPr>
              <w:t>Gekkonidae</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243"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3"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both"/>
              <w:rPr>
                <w:rFonts w:hint="default"/>
                <w:color w:val="000000" w:themeColor="text1"/>
                <w:sz w:val="20"/>
                <w:szCs w:val="20"/>
                <w14:textFill>
                  <w14:solidFill>
                    <w14:schemeClr w14:val="tx1"/>
                  </w14:solidFill>
                </w14:textFill>
              </w:rPr>
            </w:pPr>
          </w:p>
        </w:tc>
        <w:tc>
          <w:tcPr>
            <w:tcW w:w="15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石龙子科</w:t>
            </w:r>
            <w:r>
              <w:rPr>
                <w:rFonts w:hint="default"/>
                <w:color w:val="000000" w:themeColor="text1"/>
                <w:kern w:val="44"/>
                <w:sz w:val="21"/>
                <w:szCs w:val="21"/>
                <w:lang w:bidi="ar"/>
                <w14:textFill>
                  <w14:solidFill>
                    <w14:schemeClr w14:val="tx1"/>
                  </w14:solidFill>
                </w14:textFill>
              </w:rPr>
              <w:t>Scincidae</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243"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16.7</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3"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both"/>
              <w:rPr>
                <w:rFonts w:hint="default"/>
                <w:color w:val="000000" w:themeColor="text1"/>
                <w:sz w:val="20"/>
                <w:szCs w:val="20"/>
                <w14:textFill>
                  <w14:solidFill>
                    <w14:schemeClr w14:val="tx1"/>
                  </w14:solidFill>
                </w14:textFill>
              </w:rPr>
            </w:pPr>
          </w:p>
        </w:tc>
        <w:tc>
          <w:tcPr>
            <w:tcW w:w="15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蜥蜴科</w:t>
            </w:r>
            <w:r>
              <w:rPr>
                <w:rFonts w:hint="default"/>
                <w:color w:val="000000" w:themeColor="text1"/>
                <w:kern w:val="44"/>
                <w:sz w:val="21"/>
                <w:szCs w:val="21"/>
                <w:lang w:bidi="ar"/>
                <w14:textFill>
                  <w14:solidFill>
                    <w14:schemeClr w14:val="tx1"/>
                  </w14:solidFill>
                </w14:textFill>
              </w:rPr>
              <w:t>Lacertidae</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243"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3"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both"/>
              <w:rPr>
                <w:rFonts w:hint="default"/>
                <w:color w:val="000000" w:themeColor="text1"/>
                <w:sz w:val="20"/>
                <w:szCs w:val="20"/>
                <w14:textFill>
                  <w14:solidFill>
                    <w14:schemeClr w14:val="tx1"/>
                  </w14:solidFill>
                </w14:textFill>
              </w:rPr>
            </w:pPr>
          </w:p>
        </w:tc>
        <w:tc>
          <w:tcPr>
            <w:tcW w:w="15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r>
              <w:rPr>
                <w:rFonts w:hint="default"/>
                <w:color w:val="000000" w:themeColor="text1"/>
                <w:kern w:val="44"/>
                <w:sz w:val="21"/>
                <w:szCs w:val="21"/>
                <w:lang w:bidi="ar"/>
                <w14:textFill>
                  <w14:solidFill>
                    <w14:schemeClr w14:val="tx1"/>
                  </w14:solidFill>
                </w14:textFill>
              </w:rPr>
              <w:t>Colubridae</w:t>
            </w:r>
          </w:p>
        </w:tc>
        <w:tc>
          <w:tcPr>
            <w:tcW w:w="71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w:t>
            </w:r>
          </w:p>
        </w:tc>
        <w:tc>
          <w:tcPr>
            <w:tcW w:w="1243"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473" w:type="pct"/>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龟鳖目</w:t>
            </w:r>
            <w:r>
              <w:rPr>
                <w:rFonts w:hint="default"/>
                <w:color w:val="000000" w:themeColor="text1"/>
                <w:kern w:val="44"/>
                <w:sz w:val="21"/>
                <w:szCs w:val="21"/>
                <w:lang w:bidi="ar"/>
                <w14:textFill>
                  <w14:solidFill>
                    <w14:schemeClr w14:val="tx1"/>
                  </w14:solidFill>
                </w14:textFill>
              </w:rPr>
              <w:t>Testudines</w:t>
            </w:r>
          </w:p>
        </w:tc>
        <w:tc>
          <w:tcPr>
            <w:tcW w:w="1572"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泽龟科</w:t>
            </w:r>
            <w:r>
              <w:rPr>
                <w:rFonts w:hint="default"/>
                <w:color w:val="000000" w:themeColor="text1"/>
                <w:kern w:val="44"/>
                <w:sz w:val="21"/>
                <w:szCs w:val="21"/>
                <w:lang w:bidi="ar"/>
                <w14:textFill>
                  <w14:solidFill>
                    <w14:schemeClr w14:val="tx1"/>
                  </w14:solidFill>
                </w14:textFill>
              </w:rPr>
              <w:t>Emydidae</w:t>
            </w:r>
          </w:p>
        </w:tc>
        <w:tc>
          <w:tcPr>
            <w:tcW w:w="712"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243" w:type="pct"/>
            <w:tcBorders>
              <w:top w:val="single" w:color="auto" w:sz="4" w:space="0"/>
              <w:left w:val="single" w:color="auto" w:sz="4" w:space="0"/>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8.3</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）物种组分分析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评价区爬行纲动物调查物种名录结果如下：</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2</w:t>
      </w:r>
      <w:r>
        <w:rPr>
          <w:rFonts w:hint="eastAsia" w:eastAsia="黑体"/>
          <w:color w:val="000000" w:themeColor="text1"/>
          <w:lang w:val="en-US" w:eastAsia="zh-CN"/>
          <w14:textFill>
            <w14:solidFill>
              <w14:schemeClr w14:val="tx1"/>
            </w14:solidFill>
          </w14:textFill>
        </w:rPr>
        <w:t>3</w:t>
      </w:r>
      <w:r>
        <w:rPr>
          <w:rFonts w:hint="eastAsia" w:eastAsia="黑体"/>
          <w:color w:val="000000" w:themeColor="text1"/>
          <w14:textFill>
            <w14:solidFill>
              <w14:schemeClr w14:val="tx1"/>
            </w14:solidFill>
          </w14:textFill>
        </w:rPr>
        <w:t>评价区爬行纲动物调查名录</w:t>
      </w:r>
    </w:p>
    <w:tbl>
      <w:tblPr>
        <w:tblStyle w:val="140"/>
        <w:tblW w:w="0" w:type="auto"/>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567"/>
        <w:gridCol w:w="1101"/>
        <w:gridCol w:w="1275"/>
        <w:gridCol w:w="871"/>
        <w:gridCol w:w="2531"/>
        <w:gridCol w:w="709"/>
        <w:gridCol w:w="724"/>
        <w:gridCol w:w="744"/>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序号</w:t>
            </w:r>
          </w:p>
        </w:tc>
        <w:tc>
          <w:tcPr>
            <w:tcW w:w="1101"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0"/>
                <w:szCs w:val="20"/>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1275"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0"/>
                <w:szCs w:val="20"/>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科名</w:t>
            </w:r>
          </w:p>
        </w:tc>
        <w:tc>
          <w:tcPr>
            <w:tcW w:w="871"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0"/>
                <w:szCs w:val="20"/>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种</w:t>
            </w:r>
          </w:p>
        </w:tc>
        <w:tc>
          <w:tcPr>
            <w:tcW w:w="2531"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0"/>
                <w:szCs w:val="20"/>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学名</w:t>
            </w:r>
          </w:p>
        </w:tc>
        <w:tc>
          <w:tcPr>
            <w:tcW w:w="709"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0"/>
                <w:szCs w:val="20"/>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外来物种</w:t>
            </w:r>
          </w:p>
        </w:tc>
        <w:tc>
          <w:tcPr>
            <w:tcW w:w="724"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0"/>
                <w:szCs w:val="20"/>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濒危等级</w:t>
            </w:r>
          </w:p>
        </w:tc>
        <w:tc>
          <w:tcPr>
            <w:tcW w:w="744" w:type="dxa"/>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0"/>
                <w:szCs w:val="20"/>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特有种</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壁虎科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Gekkonidae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蹼趾壁虎</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Gekkosubpalmatus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石龙子科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Scincidae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蓝尾石龙子</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Plestiodonelegans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石龙子科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Scincidae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铜蜓蜥</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Sphenomorphusindicus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蜥蜴科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Lacertidae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bookmarkStart w:id="447" w:name="_Hlk163983899"/>
            <w:r>
              <w:rPr>
                <w:rFonts w:hint="eastAsia" w:ascii="宋体" w:hAnsi="宋体" w:cs="宋体"/>
                <w:color w:val="000000" w:themeColor="text1"/>
                <w:kern w:val="44"/>
                <w:sz w:val="21"/>
                <w:szCs w:val="21"/>
                <w:lang w:bidi="ar"/>
                <w14:textFill>
                  <w14:solidFill>
                    <w14:schemeClr w14:val="tx1"/>
                  </w14:solidFill>
                </w14:textFill>
              </w:rPr>
              <w:t>北草蜥</w:t>
            </w:r>
            <w:bookmarkEnd w:id="447"/>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Takydromusseptentrionalis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Colubridae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乌华游蛇</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Trimerodytespercarinatus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Colubridae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翠青蛇</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Cyclophiopsmajor</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Colubridae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赤链蛇</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Lycodonrufozonatus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Colubridae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玉斑锦蛇</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Euprepiophismandarinus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Colubridae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bookmarkStart w:id="448" w:name="_Hlk163923224"/>
            <w:r>
              <w:rPr>
                <w:rFonts w:hint="eastAsia" w:ascii="宋体" w:hAnsi="宋体" w:cs="宋体"/>
                <w:color w:val="000000" w:themeColor="text1"/>
                <w:kern w:val="44"/>
                <w:sz w:val="21"/>
                <w:szCs w:val="21"/>
                <w:lang w:bidi="ar"/>
                <w14:textFill>
                  <w14:solidFill>
                    <w14:schemeClr w14:val="tx1"/>
                  </w14:solidFill>
                </w14:textFill>
              </w:rPr>
              <w:t>王锦蛇</w:t>
            </w:r>
            <w:bookmarkEnd w:id="448"/>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Elaphecarinata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VU</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Colubridae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乌梢蛇</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Ptyasdhumnades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VU</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11</w:t>
            </w:r>
          </w:p>
        </w:tc>
        <w:tc>
          <w:tcPr>
            <w:tcW w:w="11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游蛇科</w:t>
            </w:r>
          </w:p>
        </w:tc>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Colubridae</w:t>
            </w:r>
          </w:p>
        </w:tc>
        <w:tc>
          <w:tcPr>
            <w:tcW w:w="8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虎斑颈槽蛇</w:t>
            </w:r>
          </w:p>
        </w:tc>
        <w:tc>
          <w:tcPr>
            <w:tcW w:w="253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Rhabdophistigrinus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p>
        </w:tc>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7" w:type="dxa"/>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12</w:t>
            </w:r>
          </w:p>
        </w:tc>
        <w:tc>
          <w:tcPr>
            <w:tcW w:w="1101"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泽龟科</w:t>
            </w:r>
          </w:p>
        </w:tc>
        <w:tc>
          <w:tcPr>
            <w:tcW w:w="1275"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Emydidae</w:t>
            </w:r>
          </w:p>
        </w:tc>
        <w:tc>
          <w:tcPr>
            <w:tcW w:w="871"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彩龟红耳亚种</w:t>
            </w:r>
          </w:p>
        </w:tc>
        <w:tc>
          <w:tcPr>
            <w:tcW w:w="2531"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i/>
                <w:iCs/>
                <w:color w:val="000000" w:themeColor="text1"/>
                <w:kern w:val="44"/>
                <w:sz w:val="21"/>
                <w:szCs w:val="21"/>
                <w14:textFill>
                  <w14:solidFill>
                    <w14:schemeClr w14:val="tx1"/>
                  </w14:solidFill>
                </w14:textFill>
              </w:rPr>
            </w:pPr>
            <w:r>
              <w:rPr>
                <w:rFonts w:hint="default" w:eastAsia="等线"/>
                <w:i/>
                <w:iCs/>
                <w:color w:val="000000" w:themeColor="text1"/>
                <w:kern w:val="44"/>
                <w:sz w:val="21"/>
                <w:szCs w:val="21"/>
                <w:lang w:bidi="ar"/>
                <w14:textFill>
                  <w14:solidFill>
                    <w14:schemeClr w14:val="tx1"/>
                  </w14:solidFill>
                </w14:textFill>
              </w:rPr>
              <w:t>Trachemysscripta elegans</w:t>
            </w:r>
          </w:p>
        </w:tc>
        <w:tc>
          <w:tcPr>
            <w:tcW w:w="709"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c>
          <w:tcPr>
            <w:tcW w:w="724" w:type="dxa"/>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44" w:type="dxa"/>
            <w:tcBorders>
              <w:top w:val="single" w:color="auto" w:sz="4" w:space="0"/>
              <w:left w:val="single" w:color="auto" w:sz="4" w:space="0"/>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color w:val="000000" w:themeColor="text1"/>
                <w:kern w:val="44"/>
                <w:sz w:val="21"/>
                <w:szCs w:val="21"/>
                <w14:textFill>
                  <w14:solidFill>
                    <w14:schemeClr w14:val="tx1"/>
                  </w14:solidFill>
                </w14:textFill>
              </w:rPr>
            </w:pPr>
          </w:p>
        </w:tc>
      </w:tr>
    </w:tbl>
    <w:p>
      <w:pPr>
        <w:spacing w:line="360" w:lineRule="auto"/>
        <w:ind w:firstLine="480" w:firstLineChars="200"/>
        <w:jc w:val="both"/>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由上表可知，根据《中国生物多样性红色名录—脊椎动物卷（</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）》，评价区内的爬行动物中，濒危等级被列为近危（</w:t>
      </w:r>
      <w:r>
        <w:rPr>
          <w:color w:val="000000" w:themeColor="text1"/>
          <w:sz w:val="24"/>
          <w:szCs w:val="24"/>
          <w:lang w:bidi="ar"/>
          <w14:textFill>
            <w14:solidFill>
              <w14:schemeClr w14:val="tx1"/>
            </w14:solidFill>
          </w14:textFill>
        </w:rPr>
        <w:t>NT</w:t>
      </w:r>
      <w:r>
        <w:rPr>
          <w:rFonts w:hint="eastAsia" w:ascii="宋体" w:hAnsi="宋体" w:cs="宋体"/>
          <w:color w:val="000000" w:themeColor="text1"/>
          <w:sz w:val="24"/>
          <w:szCs w:val="24"/>
          <w:lang w:bidi="ar"/>
          <w14:textFill>
            <w14:solidFill>
              <w14:schemeClr w14:val="tx1"/>
            </w14:solidFill>
          </w14:textFill>
        </w:rPr>
        <w:t>）的有乌华游蛇和玉斑锦蛇</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种，列为易危（</w:t>
      </w:r>
      <w:r>
        <w:rPr>
          <w:color w:val="000000" w:themeColor="text1"/>
          <w:sz w:val="24"/>
          <w:szCs w:val="24"/>
          <w:lang w:bidi="ar"/>
          <w14:textFill>
            <w14:solidFill>
              <w14:schemeClr w14:val="tx1"/>
            </w14:solidFill>
          </w14:textFill>
        </w:rPr>
        <w:t>VU</w:t>
      </w:r>
      <w:r>
        <w:rPr>
          <w:rFonts w:hint="eastAsia" w:ascii="宋体" w:hAnsi="宋体" w:cs="宋体"/>
          <w:color w:val="000000" w:themeColor="text1"/>
          <w:sz w:val="24"/>
          <w:szCs w:val="24"/>
          <w:lang w:bidi="ar"/>
          <w14:textFill>
            <w14:solidFill>
              <w14:schemeClr w14:val="tx1"/>
            </w14:solidFill>
          </w14:textFill>
        </w:rPr>
        <w:t>）的有王锦蛇和乌梢蛇</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种；另外，评价区爬行纲的中国特有种有北草蜥</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种；外来入侵物种有红耳彩龟</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种。</w:t>
      </w:r>
    </w:p>
    <w:p>
      <w:pPr>
        <w:spacing w:line="360" w:lineRule="auto"/>
        <w:jc w:val="both"/>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3.2.6.3.4鸟纲</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）物种组成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根据相关文献资料，成都平原上空有鸟类迁徙通道过境，评价区内生态环境质量状况较好，易吸引迁徙鸟类停留休憩，鸟类分布数量较多。因此，根据历史资料与现状调查结果，总结得出以下分析结果。</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评价区鸟类分布种类及数量，根据野外调查和文献，确认共分布有</w:t>
      </w:r>
      <w:r>
        <w:rPr>
          <w:color w:val="000000" w:themeColor="text1"/>
          <w:sz w:val="24"/>
          <w:szCs w:val="24"/>
          <w:lang w:bidi="ar"/>
          <w14:textFill>
            <w14:solidFill>
              <w14:schemeClr w14:val="tx1"/>
            </w14:solidFill>
          </w14:textFill>
        </w:rPr>
        <w:t>14</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31</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111</w:t>
      </w:r>
      <w:r>
        <w:rPr>
          <w:rFonts w:hint="eastAsia" w:ascii="宋体" w:hAnsi="宋体" w:cs="宋体"/>
          <w:color w:val="000000" w:themeColor="text1"/>
          <w:sz w:val="24"/>
          <w:szCs w:val="24"/>
          <w:lang w:bidi="ar"/>
          <w14:textFill>
            <w14:solidFill>
              <w14:schemeClr w14:val="tx1"/>
            </w14:solidFill>
          </w14:textFill>
        </w:rPr>
        <w:t>种鸟类。</w:t>
      </w:r>
    </w:p>
    <w:p>
      <w:pPr>
        <w:pStyle w:val="34"/>
        <w:widowControl w:val="0"/>
        <w:spacing w:before="0" w:beforeAutospacing="0" w:after="0" w:afterAutospacing="0"/>
        <w:ind w:left="440" w:hanging="44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2</w:t>
      </w:r>
      <w:r>
        <w:rPr>
          <w:rFonts w:hint="eastAsia" w:eastAsia="黑体"/>
          <w:color w:val="000000" w:themeColor="text1"/>
          <w:lang w:val="en-US" w:eastAsia="zh-CN"/>
          <w14:textFill>
            <w14:solidFill>
              <w14:schemeClr w14:val="tx1"/>
            </w14:solidFill>
          </w14:textFill>
        </w:rPr>
        <w:t>3</w:t>
      </w:r>
      <w:r>
        <w:rPr>
          <w:rFonts w:hint="eastAsia" w:eastAsia="黑体"/>
          <w:color w:val="000000" w:themeColor="text1"/>
          <w14:textFill>
            <w14:solidFill>
              <w14:schemeClr w14:val="tx1"/>
            </w14:solidFill>
          </w14:textFill>
        </w:rPr>
        <w:t>评价区鸟纲动物物种组成</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900"/>
        <w:gridCol w:w="2815"/>
        <w:gridCol w:w="1023"/>
        <w:gridCol w:w="1784"/>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目</w:t>
            </w:r>
          </w:p>
        </w:tc>
        <w:tc>
          <w:tcPr>
            <w:tcW w:w="1651"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600"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物种数</w:t>
            </w:r>
          </w:p>
        </w:tc>
        <w:tc>
          <w:tcPr>
            <w:tcW w:w="1046" w:type="pct"/>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占总种数的</w:t>
            </w:r>
            <w:r>
              <w:rPr>
                <w:rFonts w:hint="default"/>
                <w:b/>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Accipitriformes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Accipitridae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Anseriformes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Anatidae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18</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16.22%</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犀鸟目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Bucerotiformes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戴胜科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Upupidae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0.90%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鸻形目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Charadriiformes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鹬科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Scolopacidae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鸽形目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Columbiformes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鸠鸽科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Columbidae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佛法僧目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Coraciiformes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翠鸟科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Alcedinidae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0.90%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鹃形目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Cuculiformes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杜鹃科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Cuculidae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隼形目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Falconiformes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隼科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Falconidae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0.90%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鸡形目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Galliformes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雉科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Phasianidae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鹤形目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Gruiformes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秧鸡科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Rallidae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restar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Passeriformes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长尾山雀科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Aegithalidae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0.90%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鸦科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Corvidae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鹀科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Emberizidae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梅花雀科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Estrildidae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Fringillidae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5.41%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Hirundinidae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伯劳科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Lanius</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噪鹛科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Leiothrichidae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鹡鸰科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Motacillidae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3.60%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Muscicapidae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11</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9.91%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花蜜鸟科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Nectariniidae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山雀科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Paridae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Passeridae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柳莺科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Phylloscopidae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4.50%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鹎科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Pycnonotidae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玉鹟科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Stenostiridae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0.90%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椋鸟科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Sturnidae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sz w:val="20"/>
                <w:szCs w:val="20"/>
                <w14:textFill>
                  <w14:solidFill>
                    <w14:schemeClr w14:val="tx1"/>
                  </w14:solidFill>
                </w14:textFill>
              </w:rPr>
            </w:pP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鸫科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Turdidae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5.41%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Pelecaniformes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Ardeidae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7.21%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啄木鸟目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Piciformes</w:t>
            </w:r>
          </w:p>
        </w:tc>
        <w:tc>
          <w:tcPr>
            <w:tcW w:w="165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啄木鸟科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Picidae</w:t>
            </w:r>
          </w:p>
        </w:tc>
        <w:tc>
          <w:tcPr>
            <w:tcW w:w="6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046"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1.80%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1" w:type="pct"/>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䴙䴘目</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Podicipediformess</w:t>
            </w:r>
          </w:p>
        </w:tc>
        <w:tc>
          <w:tcPr>
            <w:tcW w:w="1651"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䴙䴘科</w:t>
            </w:r>
            <w:r>
              <w:rPr>
                <w:rFonts w:hint="default"/>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Podicipedidae</w:t>
            </w:r>
          </w:p>
        </w:tc>
        <w:tc>
          <w:tcPr>
            <w:tcW w:w="600"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1046" w:type="pct"/>
            <w:tcBorders>
              <w:top w:val="single" w:color="auto" w:sz="4" w:space="0"/>
              <w:left w:val="single" w:color="auto" w:sz="4" w:space="0"/>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2"/>
                <w:szCs w:val="22"/>
                <w:lang w:bidi="ar"/>
                <w14:textFill>
                  <w14:solidFill>
                    <w14:schemeClr w14:val="tx1"/>
                  </w14:solidFill>
                </w14:textFill>
              </w:rPr>
              <w:t>2.70%</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）物种组分分析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根据评价区历史资料与现状调查结果，参考《中国生物多样性红色名录</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脊椎动物卷（</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）》、《世界自然保护联盟濒危物种红色名录》、《国家重点保护野生动物名录》、《中国鸟类分类与分布名录第</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版》等资料，分析总结出以下调查结果。</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评价区鸟类生物调查物种名录结果见下表：</w:t>
      </w:r>
    </w:p>
    <w:p>
      <w:pPr>
        <w:rPr>
          <w:color w:val="000000" w:themeColor="text1"/>
          <w:sz w:val="24"/>
          <w:szCs w:val="24"/>
          <w14:textFill>
            <w14:solidFill>
              <w14:schemeClr w14:val="tx1"/>
            </w14:solidFill>
          </w14:textFill>
        </w:rPr>
        <w:sectPr>
          <w:headerReference r:id="rId12" w:type="default"/>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2</w:t>
      </w:r>
      <w:r>
        <w:rPr>
          <w:rFonts w:hint="eastAsia" w:eastAsia="黑体"/>
          <w:color w:val="000000" w:themeColor="text1"/>
          <w:lang w:val="en-US" w:eastAsia="zh-CN"/>
          <w14:textFill>
            <w14:solidFill>
              <w14:schemeClr w14:val="tx1"/>
            </w14:solidFill>
          </w14:textFill>
        </w:rPr>
        <w:t>4</w:t>
      </w:r>
      <w:r>
        <w:rPr>
          <w:rFonts w:hint="eastAsia" w:eastAsia="黑体"/>
          <w:color w:val="000000" w:themeColor="text1"/>
          <w14:textFill>
            <w14:solidFill>
              <w14:schemeClr w14:val="tx1"/>
            </w14:solidFill>
          </w14:textFill>
        </w:rPr>
        <w:t>评价区鸟纲动物调查名录</w:t>
      </w:r>
    </w:p>
    <w:tbl>
      <w:tblPr>
        <w:tblStyle w:val="140"/>
        <w:tblW w:w="14202" w:type="dxa"/>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591"/>
        <w:gridCol w:w="1077"/>
        <w:gridCol w:w="1842"/>
        <w:gridCol w:w="1276"/>
        <w:gridCol w:w="1701"/>
        <w:gridCol w:w="1559"/>
        <w:gridCol w:w="2552"/>
        <w:gridCol w:w="709"/>
        <w:gridCol w:w="708"/>
        <w:gridCol w:w="426"/>
        <w:gridCol w:w="425"/>
        <w:gridCol w:w="453"/>
        <w:gridCol w:w="883"/>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序号</w:t>
            </w:r>
          </w:p>
        </w:tc>
        <w:tc>
          <w:tcPr>
            <w:tcW w:w="1077"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目</w:t>
            </w:r>
          </w:p>
        </w:tc>
        <w:tc>
          <w:tcPr>
            <w:tcW w:w="1842"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目名</w:t>
            </w:r>
          </w:p>
        </w:tc>
        <w:tc>
          <w:tcPr>
            <w:tcW w:w="1276"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1701"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科名</w:t>
            </w:r>
          </w:p>
        </w:tc>
        <w:tc>
          <w:tcPr>
            <w:tcW w:w="1559"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种</w:t>
            </w:r>
          </w:p>
        </w:tc>
        <w:tc>
          <w:tcPr>
            <w:tcW w:w="2552"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学名</w:t>
            </w:r>
          </w:p>
        </w:tc>
        <w:tc>
          <w:tcPr>
            <w:tcW w:w="709"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濒危等级</w:t>
            </w:r>
          </w:p>
        </w:tc>
        <w:tc>
          <w:tcPr>
            <w:tcW w:w="708"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保护动物</w:t>
            </w:r>
          </w:p>
        </w:tc>
        <w:tc>
          <w:tcPr>
            <w:tcW w:w="426"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特有种</w:t>
            </w:r>
          </w:p>
        </w:tc>
        <w:tc>
          <w:tcPr>
            <w:tcW w:w="425"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居留型</w:t>
            </w:r>
          </w:p>
        </w:tc>
        <w:tc>
          <w:tcPr>
            <w:tcW w:w="453" w:type="dxa"/>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eastAsia="等线"/>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区系</w:t>
            </w:r>
          </w:p>
        </w:tc>
        <w:tc>
          <w:tcPr>
            <w:tcW w:w="883" w:type="dxa"/>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s="宋体"/>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备注</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Accipitriformes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Accipitridae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凤头鹰</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Accipiter trivirgatus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Accipitriformes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Accipitridae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松雀鹰</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Accipiter virgatus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Accipitriformes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鹰科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Accipitridae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白尾鹞</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Circus cyaneus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鸳鸯</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Aix galericulata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针尾鸭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Anas acuta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绿翅鸭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Anas crecca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绿头鸭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Anas platyrhynchos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斑嘴鸭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Anas zonorhyncha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灰雁</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Anser anser</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红头潜鸭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Aythya ferina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凤头潜鸭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Aythya fuligula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白眼潜鸭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Aythya nyroca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罗纹鸭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Mareca falcata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赤颈鸭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Mareca penelope</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赤膀鸭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Mareca strepera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斑头秋沙鸭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Mergus albellus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赤嘴潜鸭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Netta rufina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棉凫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Nettapus coromandelianus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EN</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琵嘴鸭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Spatula clypeata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赤麻鸭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Tadorna ferruginea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雁形目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Anatidae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青头潜鸭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Aythya baeri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CR</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一级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犀鸟目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Bucerotiformes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戴胜科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Upupidae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戴胜</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Upupa epops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鸻形目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Charadriiformes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鹬科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Scolopacidae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白腰草鹬</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Tringa ochropus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鸻形目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Charadriiformes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鹬科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Scolopacidae</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泽鹬</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Tringa stagnatilis Bechstein</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鸽形目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Columbiformes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鸠鸽科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Columbidae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珠颈斑鸠</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Spilopelia chinensis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鸽形目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Columbiformes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鸠鸽科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Columbidae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山斑鸠</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Streptopelia orientalis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佛法僧目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Coraciiformes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翠鸟科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Alcedinidae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普通翠鸟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Alcedo atthis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鹃形目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Cuculiformes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杜鹃科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Cuculidae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大杜鹃</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Cuculus canorus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29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鹃形目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Cuculiformes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杜鹃科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Cuculidae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噪鹃</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Eudynamys scolopaceus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鹃形目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Cuculiformes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杜鹃科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Cuculidae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大鹰鹃</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Hierococcyx sparverioides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隼形目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Falconiformes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隼科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Falconidae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燕隼</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Falco subbuteo</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鸡形目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Galliformes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雉科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Phasianidae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灰胸竹鸡</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Bambusicola thoracicus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鸡形目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Galliformes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雉科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Phasianidae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环颈雉</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Phasianus colchicus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鹤形目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Gruiformes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秧鸡科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Rallidae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白骨顶</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Fulica atra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鹤形目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Gruiformes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秧鸡科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Rallidae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黑水鸡</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Gallinula chloropus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长尾山雀科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Aegithalidae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红头长尾山雀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Aegithalos concinnus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鸦科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Corvidae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灰喜鹊</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Cyanopica cyanus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鸦科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Corvidae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喜鹊</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Pica serica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39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鸦科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Corvidae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红嘴蓝鹊</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Urocissa erythroryncha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Emberizidae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黄喉鹀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Emberiza elegans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Emberizidae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小鹀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Emberiza pusilla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Emberizidae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灰头鹀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Emberiza spodocephala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梅花雀科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Estrildidae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斑文鸟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Lonchura punctulata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梅花雀科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Estrildidae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白腰文鸟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Lonchura striata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Fringillidae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普通朱雀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Carpodacus erythrinus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Fringillidae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金翅雀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Chloris sinica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Fringillidae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黑尾蜡嘴雀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Eophona migratoria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Fringillidae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黑头蜡嘴雀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Eophona personata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49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Fringillidae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Fringilla montifringilla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Fringillidae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Spinus spinus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Hirundinidae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金腰燕</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Cecropis daurica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Hirundinidae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家燕</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Hirundo rustica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燕科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Hirundinidae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淡色崖沙燕</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Riparia diluta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伯劳科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Lanius</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棕背伯劳</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Lanius schach</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伯劳科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Lanius</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虎纹伯劳</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Lanius tigrinus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噪鹛科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Leiothrichidae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蓝翅希鹛</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Actinodura cyanouroptera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噪鹛科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Leiothrichidae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红嘴相思鸟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Leiothrix lutea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噪鹛科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Leiothrichidae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白颊噪鹛</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Pterorhinus sannio</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59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鹡鸰科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Motacillidae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树鹨</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Anthus hodgsoni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鹡鸰科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Motacillidae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田鹨</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Anthus richardi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鹡鸰科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Motacillidae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白鹡鸰</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Motacilla alba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鹡鸰科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Motacillidae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灰鹡鸰</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Motacilla cinerea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鹊鸲</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Copsychus saularis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红喉姬鹟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Ficedula albicilla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红胸姬鹟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Ficedula parva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DD</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栗腹矶鸫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Monticola rufiventris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北红尾鸲</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Phoenicurus auroreus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蓝额红尾鸲</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Phoenicurus frontalis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69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红尾水鸲</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Phoenicurus fuliginosus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黑喉红尾鸲</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Phoenicurus hodgsoni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灰林䳭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Saxicola ferreus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红胁蓝尾鸲</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Tarsiger cyanurus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Muscicapidae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蓝眉林鸲</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Tarsiger rufilatus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花蜜鸟科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Nectariniidae </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叉尾太阳鸟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Aethopyga christinae</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花蜜鸟科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Nectariniidae </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蓝喉太阳鸟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Aethopyga gouldiae</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黄腹山雀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Pardaliparus venustulus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是</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大山雀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Parus minor</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绿背山雀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Parus monticolus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79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山麻雀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Passer cinnamomeus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家麻雀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Passer domesticus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麻雀</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Passer montanus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柳莺科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Phylloscopidae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黄眉柳莺</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Phylloscopus inornatus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柳莺科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Phylloscopidae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灰喉柳莺</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Phylloscopus maculipennis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柳莺科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Phylloscopidae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黄腰柳莺</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Phylloscopus proregulus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柳莺科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Phylloscopidae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橙斑翅柳莺</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Phylloscopus pulcher</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柳莺科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Phylloscopidae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棕腹柳莺</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Phylloscopus subaffinis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鹎科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Pycnonotidae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白头鹎</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Pycnonotus sinensis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鹎科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Pycnonotidae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黄臀鹎</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Pycnonotus xanthorrhous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89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鹎科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Pycnonotidae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领雀嘴鹎</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Spizixos semitorques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玉鹟科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Stenostiridae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方尾鹟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Culicicapa ceylonensis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椋鸟科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Sturnidae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灰椋鸟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Spodiopsar cineraceus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椋鸟科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Sturnidae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丝光椋鸟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Spodiopsar sericeus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鸫科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Turdidae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灰翅鸫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Turdus boulboul</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鸫科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Turdidae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斑鸫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Turdus eunomus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冬候鸟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鸫科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Turdidae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乌鸫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Turdus mandarinus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鸫科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Turdidae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红尾斑鸫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Turdus naumanni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鸫科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Turdidae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灰头鸫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Turdus rubrocanus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雀形目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Passeriformes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鸫科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Turdidae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长尾地鸫</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Zoothera dixoni</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99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大白鹭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Ardea alba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苍鹭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Ardea cinerea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中白鹭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Ardea intermedia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102</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池鹭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Ardeola bacchus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103</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牛背鹭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Bubulcus coromandus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104</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白鹭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Egretta garzetta</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105</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黄斑苇鳽</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Ixobrychus sinensis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106</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鹈形目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Pelecaniformes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鹭科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Ardeidae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夜鹭</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Nycticorax nycticorax</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107</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啄木鸟目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Piciformes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啄木鸟科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Picidae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斑姬啄木鸟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Picumnus innominatus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东</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108</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啄木鸟目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Piciformes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啄木鸟科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Picidae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灰头绿啄木鸟</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Picus canus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109</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Podicipediformess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Podicipedidae</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角䴙䴘</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Podiceps auritus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古</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旅鸟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110</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Podicipediformess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Podicipedidae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黑颈䴙䴘</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Podiceps nigricollis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NT</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二级</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S</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夏候鸟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1" w:type="dxa"/>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111</w:t>
            </w:r>
          </w:p>
        </w:tc>
        <w:tc>
          <w:tcPr>
            <w:tcW w:w="1077"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䴙䴘目</w:t>
            </w:r>
          </w:p>
        </w:tc>
        <w:tc>
          <w:tcPr>
            <w:tcW w:w="184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Podicipediformess</w:t>
            </w:r>
          </w:p>
        </w:tc>
        <w:tc>
          <w:tcPr>
            <w:tcW w:w="12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䴙䴘科</w:t>
            </w:r>
          </w:p>
        </w:tc>
        <w:tc>
          <w:tcPr>
            <w:tcW w:w="170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Podicipedidae</w:t>
            </w:r>
          </w:p>
        </w:tc>
        <w:tc>
          <w:tcPr>
            <w:tcW w:w="155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小䴙䴘</w:t>
            </w:r>
          </w:p>
        </w:tc>
        <w:tc>
          <w:tcPr>
            <w:tcW w:w="2552"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等线" w:cs="Times New Roman"/>
                <w:i/>
                <w:iCs/>
                <w:color w:val="000000" w:themeColor="text1"/>
                <w:kern w:val="44"/>
                <w:sz w:val="21"/>
                <w:szCs w:val="21"/>
                <w:lang w:val="en-US" w:eastAsia="zh-CN" w:bidi="ar-SA"/>
                <w14:textFill>
                  <w14:solidFill>
                    <w14:schemeClr w14:val="tx1"/>
                  </w14:solidFill>
                </w14:textFill>
              </w:rPr>
            </w:pPr>
            <w:r>
              <w:rPr>
                <w:rFonts w:hint="default" w:eastAsia="等线"/>
                <w:i/>
                <w:iCs/>
                <w:color w:val="000000" w:themeColor="text1"/>
                <w14:textFill>
                  <w14:solidFill>
                    <w14:schemeClr w14:val="tx1"/>
                  </w14:solidFill>
                </w14:textFill>
              </w:rPr>
              <w:t>Tachybaptus ruficollis</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LC</w:t>
            </w:r>
          </w:p>
        </w:tc>
        <w:tc>
          <w:tcPr>
            <w:tcW w:w="708"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6" w:type="dxa"/>
            <w:tcBorders>
              <w:top w:val="single" w:color="auto" w:sz="4" w:space="0"/>
              <w:left w:val="single" w:color="auto" w:sz="4" w:space="0"/>
              <w:bottom w:val="single" w:color="auto" w:sz="4" w:space="0"/>
              <w:right w:val="single" w:color="auto" w:sz="4" w:space="0"/>
            </w:tcBorders>
            <w:shd w:val="clear" w:color="auto" w:fill="auto"/>
            <w:noWrap/>
            <w:vAlign w:val="top"/>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0"/>
                <w:szCs w:val="20"/>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w:t>
            </w:r>
          </w:p>
        </w:tc>
        <w:tc>
          <w:tcPr>
            <w:tcW w:w="42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default" w:eastAsia="等线"/>
                <w:color w:val="000000" w:themeColor="text1"/>
                <w:kern w:val="44"/>
                <w:sz w:val="21"/>
                <w:szCs w:val="21"/>
                <w:lang w:bidi="ar"/>
                <w14:textFill>
                  <w14:solidFill>
                    <w14:schemeClr w14:val="tx1"/>
                  </w14:solidFill>
                </w14:textFill>
              </w:rPr>
              <w:t>R</w:t>
            </w:r>
          </w:p>
        </w:tc>
        <w:tc>
          <w:tcPr>
            <w:tcW w:w="45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eastAsia="等线"/>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广</w:t>
            </w:r>
          </w:p>
        </w:tc>
        <w:tc>
          <w:tcPr>
            <w:tcW w:w="883" w:type="dxa"/>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s="宋体"/>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留鸟</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02" w:type="dxa"/>
            <w:gridSpan w:val="13"/>
            <w:tcBorders>
              <w:top w:val="single" w:color="auto" w:sz="4" w:space="0"/>
              <w:left w:val="nil"/>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b/>
                <w:bCs/>
                <w:color w:val="000000" w:themeColor="text1"/>
                <w:kern w:val="44"/>
                <w:sz w:val="21"/>
                <w:szCs w:val="21"/>
                <w:lang w:bidi="ar"/>
                <w14:textFill>
                  <w14:solidFill>
                    <w14:schemeClr w14:val="tx1"/>
                  </w14:solidFill>
                </w14:textFill>
              </w:rPr>
              <w:t>注：</w:t>
            </w:r>
            <w:bookmarkStart w:id="449" w:name="_Hlk163987019"/>
            <w:r>
              <w:rPr>
                <w:rFonts w:hint="eastAsia" w:ascii="宋体" w:hAnsi="宋体" w:cs="宋体"/>
                <w:color w:val="000000" w:themeColor="text1"/>
                <w:kern w:val="44"/>
                <w:sz w:val="21"/>
                <w:szCs w:val="21"/>
                <w:lang w:bidi="ar"/>
                <w14:textFill>
                  <w14:solidFill>
                    <w14:schemeClr w14:val="tx1"/>
                  </w14:solidFill>
                </w14:textFill>
              </w:rPr>
              <w:t>濒危等级：无危（</w:t>
            </w:r>
            <w:r>
              <w:rPr>
                <w:rFonts w:hint="default"/>
                <w:color w:val="000000" w:themeColor="text1"/>
                <w:kern w:val="44"/>
                <w:sz w:val="21"/>
                <w:szCs w:val="21"/>
                <w:lang w:bidi="ar"/>
                <w14:textFill>
                  <w14:solidFill>
                    <w14:schemeClr w14:val="tx1"/>
                  </w14:solidFill>
                </w14:textFill>
              </w:rPr>
              <w:t>LC</w:t>
            </w:r>
            <w:r>
              <w:rPr>
                <w:rFonts w:hint="eastAsia" w:ascii="宋体" w:hAnsi="宋体" w:cs="宋体"/>
                <w:color w:val="000000" w:themeColor="text1"/>
                <w:kern w:val="44"/>
                <w:sz w:val="21"/>
                <w:szCs w:val="21"/>
                <w:lang w:bidi="ar"/>
                <w14:textFill>
                  <w14:solidFill>
                    <w14:schemeClr w14:val="tx1"/>
                  </w14:solidFill>
                </w14:textFill>
              </w:rPr>
              <w:t>）、近危（</w:t>
            </w:r>
            <w:r>
              <w:rPr>
                <w:rFonts w:hint="default"/>
                <w:color w:val="000000" w:themeColor="text1"/>
                <w:kern w:val="44"/>
                <w:sz w:val="21"/>
                <w:szCs w:val="21"/>
                <w:lang w:bidi="ar"/>
                <w14:textFill>
                  <w14:solidFill>
                    <w14:schemeClr w14:val="tx1"/>
                  </w14:solidFill>
                </w14:textFill>
              </w:rPr>
              <w:t>NT</w:t>
            </w:r>
            <w:r>
              <w:rPr>
                <w:rFonts w:hint="eastAsia" w:ascii="宋体" w:hAnsi="宋体" w:cs="宋体"/>
                <w:color w:val="000000" w:themeColor="text1"/>
                <w:kern w:val="44"/>
                <w:sz w:val="21"/>
                <w:szCs w:val="21"/>
                <w:lang w:bidi="ar"/>
                <w14:textFill>
                  <w14:solidFill>
                    <w14:schemeClr w14:val="tx1"/>
                  </w14:solidFill>
                </w14:textFill>
              </w:rPr>
              <w:t>）、易危（</w:t>
            </w:r>
            <w:r>
              <w:rPr>
                <w:rFonts w:hint="default"/>
                <w:color w:val="000000" w:themeColor="text1"/>
                <w:kern w:val="44"/>
                <w:sz w:val="21"/>
                <w:szCs w:val="21"/>
                <w:lang w:bidi="ar"/>
                <w14:textFill>
                  <w14:solidFill>
                    <w14:schemeClr w14:val="tx1"/>
                  </w14:solidFill>
                </w14:textFill>
              </w:rPr>
              <w:t>VU</w:t>
            </w:r>
            <w:r>
              <w:rPr>
                <w:rFonts w:hint="eastAsia" w:ascii="宋体" w:hAnsi="宋体" w:cs="宋体"/>
                <w:color w:val="000000" w:themeColor="text1"/>
                <w:kern w:val="44"/>
                <w:sz w:val="21"/>
                <w:szCs w:val="21"/>
                <w:lang w:bidi="ar"/>
                <w14:textFill>
                  <w14:solidFill>
                    <w14:schemeClr w14:val="tx1"/>
                  </w14:solidFill>
                </w14:textFill>
              </w:rPr>
              <w:t>）、</w:t>
            </w:r>
            <w:bookmarkEnd w:id="449"/>
            <w:bookmarkStart w:id="450" w:name="_Hlk163993975"/>
            <w:r>
              <w:rPr>
                <w:rFonts w:hint="eastAsia" w:ascii="宋体" w:hAnsi="宋体" w:cs="宋体"/>
                <w:color w:val="000000" w:themeColor="text1"/>
                <w:kern w:val="44"/>
                <w:sz w:val="21"/>
                <w:szCs w:val="21"/>
                <w:lang w:bidi="ar"/>
                <w14:textFill>
                  <w14:solidFill>
                    <w14:schemeClr w14:val="tx1"/>
                  </w14:solidFill>
                </w14:textFill>
              </w:rPr>
              <w:t>濒危（</w:t>
            </w:r>
            <w:r>
              <w:rPr>
                <w:rFonts w:hint="default"/>
                <w:color w:val="000000" w:themeColor="text1"/>
                <w:kern w:val="44"/>
                <w:sz w:val="21"/>
                <w:szCs w:val="21"/>
                <w:lang w:bidi="ar"/>
                <w14:textFill>
                  <w14:solidFill>
                    <w14:schemeClr w14:val="tx1"/>
                  </w14:solidFill>
                </w14:textFill>
              </w:rPr>
              <w:t>EN</w:t>
            </w:r>
            <w:r>
              <w:rPr>
                <w:rFonts w:hint="eastAsia" w:ascii="宋体" w:hAnsi="宋体" w:cs="宋体"/>
                <w:color w:val="000000" w:themeColor="text1"/>
                <w:kern w:val="44"/>
                <w:sz w:val="21"/>
                <w:szCs w:val="21"/>
                <w:lang w:bidi="ar"/>
                <w14:textFill>
                  <w14:solidFill>
                    <w14:schemeClr w14:val="tx1"/>
                  </w14:solidFill>
                </w14:textFill>
              </w:rPr>
              <w:t>）</w:t>
            </w:r>
            <w:bookmarkEnd w:id="450"/>
            <w:r>
              <w:rPr>
                <w:rFonts w:hint="eastAsia" w:ascii="宋体" w:hAnsi="宋体" w:cs="宋体"/>
                <w:color w:val="000000" w:themeColor="text1"/>
                <w:kern w:val="44"/>
                <w:sz w:val="21"/>
                <w:szCs w:val="21"/>
                <w:lang w:bidi="ar"/>
                <w14:textFill>
                  <w14:solidFill>
                    <w14:schemeClr w14:val="tx1"/>
                  </w14:solidFill>
                </w14:textFill>
              </w:rPr>
              <w:t>、极危（</w:t>
            </w:r>
            <w:r>
              <w:rPr>
                <w:rFonts w:hint="default"/>
                <w:color w:val="000000" w:themeColor="text1"/>
                <w:kern w:val="44"/>
                <w:sz w:val="21"/>
                <w:szCs w:val="21"/>
                <w:lang w:bidi="ar"/>
                <w14:textFill>
                  <w14:solidFill>
                    <w14:schemeClr w14:val="tx1"/>
                  </w14:solidFill>
                </w14:textFill>
              </w:rPr>
              <w:t>CR</w:t>
            </w:r>
            <w:r>
              <w:rPr>
                <w:rFonts w:hint="eastAsia" w:ascii="宋体" w:hAnsi="宋体" w:cs="宋体"/>
                <w:color w:val="000000" w:themeColor="text1"/>
                <w:kern w:val="44"/>
                <w:sz w:val="21"/>
                <w:szCs w:val="21"/>
                <w:lang w:bidi="ar"/>
                <w14:textFill>
                  <w14:solidFill>
                    <w14:schemeClr w14:val="tx1"/>
                  </w14:solidFill>
                </w14:textFill>
              </w:rPr>
              <w:t>）、数据缺乏（</w:t>
            </w:r>
            <w:r>
              <w:rPr>
                <w:rFonts w:hint="default"/>
                <w:color w:val="000000" w:themeColor="text1"/>
                <w:kern w:val="44"/>
                <w:sz w:val="21"/>
                <w:szCs w:val="21"/>
                <w:lang w:bidi="ar"/>
                <w14:textFill>
                  <w14:solidFill>
                    <w14:schemeClr w14:val="tx1"/>
                  </w14:solidFill>
                </w14:textFill>
              </w:rPr>
              <w:t>DD</w:t>
            </w:r>
            <w:r>
              <w:rPr>
                <w:rFonts w:hint="eastAsia" w:ascii="宋体" w:hAnsi="宋体" w:cs="宋体"/>
                <w:color w:val="000000" w:themeColor="text1"/>
                <w:kern w:val="44"/>
                <w:sz w:val="21"/>
                <w:szCs w:val="21"/>
                <w:lang w:bidi="ar"/>
                <w14:textFill>
                  <w14:solidFill>
                    <w14:schemeClr w14:val="tx1"/>
                  </w14:solidFill>
                </w14:textFill>
              </w:rPr>
              <w:t>）。</w:t>
            </w:r>
          </w:p>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居留型：</w:t>
            </w:r>
            <w:r>
              <w:rPr>
                <w:rFonts w:hint="default"/>
                <w:color w:val="000000" w:themeColor="text1"/>
                <w:kern w:val="44"/>
                <w:sz w:val="21"/>
                <w:szCs w:val="21"/>
                <w:lang w:bidi="ar"/>
                <w14:textFill>
                  <w14:solidFill>
                    <w14:schemeClr w14:val="tx1"/>
                  </w14:solidFill>
                </w14:textFill>
              </w:rPr>
              <w:t>R.</w:t>
            </w:r>
            <w:r>
              <w:rPr>
                <w:rFonts w:hint="eastAsia" w:ascii="宋体" w:hAnsi="宋体" w:cs="宋体"/>
                <w:color w:val="000000" w:themeColor="text1"/>
                <w:kern w:val="44"/>
                <w:sz w:val="21"/>
                <w:szCs w:val="21"/>
                <w:lang w:bidi="ar"/>
                <w14:textFill>
                  <w14:solidFill>
                    <w14:schemeClr w14:val="tx1"/>
                  </w14:solidFill>
                </w14:textFill>
              </w:rPr>
              <w:t>留鸟：是指全年在该地理区域内生活，春秋不进行长距离迁徙的鸟类；</w:t>
            </w:r>
            <w:r>
              <w:rPr>
                <w:rFonts w:hint="default"/>
                <w:color w:val="000000" w:themeColor="text1"/>
                <w:kern w:val="44"/>
                <w:sz w:val="21"/>
                <w:szCs w:val="21"/>
                <w:lang w:bidi="ar"/>
                <w14:textFill>
                  <w14:solidFill>
                    <w14:schemeClr w14:val="tx1"/>
                  </w14:solidFill>
                </w14:textFill>
              </w:rPr>
              <w:t>P.</w:t>
            </w:r>
            <w:r>
              <w:rPr>
                <w:rFonts w:hint="eastAsia" w:ascii="宋体" w:hAnsi="宋体" w:cs="宋体"/>
                <w:color w:val="000000" w:themeColor="text1"/>
                <w:kern w:val="44"/>
                <w:sz w:val="21"/>
                <w:szCs w:val="21"/>
                <w:lang w:bidi="ar"/>
                <w14:textFill>
                  <w14:solidFill>
                    <w14:schemeClr w14:val="tx1"/>
                  </w14:solidFill>
                </w14:textFill>
              </w:rPr>
              <w:t>旅鸟：是指春秋迁徙时旅经此地，不停留或仅有短暂停留的鸟类；</w:t>
            </w:r>
            <w:r>
              <w:rPr>
                <w:rFonts w:hint="default"/>
                <w:color w:val="000000" w:themeColor="text1"/>
                <w:kern w:val="44"/>
                <w:sz w:val="21"/>
                <w:szCs w:val="21"/>
                <w:lang w:bidi="ar"/>
                <w14:textFill>
                  <w14:solidFill>
                    <w14:schemeClr w14:val="tx1"/>
                  </w14:solidFill>
                </w14:textFill>
              </w:rPr>
              <w:t>W.</w:t>
            </w:r>
            <w:r>
              <w:rPr>
                <w:rFonts w:hint="eastAsia" w:ascii="宋体" w:hAnsi="宋体" w:cs="宋体"/>
                <w:color w:val="000000" w:themeColor="text1"/>
                <w:kern w:val="44"/>
                <w:sz w:val="21"/>
                <w:szCs w:val="21"/>
                <w:lang w:bidi="ar"/>
                <w14:textFill>
                  <w14:solidFill>
                    <w14:schemeClr w14:val="tx1"/>
                  </w14:solidFill>
                </w14:textFill>
              </w:rPr>
              <w:t>冬候鸟：是指冬季来此地越冬，春季再向北方繁殖区迁徙的鸟类；</w:t>
            </w:r>
            <w:r>
              <w:rPr>
                <w:rFonts w:hint="default"/>
                <w:color w:val="000000" w:themeColor="text1"/>
                <w:kern w:val="44"/>
                <w:sz w:val="21"/>
                <w:szCs w:val="21"/>
                <w:lang w:bidi="ar"/>
                <w14:textFill>
                  <w14:solidFill>
                    <w14:schemeClr w14:val="tx1"/>
                  </w14:solidFill>
                </w14:textFill>
              </w:rPr>
              <w:t>S.</w:t>
            </w:r>
            <w:r>
              <w:rPr>
                <w:rFonts w:hint="eastAsia" w:ascii="宋体" w:hAnsi="宋体" w:cs="宋体"/>
                <w:color w:val="000000" w:themeColor="text1"/>
                <w:kern w:val="44"/>
                <w:sz w:val="21"/>
                <w:szCs w:val="21"/>
                <w:lang w:bidi="ar"/>
                <w14:textFill>
                  <w14:solidFill>
                    <w14:schemeClr w14:val="tx1"/>
                  </w14:solidFill>
                </w14:textFill>
              </w:rPr>
              <w:t>夏候鸟：是指春季迁徙来此地繁殖，秋季再向越冬区南迁的鸟类。</w:t>
            </w:r>
          </w:p>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区系：广：表示广布种；古：表示古北种；东：表示东洋种</w:t>
            </w:r>
          </w:p>
        </w:tc>
      </w:tr>
    </w:tbl>
    <w:p>
      <w:pPr>
        <w:spacing w:line="360" w:lineRule="auto"/>
        <w:jc w:val="both"/>
        <w:rPr>
          <w:color w:val="000000" w:themeColor="text1"/>
          <w:sz w:val="24"/>
          <w:szCs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spacing w:line="360" w:lineRule="auto"/>
        <w:ind w:firstLine="480" w:firstLineChars="200"/>
        <w:jc w:val="both"/>
        <w:rPr>
          <w:color w:val="000000" w:themeColor="text1"/>
          <w:sz w:val="24"/>
          <w:szCs w:val="24"/>
          <w:lang w:bidi="ar"/>
          <w14:textFill>
            <w14:solidFill>
              <w14:schemeClr w14:val="tx1"/>
            </w14:solidFill>
          </w14:textFill>
        </w:rPr>
      </w:pPr>
      <w:r>
        <w:rPr>
          <w:color w:val="000000" w:themeColor="text1"/>
          <w:sz w:val="24"/>
          <w:szCs w:val="24"/>
          <w:lang w:bidi="ar"/>
          <w14:textFill>
            <w14:solidFill>
              <w14:schemeClr w14:val="tx1"/>
            </w14:solidFill>
          </w14:textFill>
        </w:rPr>
        <w:t>由上表可知，评价区内的鸟类中，濒危等级被列为近危（NT）的有凤头鹰、松雀鹰、白尾鹞、鸳鸯、白眼潜鸭、罗纹鸭、斑头秋沙鸭、黑头蜡嘴雀、黑颈䴙䴘和角䴙䴘共计10种，列为濒危（EN）的有棉凫1种，列为极危（CR）的有青头潜鸭</w:t>
      </w:r>
      <w:r>
        <w:rPr>
          <w:color w:val="000000" w:themeColor="text1"/>
          <w:sz w:val="24"/>
          <w:szCs w:val="24"/>
          <w:lang w:bidi="ar"/>
          <w14:textFill>
            <w14:solidFill>
              <w14:schemeClr w14:val="tx1"/>
            </w14:solidFill>
          </w14:textFill>
        </w:rPr>
        <w:tab/>
      </w:r>
      <w:r>
        <w:rPr>
          <w:color w:val="000000" w:themeColor="text1"/>
          <w:sz w:val="24"/>
          <w:szCs w:val="24"/>
          <w:lang w:bidi="ar"/>
          <w14:textFill>
            <w14:solidFill>
              <w14:schemeClr w14:val="tx1"/>
            </w14:solidFill>
          </w14:textFill>
        </w:rPr>
        <w:t>1种；另外，评价区的中国特有种有灰胸竹鸡和黄腹山雀2种；国家一级保护野生鸟类有青头潜鸭，国家二级保护野生鸟类凤头鹰、松雀鹰、白尾鹞、青头潜鸭、鸳鸯、斑头秋沙鸭、棉凫、燕隼、红嘴相思鸟、角䴙䴘和黑颈䴙䴘，四川省重点保护野生动物有小䴙䴘、黑水鸡，共计13种；外来入侵物种有红耳彩龟1种。</w:t>
      </w:r>
    </w:p>
    <w:p>
      <w:pPr>
        <w:spacing w:line="360" w:lineRule="auto"/>
        <w:ind w:firstLine="480" w:firstLineChars="200"/>
        <w:jc w:val="both"/>
        <w:rPr>
          <w:color w:val="000000" w:themeColor="text1"/>
          <w:sz w:val="24"/>
          <w:szCs w:val="24"/>
          <w:lang w:bidi="ar"/>
          <w14:textFill>
            <w14:solidFill>
              <w14:schemeClr w14:val="tx1"/>
            </w14:solidFill>
          </w14:textFill>
        </w:rPr>
      </w:pPr>
      <w:r>
        <w:rPr>
          <w:color w:val="000000" w:themeColor="text1"/>
          <w:sz w:val="24"/>
          <w:szCs w:val="24"/>
          <w:lang w:bidi="ar"/>
          <w14:textFill>
            <w14:solidFill>
              <w14:schemeClr w14:val="tx1"/>
            </w14:solidFill>
          </w14:textFill>
        </w:rPr>
        <w:t>上述的13种国家级和省级重点保护野生鸟类中，夏候鸟有6种，冬候鸟有3种，旅鸟有2种，留鸟仅有红嘴相思鸟、小䴙䴘2种。红嘴相思鸟主要栖息于常绿阔叶林、常绿落叶混交林、竹林和林缘疏林灌丛地带。红嘴相思鸟并不惧人，经常到有人为活动的地方觅食，具有较强的适应能力和繁殖能力。红嘴相思鸟被列为国家二级重点保护野生动物，主要是因为其种群数量受到人类活动，如捕猎、栖息地破坏等因素的威胁。因此，本项目施工时需采取一定的生态保护措施，尽量减少对项目周边林地的破坏，并且严格遵守施工规范要求，严禁捕杀鸟类。小䴙䴘属于日间活动性的鸟类。除了繁殖期间外，夜晚通常停栖于隐密的水塘或湖泊边的草丛中。营巢于沼泽、池塘、湖泊中丛生芦苇、灯心草、香蒲等地，多在山地小型水面。小䴙䴘繁殖期在芦苇丛等隐蔽处，以水草营造浮巢，发现有人或掠食动物来到巢穴附近后会将巢中的卵用杂草等盖住，以防止被掠食动物发现。小䴙䴘数量分布却十分广泛，是中国最常见的水鸟之一。在施工期若发现施工区有小䴙䴘巢穴分布，需采取一定措施进行保护。</w:t>
      </w:r>
    </w:p>
    <w:p>
      <w:pPr>
        <w:spacing w:line="360" w:lineRule="auto"/>
        <w:ind w:firstLine="480" w:firstLineChars="200"/>
        <w:jc w:val="both"/>
        <w:rPr>
          <w:color w:val="000000" w:themeColor="text1"/>
          <w:sz w:val="24"/>
          <w:szCs w:val="24"/>
          <w:lang w:bidi="ar"/>
          <w14:textFill>
            <w14:solidFill>
              <w14:schemeClr w14:val="tx1"/>
            </w14:solidFill>
          </w14:textFill>
        </w:rPr>
      </w:pPr>
      <w:r>
        <w:rPr>
          <w:color w:val="000000" w:themeColor="text1"/>
          <w:sz w:val="24"/>
          <w:szCs w:val="24"/>
          <w:lang w:bidi="ar"/>
          <w14:textFill>
            <w14:solidFill>
              <w14:schemeClr w14:val="tx1"/>
            </w14:solidFill>
          </w14:textFill>
        </w:rPr>
        <w:t>尽管本项目评价范围内分布的鸟类中含有13种国家级与省级重点保护野生动物，但绝大多数以迁徙型候鸟为主，并未在项目区内长期生存。对照《陆生野生动物重要栖息地名录（第一批）》可知，本项目所在区域亦不属于野生动物重要栖息地，即不涉及侵占重要栖息地。</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3.2.6.3.5哺乳纲</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）物种组成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根据野外调查和文献，确认在评价区域内共分布有</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目</w:t>
      </w:r>
      <w:r>
        <w:rPr>
          <w:color w:val="000000" w:themeColor="text1"/>
          <w:sz w:val="24"/>
          <w:szCs w:val="24"/>
          <w:lang w:bidi="ar"/>
          <w14:textFill>
            <w14:solidFill>
              <w14:schemeClr w14:val="tx1"/>
            </w14:solidFill>
          </w14:textFill>
        </w:rPr>
        <w:t>5</w:t>
      </w:r>
      <w:r>
        <w:rPr>
          <w:rFonts w:hint="eastAsia" w:ascii="宋体" w:hAnsi="宋体" w:cs="宋体"/>
          <w:color w:val="000000" w:themeColor="text1"/>
          <w:sz w:val="24"/>
          <w:szCs w:val="24"/>
          <w:lang w:bidi="ar"/>
          <w14:textFill>
            <w14:solidFill>
              <w14:schemeClr w14:val="tx1"/>
            </w14:solidFill>
          </w14:textFill>
        </w:rPr>
        <w:t>科</w:t>
      </w:r>
      <w:r>
        <w:rPr>
          <w:color w:val="000000" w:themeColor="text1"/>
          <w:sz w:val="24"/>
          <w:szCs w:val="24"/>
          <w:lang w:bidi="ar"/>
          <w14:textFill>
            <w14:solidFill>
              <w14:schemeClr w14:val="tx1"/>
            </w14:solidFill>
          </w14:textFill>
        </w:rPr>
        <w:t>12</w:t>
      </w:r>
      <w:r>
        <w:rPr>
          <w:rFonts w:hint="eastAsia" w:ascii="宋体" w:hAnsi="宋体" w:cs="宋体"/>
          <w:color w:val="000000" w:themeColor="text1"/>
          <w:sz w:val="24"/>
          <w:szCs w:val="24"/>
          <w:lang w:bidi="ar"/>
          <w14:textFill>
            <w14:solidFill>
              <w14:schemeClr w14:val="tx1"/>
            </w14:solidFill>
          </w14:textFill>
        </w:rPr>
        <w:t>种爬行动物。</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2</w:t>
      </w:r>
      <w:r>
        <w:rPr>
          <w:rFonts w:hint="eastAsia" w:eastAsia="黑体"/>
          <w:color w:val="000000" w:themeColor="text1"/>
          <w:lang w:val="en-US" w:eastAsia="zh-CN"/>
          <w14:textFill>
            <w14:solidFill>
              <w14:schemeClr w14:val="tx1"/>
            </w14:solidFill>
          </w14:textFill>
        </w:rPr>
        <w:t>5</w:t>
      </w:r>
      <w:r>
        <w:rPr>
          <w:rFonts w:hint="eastAsia" w:eastAsia="黑体"/>
          <w:color w:val="000000" w:themeColor="text1"/>
          <w14:textFill>
            <w14:solidFill>
              <w14:schemeClr w14:val="tx1"/>
            </w14:solidFill>
          </w14:textFill>
        </w:rPr>
        <w:t>评价区哺乳纲动物物种组成</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3005"/>
        <w:gridCol w:w="2278"/>
        <w:gridCol w:w="1271"/>
        <w:gridCol w:w="1966"/>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87" w:type="pct"/>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2"/>
              <w:jc w:val="both"/>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目</w:t>
            </w:r>
          </w:p>
        </w:tc>
        <w:tc>
          <w:tcPr>
            <w:tcW w:w="1360"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2"/>
              <w:jc w:val="both"/>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675"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2"/>
              <w:jc w:val="both"/>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物种数</w:t>
            </w:r>
          </w:p>
        </w:tc>
        <w:tc>
          <w:tcPr>
            <w:tcW w:w="1177" w:type="pct"/>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2"/>
              <w:jc w:val="both"/>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占总种数的</w:t>
            </w:r>
            <w:r>
              <w:rPr>
                <w:rFonts w:hint="default"/>
                <w:b/>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87" w:type="pct"/>
            <w:vMerge w:val="restar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啮齿目</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RODENTIA</w:t>
            </w:r>
          </w:p>
        </w:tc>
        <w:tc>
          <w:tcPr>
            <w:tcW w:w="136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仓鼠科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Cricetidae</w:t>
            </w:r>
          </w:p>
        </w:tc>
        <w:tc>
          <w:tcPr>
            <w:tcW w:w="675"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177" w:type="pct"/>
            <w:tcBorders>
              <w:top w:val="single" w:color="auto" w:sz="4" w:space="0"/>
              <w:left w:val="single" w:color="auto" w:sz="4" w:space="0"/>
              <w:bottom w:val="single" w:color="auto" w:sz="4" w:space="0"/>
              <w:right w:val="nil"/>
            </w:tcBorders>
            <w:shd w:val="clear" w:color="auto" w:fill="auto"/>
            <w:noWrap/>
            <w:vAlign w:val="top"/>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8.33%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87"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firstLine="402"/>
              <w:jc w:val="both"/>
              <w:rPr>
                <w:rFonts w:hint="default"/>
                <w:color w:val="000000" w:themeColor="text1"/>
                <w:sz w:val="20"/>
                <w:szCs w:val="20"/>
                <w14:textFill>
                  <w14:solidFill>
                    <w14:schemeClr w14:val="tx1"/>
                  </w14:solidFill>
                </w14:textFill>
              </w:rPr>
            </w:pPr>
          </w:p>
        </w:tc>
        <w:tc>
          <w:tcPr>
            <w:tcW w:w="136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Muridae</w:t>
            </w:r>
          </w:p>
        </w:tc>
        <w:tc>
          <w:tcPr>
            <w:tcW w:w="675"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w:t>
            </w:r>
          </w:p>
        </w:tc>
        <w:tc>
          <w:tcPr>
            <w:tcW w:w="1177" w:type="pct"/>
            <w:tcBorders>
              <w:top w:val="single" w:color="auto" w:sz="4" w:space="0"/>
              <w:left w:val="single" w:color="auto" w:sz="4" w:space="0"/>
              <w:bottom w:val="single" w:color="auto" w:sz="4" w:space="0"/>
              <w:right w:val="nil"/>
            </w:tcBorders>
            <w:shd w:val="clear" w:color="auto" w:fill="auto"/>
            <w:noWrap/>
            <w:vAlign w:val="top"/>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58.33%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87" w:type="pct"/>
            <w:vMerge w:val="restar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食虫目</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INSECTIVORA</w:t>
            </w:r>
          </w:p>
        </w:tc>
        <w:tc>
          <w:tcPr>
            <w:tcW w:w="136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鼩鼱科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Soricidae</w:t>
            </w:r>
          </w:p>
        </w:tc>
        <w:tc>
          <w:tcPr>
            <w:tcW w:w="675"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1177" w:type="pct"/>
            <w:tcBorders>
              <w:top w:val="single" w:color="auto" w:sz="4" w:space="0"/>
              <w:left w:val="single" w:color="auto" w:sz="4" w:space="0"/>
              <w:bottom w:val="single" w:color="auto" w:sz="4" w:space="0"/>
              <w:right w:val="nil"/>
            </w:tcBorders>
            <w:shd w:val="clear" w:color="auto" w:fill="auto"/>
            <w:noWrap/>
            <w:vAlign w:val="top"/>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16.67%</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87" w:type="pct"/>
            <w:vMerge w:val="continue"/>
            <w:tcBorders>
              <w:top w:val="single" w:color="auto" w:sz="4" w:space="0"/>
              <w:left w:val="nil"/>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firstLine="402"/>
              <w:jc w:val="both"/>
              <w:rPr>
                <w:rFonts w:hint="default"/>
                <w:color w:val="000000" w:themeColor="text1"/>
                <w:sz w:val="20"/>
                <w:szCs w:val="20"/>
                <w14:textFill>
                  <w14:solidFill>
                    <w14:schemeClr w14:val="tx1"/>
                  </w14:solidFill>
                </w14:textFill>
              </w:rPr>
            </w:pPr>
          </w:p>
        </w:tc>
        <w:tc>
          <w:tcPr>
            <w:tcW w:w="136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鼹科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Talpidae</w:t>
            </w:r>
          </w:p>
        </w:tc>
        <w:tc>
          <w:tcPr>
            <w:tcW w:w="675"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177" w:type="pct"/>
            <w:tcBorders>
              <w:top w:val="single" w:color="auto" w:sz="4" w:space="0"/>
              <w:left w:val="single" w:color="auto" w:sz="4" w:space="0"/>
              <w:bottom w:val="single" w:color="auto" w:sz="4" w:space="0"/>
              <w:right w:val="nil"/>
            </w:tcBorders>
            <w:shd w:val="clear" w:color="auto" w:fill="auto"/>
            <w:noWrap/>
            <w:vAlign w:val="top"/>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8.33%</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87" w:type="pct"/>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食肉目</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CARNIVORA</w:t>
            </w:r>
          </w:p>
        </w:tc>
        <w:tc>
          <w:tcPr>
            <w:tcW w:w="1360"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鼬科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Mustelidae</w:t>
            </w:r>
          </w:p>
        </w:tc>
        <w:tc>
          <w:tcPr>
            <w:tcW w:w="675"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1177" w:type="pct"/>
            <w:tcBorders>
              <w:top w:val="single" w:color="auto" w:sz="4" w:space="0"/>
              <w:left w:val="single" w:color="auto" w:sz="4" w:space="0"/>
              <w:bottom w:val="single" w:color="auto" w:sz="12" w:space="0"/>
              <w:right w:val="nil"/>
            </w:tcBorders>
            <w:shd w:val="clear" w:color="auto" w:fill="auto"/>
            <w:noWrap/>
            <w:vAlign w:val="top"/>
          </w:tcPr>
          <w:p>
            <w:pPr>
              <w:pStyle w:val="34"/>
              <w:keepNext w:val="0"/>
              <w:keepLines w:val="0"/>
              <w:widowControl w:val="0"/>
              <w:suppressLineNumbers w:val="0"/>
              <w:spacing w:before="0" w:beforeAutospacing="0" w:after="0" w:afterAutospacing="0"/>
              <w:ind w:left="0" w:right="0" w:firstLine="42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8.33%</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）物种组分分析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评价区哺乳纲动物调查物种名录结果如下：</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24评价区哺乳纲动物调查名录</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68"/>
        <w:gridCol w:w="966"/>
        <w:gridCol w:w="1106"/>
        <w:gridCol w:w="2016"/>
        <w:gridCol w:w="2943"/>
        <w:gridCol w:w="1021"/>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序号</w:t>
            </w:r>
          </w:p>
        </w:tc>
        <w:tc>
          <w:tcPr>
            <w:tcW w:w="566"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宋体" w:hAnsi="宋体"/>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649"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科名</w:t>
            </w:r>
          </w:p>
        </w:tc>
        <w:tc>
          <w:tcPr>
            <w:tcW w:w="1183"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宋体" w:hAnsi="宋体"/>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种</w:t>
            </w:r>
          </w:p>
        </w:tc>
        <w:tc>
          <w:tcPr>
            <w:tcW w:w="1727"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b/>
                <w:i/>
                <w:iCs/>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学名</w:t>
            </w:r>
          </w:p>
        </w:tc>
        <w:tc>
          <w:tcPr>
            <w:tcW w:w="599" w:type="pct"/>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濒危等级</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仓鼠科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Cricetidae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黑腹绒鼠</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Eothenomys melanogaster</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Muridae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巢鼠南亚亚种</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Micromys minutus erythrotis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Muridae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大足鼠</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Rattus nitidus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Muridae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褐家鼠东北亚种</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Rattus norvegicus caraco</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Muridae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黑线姬鼠</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Apodemus agrarius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Muridae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黄胸鼠</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Rattus flavipectus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Muridae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小家鼠喜马拉雅亚种</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Mus musculus homourus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鼠科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Muridae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中华姬鼠西南亚种</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Apodemus draco orestes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9</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鼩鼱科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Soricidae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短尾鼩指名亚种</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Anourosorex squamipes squamipes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鼩鼱科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Soricidae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灰麝鼩指名亚种</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Crocidura attenuata attenuata</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11</w:t>
            </w:r>
          </w:p>
        </w:tc>
        <w:tc>
          <w:tcPr>
            <w:tcW w:w="566"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鼹科</w:t>
            </w:r>
          </w:p>
        </w:tc>
        <w:tc>
          <w:tcPr>
            <w:tcW w:w="64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Talpidae</w:t>
            </w:r>
          </w:p>
        </w:tc>
        <w:tc>
          <w:tcPr>
            <w:tcW w:w="1183"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长吻鼹</w:t>
            </w:r>
          </w:p>
        </w:tc>
        <w:tc>
          <w:tcPr>
            <w:tcW w:w="172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Talpa longirostris</w:t>
            </w:r>
          </w:p>
        </w:tc>
        <w:tc>
          <w:tcPr>
            <w:tcW w:w="59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 w:type="pct"/>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12</w:t>
            </w:r>
          </w:p>
        </w:tc>
        <w:tc>
          <w:tcPr>
            <w:tcW w:w="566"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鼬科</w:t>
            </w:r>
          </w:p>
        </w:tc>
        <w:tc>
          <w:tcPr>
            <w:tcW w:w="649"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Mustelidae</w:t>
            </w:r>
          </w:p>
        </w:tc>
        <w:tc>
          <w:tcPr>
            <w:tcW w:w="1183"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黄鼬西南亚种</w:t>
            </w:r>
          </w:p>
        </w:tc>
        <w:tc>
          <w:tcPr>
            <w:tcW w:w="1727"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iCs/>
                <w:color w:val="000000" w:themeColor="text1"/>
                <w:kern w:val="44"/>
                <w:sz w:val="21"/>
                <w:szCs w:val="21"/>
                <w:lang w:val="en-US" w:eastAsia="zh-CN" w:bidi="ar-SA"/>
                <w14:textFill>
                  <w14:solidFill>
                    <w14:schemeClr w14:val="tx1"/>
                  </w14:solidFill>
                </w14:textFill>
              </w:rPr>
            </w:pPr>
            <w:r>
              <w:rPr>
                <w:rFonts w:hint="default"/>
                <w:i/>
                <w:iCs/>
                <w:color w:val="000000" w:themeColor="text1"/>
                <w14:textFill>
                  <w14:solidFill>
                    <w14:schemeClr w14:val="tx1"/>
                  </w14:solidFill>
                </w14:textFill>
              </w:rPr>
              <w:t>Mustela sibirica moupinensis</w:t>
            </w:r>
          </w:p>
        </w:tc>
        <w:tc>
          <w:tcPr>
            <w:tcW w:w="599" w:type="pct"/>
            <w:tcBorders>
              <w:top w:val="single" w:color="auto" w:sz="4" w:space="0"/>
              <w:left w:val="single" w:color="auto" w:sz="4" w:space="0"/>
              <w:bottom w:val="single" w:color="auto" w:sz="12" w:space="0"/>
              <w:right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both"/>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经核查，评价区内分布的哺乳动物以啮齿目的鼠科生物为主，未发现国家重点保护野生哺乳动物和中国特有哺乳动物的分布，且以上</w:t>
      </w:r>
      <w:r>
        <w:rPr>
          <w:color w:val="000000" w:themeColor="text1"/>
          <w:sz w:val="24"/>
          <w:szCs w:val="24"/>
          <w:lang w:bidi="ar"/>
          <w14:textFill>
            <w14:solidFill>
              <w14:schemeClr w14:val="tx1"/>
            </w14:solidFill>
          </w14:textFill>
        </w:rPr>
        <w:t>12</w:t>
      </w:r>
      <w:r>
        <w:rPr>
          <w:rFonts w:hint="eastAsia" w:ascii="宋体" w:hAnsi="宋体" w:cs="宋体"/>
          <w:color w:val="000000" w:themeColor="text1"/>
          <w:sz w:val="24"/>
          <w:szCs w:val="24"/>
          <w:lang w:bidi="ar"/>
          <w14:textFill>
            <w14:solidFill>
              <w14:schemeClr w14:val="tx1"/>
            </w14:solidFill>
          </w14:textFill>
        </w:rPr>
        <w:t>种哺乳生物濒危等级均为无危（</w:t>
      </w:r>
      <w:r>
        <w:rPr>
          <w:color w:val="000000" w:themeColor="text1"/>
          <w:sz w:val="24"/>
          <w:szCs w:val="24"/>
          <w:lang w:bidi="ar"/>
          <w14:textFill>
            <w14:solidFill>
              <w14:schemeClr w14:val="tx1"/>
            </w14:solidFill>
          </w14:textFill>
        </w:rPr>
        <w:t>LC</w:t>
      </w:r>
      <w:r>
        <w:rPr>
          <w:rFonts w:hint="eastAsia" w:ascii="宋体" w:hAnsi="宋体" w:cs="宋体"/>
          <w:color w:val="000000" w:themeColor="text1"/>
          <w:sz w:val="24"/>
          <w:szCs w:val="24"/>
          <w:lang w:bidi="ar"/>
          <w14:textFill>
            <w14:solidFill>
              <w14:schemeClr w14:val="tx1"/>
            </w14:solidFill>
          </w14:textFill>
        </w:rPr>
        <w:t>），分布区域较为广泛，属于当地常见种。</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3.2.6.3.6动物迁徙通道</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本工程属于新建项目，拟建项目位于成都市龙泉驿区和新都区；本次现场调查及历史资料研究调研显示，项目评价区的陆生野生动物迁徙通道为候鸟迁徙通道。</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根据相关研究及调查，全球共有</w:t>
      </w:r>
      <w:r>
        <w:rPr>
          <w:color w:val="000000" w:themeColor="text1"/>
          <w:sz w:val="24"/>
          <w:szCs w:val="24"/>
          <w:lang w:bidi="ar"/>
          <w14:textFill>
            <w14:solidFill>
              <w14:schemeClr w14:val="tx1"/>
            </w14:solidFill>
          </w14:textFill>
        </w:rPr>
        <w:t>8</w:t>
      </w:r>
      <w:r>
        <w:rPr>
          <w:rFonts w:hint="eastAsia" w:ascii="宋体" w:hAnsi="宋体" w:cs="宋体"/>
          <w:color w:val="000000" w:themeColor="text1"/>
          <w:sz w:val="24"/>
          <w:szCs w:val="24"/>
          <w:lang w:bidi="ar"/>
          <w14:textFill>
            <w14:solidFill>
              <w14:schemeClr w14:val="tx1"/>
            </w14:solidFill>
          </w14:textFill>
        </w:rPr>
        <w:t>条候鸟迁徙通道，其中有三条迁徙路线经过我国。“东非西亚迁徙线”的候鸟从蒙古进入新疆，跨越青藏高原后进入印度半岛，飞跃印度洋，最后在非洲落脚；“中亚迁徙线”从西伯利亚进入我国，最后在印度半岛繁衍生息；“东亚</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澳大利西亚迁徙线”则从美国阿拉斯加到澳大利亚西太平洋群岛，繁衍后再北上，经过我国的东部沿海省份。对中国季节性南北迁徙的候鸟而言，其迁飞途径大致可以分为西、中、东</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个候鸟迁徙区，其中西部和中部两个区域的候鸟迁徙都要经过四川。</w:t>
      </w:r>
    </w:p>
    <w:p>
      <w:pPr>
        <w:spacing w:line="360" w:lineRule="auto"/>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四川范围内候鸟的迁徙，也分为东部、中部和西部</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个主要迁徙路线，均呈南北走向。根据中科院昆明生物所、四川大学的相关研究资料，四川省</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条鸟类迁徙通道中，中部迁徙路径会经过成都平原上空，将从工程区域上空穿过。候鸟迁徙经过成都市上空时，主要停留休憩的地方有龙泉山城市森林公园、青龙湖湿地公园等生态环境较好的区域，本项目部分灌渠位于青龙湖湿地公园内，园内有提供迁徙候鸟休憩的湖心岛。根据历史资料，青龙湖湿地公园是成都市内一处重要的候鸟停留区，每年均有大量候鸟来此停留，临时休憩。项目的施工噪声将对沿线候鸟造成一定的影响，因此在施工期的选择上应尽量避开鸟类迁徙时段，最大限度地降低施工对候鸟迁徙的影响。</w:t>
      </w:r>
      <w:r>
        <w:rPr>
          <w:color w:val="000000" w:themeColor="text1"/>
          <w:sz w:val="24"/>
          <w:szCs w:val="24"/>
          <w:lang w:bidi="ar"/>
          <w14:textFill>
            <w14:solidFill>
              <w14:schemeClr w14:val="tx1"/>
            </w14:solidFill>
          </w14:textFill>
        </w:rPr>
        <w:drawing>
          <wp:inline distT="0" distB="0" distL="114300" distR="114300">
            <wp:extent cx="5276850" cy="3686175"/>
            <wp:effectExtent l="0" t="0" r="0" b="9525"/>
            <wp:docPr id="2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descr="IMG_256"/>
                    <pic:cNvPicPr>
                      <a:picLocks noChangeAspect="1"/>
                    </pic:cNvPicPr>
                  </pic:nvPicPr>
                  <pic:blipFill>
                    <a:blip r:embed="rId60"/>
                    <a:stretch>
                      <a:fillRect/>
                    </a:stretch>
                  </pic:blipFill>
                  <pic:spPr>
                    <a:xfrm>
                      <a:off x="0" y="0"/>
                      <a:ext cx="5276850" cy="3686175"/>
                    </a:xfrm>
                    <a:prstGeom prst="rect">
                      <a:avLst/>
                    </a:prstGeom>
                    <a:noFill/>
                    <a:ln w="9525">
                      <a:noFill/>
                    </a:ln>
                  </pic:spPr>
                </pic:pic>
              </a:graphicData>
            </a:graphic>
          </wp:inline>
        </w:drawing>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hint="eastAsia" w:eastAsia="黑体"/>
          <w:color w:val="000000" w:themeColor="text1"/>
          <w14:textFill>
            <w14:solidFill>
              <w14:schemeClr w14:val="tx1"/>
            </w14:solidFill>
          </w14:textFill>
        </w:rPr>
        <w:t>图3.2-1四川省鸟类过境迁徙通道图</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3.2.6.4水生生态现状调查与评价</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3.2.6.4.1鱼类现状</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）鱼类物种组成</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根据野外走访调查和文献查阅，确认在评价区域内共分布有5目9科17种鱼类。</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2</w:t>
      </w:r>
      <w:r>
        <w:rPr>
          <w:rFonts w:hint="eastAsia" w:eastAsia="黑体"/>
          <w:color w:val="000000" w:themeColor="text1"/>
          <w:lang w:val="en-US" w:eastAsia="zh-CN"/>
          <w14:textFill>
            <w14:solidFill>
              <w14:schemeClr w14:val="tx1"/>
            </w14:solidFill>
          </w14:textFill>
        </w:rPr>
        <w:t>6</w:t>
      </w:r>
      <w:r>
        <w:rPr>
          <w:rFonts w:hint="eastAsia" w:eastAsia="黑体"/>
          <w:color w:val="000000" w:themeColor="text1"/>
          <w14:textFill>
            <w14:solidFill>
              <w14:schemeClr w14:val="tx1"/>
            </w14:solidFill>
          </w14:textFill>
        </w:rPr>
        <w:t>评价区淡水鱼类物种组成</w:t>
      </w:r>
    </w:p>
    <w:tbl>
      <w:tblPr>
        <w:tblStyle w:val="14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04"/>
        <w:gridCol w:w="2593"/>
        <w:gridCol w:w="956"/>
        <w:gridCol w:w="16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938"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目</w:t>
            </w: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科</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物种数</w:t>
            </w:r>
          </w:p>
        </w:tc>
        <w:tc>
          <w:tcPr>
            <w:tcW w:w="978"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占总种数的</w:t>
            </w:r>
            <w:r>
              <w:rPr>
                <w:rFonts w:hint="default"/>
                <w:b/>
                <w:color w:val="000000" w:themeColor="text1"/>
                <w:kern w:val="44"/>
                <w:sz w:val="21"/>
                <w:szCs w:val="21"/>
                <w:lang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93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rPr>
                <w:rFonts w:hint="default" w:eastAsia="等线"/>
                <w:color w:val="000000" w:themeColor="text1"/>
                <w:kern w:val="0"/>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合鳃鱼目</w:t>
            </w:r>
            <w:r>
              <w:rPr>
                <w:rFonts w:hint="default"/>
                <w:color w:val="000000" w:themeColor="text1"/>
                <w:kern w:val="0"/>
                <w:lang w:bidi="ar"/>
                <w14:textFill>
                  <w14:solidFill>
                    <w14:schemeClr w14:val="tx1"/>
                  </w14:solidFill>
                </w14:textFill>
              </w:rPr>
              <w:t>Synbranchiformes</w:t>
            </w: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合鳃鱼科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Synbranchidae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93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rPr>
                <w:rFonts w:hint="default" w:eastAsia="等线"/>
                <w:color w:val="000000" w:themeColor="text1"/>
                <w:kern w:val="0"/>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颌针鱼目</w:t>
            </w:r>
            <w:r>
              <w:rPr>
                <w:rFonts w:hint="default"/>
                <w:color w:val="000000" w:themeColor="text1"/>
                <w:kern w:val="0"/>
                <w:lang w:bidi="ar"/>
                <w14:textFill>
                  <w14:solidFill>
                    <w14:schemeClr w14:val="tx1"/>
                  </w14:solidFill>
                </w14:textFill>
              </w:rPr>
              <w:t>Beloniformes</w:t>
            </w: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青鳉科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Adrianichthyidae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938" w:type="pct"/>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rPr>
                <w:rFonts w:hint="default" w:eastAsia="等线"/>
                <w:color w:val="000000" w:themeColor="text1"/>
                <w:kern w:val="0"/>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鲤形目</w:t>
            </w:r>
            <w:r>
              <w:rPr>
                <w:rFonts w:hint="eastAsia"/>
                <w:color w:val="000000" w:themeColor="text1"/>
                <w:kern w:val="0"/>
                <w:lang w:bidi="ar"/>
                <w14:textFill>
                  <w14:solidFill>
                    <w14:schemeClr w14:val="tx1"/>
                  </w14:solidFill>
                </w14:textFill>
              </w:rPr>
              <w:tab/>
            </w:r>
            <w:r>
              <w:rPr>
                <w:rFonts w:hint="default"/>
                <w:color w:val="000000" w:themeColor="text1"/>
                <w:kern w:val="0"/>
                <w:lang w:bidi="ar"/>
                <w14:textFill>
                  <w14:solidFill>
                    <w14:schemeClr w14:val="tx1"/>
                  </w14:solidFill>
                </w14:textFill>
              </w:rPr>
              <w:t>Cypriniformes</w:t>
            </w: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鲤科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Cyprinidae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47.06%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938" w:type="pct"/>
            <w:vMerge w:val="continue"/>
            <w:tcBorders>
              <w:tl2br w:val="nil"/>
              <w:tr2bl w:val="nil"/>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鳅科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Cobitidae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1938" w:type="pct"/>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rPr>
                <w:rFonts w:hint="default"/>
                <w:color w:val="000000" w:themeColor="text1"/>
                <w:kern w:val="0"/>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鲈形目</w:t>
            </w:r>
            <w:r>
              <w:rPr>
                <w:rFonts w:hint="eastAsia"/>
                <w:color w:val="000000" w:themeColor="text1"/>
                <w:kern w:val="0"/>
                <w:lang w:bidi="ar"/>
                <w14:textFill>
                  <w14:solidFill>
                    <w14:schemeClr w14:val="tx1"/>
                  </w14:solidFill>
                </w14:textFill>
              </w:rPr>
              <w:tab/>
            </w:r>
            <w:r>
              <w:rPr>
                <w:rFonts w:hint="default"/>
                <w:color w:val="000000" w:themeColor="text1"/>
                <w:kern w:val="0"/>
                <w:lang w:bidi="ar"/>
                <w14:textFill>
                  <w14:solidFill>
                    <w14:schemeClr w14:val="tx1"/>
                  </w14:solidFill>
                </w14:textFill>
              </w:rPr>
              <w:t>Perciformes</w:t>
            </w: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鳢科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Channidae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1938" w:type="pct"/>
            <w:vMerge w:val="continue"/>
            <w:tcBorders>
              <w:tl2br w:val="nil"/>
              <w:tr2bl w:val="nil"/>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鰕虎鱼科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Gobiidae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938" w:type="pct"/>
            <w:vMerge w:val="continue"/>
            <w:tcBorders>
              <w:tl2br w:val="nil"/>
              <w:tr2bl w:val="nil"/>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152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塘鳢科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Eleotridae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938" w:type="pct"/>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rPr>
                <w:rFonts w:hint="default"/>
                <w:color w:val="000000" w:themeColor="text1"/>
                <w:kern w:val="0"/>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鲇形目</w:t>
            </w:r>
            <w:r>
              <w:rPr>
                <w:rFonts w:hint="eastAsia"/>
                <w:color w:val="000000" w:themeColor="text1"/>
                <w:kern w:val="0"/>
                <w:lang w:bidi="ar"/>
                <w14:textFill>
                  <w14:solidFill>
                    <w14:schemeClr w14:val="tx1"/>
                  </w14:solidFill>
                </w14:textFill>
              </w:rPr>
              <w:tab/>
            </w:r>
            <w:r>
              <w:rPr>
                <w:rFonts w:hint="default"/>
                <w:color w:val="000000" w:themeColor="text1"/>
                <w:kern w:val="0"/>
                <w:lang w:bidi="ar"/>
                <w14:textFill>
                  <w14:solidFill>
                    <w14:schemeClr w14:val="tx1"/>
                  </w14:solidFill>
                </w14:textFill>
              </w:rPr>
              <w:t>Siluriformes</w:t>
            </w:r>
          </w:p>
        </w:tc>
        <w:tc>
          <w:tcPr>
            <w:tcW w:w="1521" w:type="pct"/>
            <w:tcBorders>
              <w:tl2br w:val="nil"/>
              <w:tr2bl w:val="nil"/>
            </w:tcBorders>
            <w:shd w:val="clear" w:color="auto" w:fill="auto"/>
            <w:noWrap/>
            <w:vAlign w:val="bottom"/>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鲿科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Bagridae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938" w:type="pct"/>
            <w:vMerge w:val="continue"/>
            <w:tcBorders>
              <w:tl2br w:val="nil"/>
              <w:tr2bl w:val="nil"/>
            </w:tcBorders>
            <w:shd w:val="clear" w:color="auto" w:fill="auto"/>
            <w:noWrap/>
            <w:vAlign w:val="center"/>
          </w:tcPr>
          <w:p>
            <w:pPr>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p>
        </w:tc>
        <w:tc>
          <w:tcPr>
            <w:tcW w:w="1521" w:type="pct"/>
            <w:tcBorders>
              <w:tl2br w:val="nil"/>
              <w:tr2bl w:val="nil"/>
            </w:tcBorders>
            <w:shd w:val="clear" w:color="auto" w:fill="auto"/>
            <w:noWrap/>
            <w:vAlign w:val="bottom"/>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44"/>
                <w:sz w:val="21"/>
                <w:szCs w:val="21"/>
                <w:lang w:bidi="ar"/>
                <w14:textFill>
                  <w14:solidFill>
                    <w14:schemeClr w14:val="tx1"/>
                  </w14:solidFill>
                </w14:textFill>
              </w:rPr>
              <w:t>鲇科</w:t>
            </w:r>
            <w:r>
              <w:rPr>
                <w:rFonts w:hint="eastAsia"/>
                <w:color w:val="000000" w:themeColor="text1"/>
                <w:kern w:val="44"/>
                <w:sz w:val="21"/>
                <w:szCs w:val="21"/>
                <w:lang w:bidi="ar"/>
                <w14:textFill>
                  <w14:solidFill>
                    <w14:schemeClr w14:val="tx1"/>
                  </w14:solidFill>
                </w14:textFill>
              </w:rPr>
              <w:tab/>
            </w:r>
            <w:r>
              <w:rPr>
                <w:rFonts w:hint="default"/>
                <w:color w:val="000000" w:themeColor="text1"/>
                <w:kern w:val="44"/>
                <w:sz w:val="21"/>
                <w:szCs w:val="21"/>
                <w:lang w:bidi="ar"/>
                <w14:textFill>
                  <w14:solidFill>
                    <w14:schemeClr w14:val="tx1"/>
                  </w14:solidFill>
                </w14:textFill>
              </w:rPr>
              <w:t>Siluridae</w:t>
            </w:r>
          </w:p>
        </w:tc>
        <w:tc>
          <w:tcPr>
            <w:tcW w:w="561" w:type="pct"/>
            <w:tcBorders>
              <w:tl2br w:val="nil"/>
              <w:tr2bl w:val="nil"/>
            </w:tcBorders>
            <w:shd w:val="clear" w:color="auto" w:fill="auto"/>
            <w:noWrap/>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978" w:type="pct"/>
            <w:tcBorders>
              <w:tl2br w:val="nil"/>
              <w:tr2bl w:val="nil"/>
            </w:tcBorders>
            <w:shd w:val="clear" w:color="auto" w:fill="auto"/>
            <w:noWrap/>
            <w:vAlign w:val="top"/>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5.88%</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2</w:t>
      </w:r>
      <w:r>
        <w:rPr>
          <w:rFonts w:hint="eastAsia" w:ascii="宋体" w:hAnsi="宋体" w:cs="宋体"/>
          <w:color w:val="000000" w:themeColor="text1"/>
          <w:sz w:val="24"/>
          <w:szCs w:val="24"/>
          <w:lang w:bidi="ar"/>
          <w14:textFill>
            <w14:solidFill>
              <w14:schemeClr w14:val="tx1"/>
            </w14:solidFill>
          </w14:textFill>
        </w:rPr>
        <w:t>）鱼类物种组分分析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评价区鱼类调查物种名录结果如下：</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2</w:t>
      </w:r>
      <w:r>
        <w:rPr>
          <w:rFonts w:hint="eastAsia" w:eastAsia="黑体"/>
          <w:color w:val="000000" w:themeColor="text1"/>
          <w:lang w:val="en-US" w:eastAsia="zh-CN"/>
          <w14:textFill>
            <w14:solidFill>
              <w14:schemeClr w14:val="tx1"/>
            </w14:solidFill>
          </w14:textFill>
        </w:rPr>
        <w:t>7</w:t>
      </w:r>
      <w:r>
        <w:rPr>
          <w:rFonts w:eastAsia="黑体"/>
          <w:color w:val="000000" w:themeColor="text1"/>
          <w14:textFill>
            <w14:solidFill>
              <w14:schemeClr w14:val="tx1"/>
            </w14:solidFill>
          </w14:textFill>
        </w:rPr>
        <w:t>评价区水生动物调查名录</w:t>
      </w:r>
    </w:p>
    <w:tbl>
      <w:tblPr>
        <w:tblStyle w:val="140"/>
        <w:tblW w:w="5000"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16"/>
        <w:gridCol w:w="900"/>
        <w:gridCol w:w="1487"/>
        <w:gridCol w:w="1397"/>
        <w:gridCol w:w="1418"/>
        <w:gridCol w:w="711"/>
        <w:gridCol w:w="1891"/>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420" w:type="pct"/>
            <w:tcBorders>
              <w:top w:val="single" w:color="auto" w:sz="12"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序号</w:t>
            </w:r>
          </w:p>
        </w:tc>
        <w:tc>
          <w:tcPr>
            <w:tcW w:w="528"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科</w:t>
            </w:r>
          </w:p>
        </w:tc>
        <w:tc>
          <w:tcPr>
            <w:tcW w:w="872"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科名</w:t>
            </w:r>
          </w:p>
        </w:tc>
        <w:tc>
          <w:tcPr>
            <w:tcW w:w="819"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种</w:t>
            </w:r>
          </w:p>
        </w:tc>
        <w:tc>
          <w:tcPr>
            <w:tcW w:w="832"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b/>
                <w:i/>
                <w:iCs/>
                <w:color w:val="000000" w:themeColor="text1"/>
                <w:kern w:val="44"/>
                <w:sz w:val="21"/>
                <w:szCs w:val="21"/>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种名</w:t>
            </w:r>
          </w:p>
        </w:tc>
        <w:tc>
          <w:tcPr>
            <w:tcW w:w="417" w:type="pct"/>
            <w:tcBorders>
              <w:top w:val="single" w:color="auto" w:sz="12"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濒危等级</w:t>
            </w:r>
          </w:p>
        </w:tc>
        <w:tc>
          <w:tcPr>
            <w:tcW w:w="1109" w:type="pct"/>
            <w:tcBorders>
              <w:top w:val="single" w:color="auto" w:sz="12" w:space="0"/>
              <w:left w:val="single" w:color="auto" w:sz="4" w:space="0"/>
              <w:bottom w:val="single" w:color="auto" w:sz="4" w:space="0"/>
              <w:right w:val="nil"/>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b/>
                <w:color w:val="000000" w:themeColor="text1"/>
                <w:kern w:val="44"/>
                <w:sz w:val="21"/>
                <w:szCs w:val="21"/>
                <w14:textFill>
                  <w14:solidFill>
                    <w14:schemeClr w14:val="tx1"/>
                  </w14:solidFill>
                </w14:textFill>
              </w:rPr>
            </w:pPr>
            <w:r>
              <w:rPr>
                <w:rFonts w:hint="default"/>
                <w:b/>
                <w:color w:val="000000" w:themeColor="text1"/>
                <w:kern w:val="44"/>
                <w:sz w:val="21"/>
                <w:szCs w:val="21"/>
                <w:lang w:bidi="ar"/>
                <w14:textFill>
                  <w14:solidFill>
                    <w14:schemeClr w14:val="tx1"/>
                  </w14:solidFill>
                </w14:textFill>
              </w:rPr>
              <w:t>分布水系</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合鳃鱼科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Synbranchidae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黄鳝</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Monopterus albus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青龙湖、狮子水库、西河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青鳉科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Adrianichthyidae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青鳉</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Oryzias latipes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东风渠、半截河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棒花鱼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Amur False Gudgeon</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西河、西江河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4</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草鱼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Ctenopharyngodon idella</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青龙湖、西河、西江河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bookmarkStart w:id="451" w:name="_Hlk164069637"/>
            <w:r>
              <w:rPr>
                <w:rFonts w:hint="default"/>
                <w:color w:val="000000" w:themeColor="text1"/>
                <w:kern w:val="44"/>
                <w:sz w:val="21"/>
                <w:szCs w:val="21"/>
                <w:lang w:bidi="ar"/>
                <w14:textFill>
                  <w14:solidFill>
                    <w14:schemeClr w14:val="tx1"/>
                  </w14:solidFill>
                </w14:textFill>
              </w:rPr>
              <w:t>5</w:t>
            </w:r>
            <w:bookmarkEnd w:id="451"/>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钝吻棒花鱼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Abbottina obtusirostris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西河、西江河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鲫鱼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Carassius auratus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青龙湖、狮子水库、西河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Cyprinus carpio</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青龙湖、狮子水库、西河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8</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马口鱼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Opsariichthys bidens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西河、半截河、西江河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9</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麦穗鱼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Pseudorasbora parva</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东风渠、半截河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鲤科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Cyprinidae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中华鳑鮍</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Rhodeus sinensis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DD</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东风渠、半截河、西河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11</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鳅科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Cobitidae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大鳞副泥鳅</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Paramisgurnus dabryanus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青龙湖、狮子水库、西河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12</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鳅科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Cobitidae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泥鳅</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Misgurnus anguillicaudatus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青龙湖、狮子水库、西河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13</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鳢科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Channidae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乌鳢</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Channa argus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青龙湖、西河、西江河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14</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塘鳢科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Eleotridae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黄黝鱼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Hypseleotris swinhonis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西河、西江河、半截河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15</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鰕虎鱼科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Gobiidae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子陵吻鰕虎鱼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kern w:val="44"/>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Rhinogobius giurinus</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东风渠、半截河、西河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20" w:type="pct"/>
            <w:tcBorders>
              <w:top w:val="single" w:color="auto" w:sz="4" w:space="0"/>
              <w:left w:val="nil"/>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16</w:t>
            </w:r>
          </w:p>
        </w:tc>
        <w:tc>
          <w:tcPr>
            <w:tcW w:w="52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鲿科</w:t>
            </w:r>
          </w:p>
        </w:tc>
        <w:tc>
          <w:tcPr>
            <w:tcW w:w="87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Bagridae</w:t>
            </w:r>
          </w:p>
        </w:tc>
        <w:tc>
          <w:tcPr>
            <w:tcW w:w="81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黄颡鱼</w:t>
            </w:r>
          </w:p>
        </w:tc>
        <w:tc>
          <w:tcPr>
            <w:tcW w:w="83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Tachysurus fulvidraco</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4"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青龙湖、西河、西江河</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420" w:type="pct"/>
            <w:tcBorders>
              <w:top w:val="single" w:color="auto" w:sz="4" w:space="0"/>
              <w:left w:val="nil"/>
              <w:bottom w:val="single" w:color="auto" w:sz="12"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17</w:t>
            </w:r>
          </w:p>
        </w:tc>
        <w:tc>
          <w:tcPr>
            <w:tcW w:w="528"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鲇科</w:t>
            </w:r>
          </w:p>
        </w:tc>
        <w:tc>
          <w:tcPr>
            <w:tcW w:w="872"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Siluridae</w:t>
            </w:r>
          </w:p>
        </w:tc>
        <w:tc>
          <w:tcPr>
            <w:tcW w:w="819"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鲇</w:t>
            </w:r>
          </w:p>
        </w:tc>
        <w:tc>
          <w:tcPr>
            <w:tcW w:w="832"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i/>
                <w:iCs/>
                <w:color w:val="000000" w:themeColor="text1"/>
                <w:sz w:val="21"/>
                <w:szCs w:val="21"/>
                <w14:textFill>
                  <w14:solidFill>
                    <w14:schemeClr w14:val="tx1"/>
                  </w14:solidFill>
                </w14:textFill>
              </w:rPr>
            </w:pPr>
            <w:r>
              <w:rPr>
                <w:rFonts w:hint="default"/>
                <w:i/>
                <w:iCs/>
                <w:color w:val="000000" w:themeColor="text1"/>
                <w:sz w:val="21"/>
                <w:szCs w:val="21"/>
                <w14:textFill>
                  <w14:solidFill>
                    <w14:schemeClr w14:val="tx1"/>
                  </w14:solidFill>
                </w14:textFill>
              </w:rPr>
              <w:t>Silurus asotus</w:t>
            </w:r>
          </w:p>
        </w:tc>
        <w:tc>
          <w:tcPr>
            <w:tcW w:w="417"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34"/>
              <w:keepNext w:val="0"/>
              <w:keepLines w:val="0"/>
              <w:widowControl w:val="0"/>
              <w:suppressLineNumbers w:val="0"/>
              <w:adjustRightInd w:val="0"/>
              <w:snapToGrid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LC</w:t>
            </w:r>
          </w:p>
        </w:tc>
        <w:tc>
          <w:tcPr>
            <w:tcW w:w="1109" w:type="pct"/>
            <w:tcBorders>
              <w:top w:val="single" w:color="auto" w:sz="4" w:space="0"/>
              <w:left w:val="single" w:color="auto" w:sz="4" w:space="0"/>
              <w:bottom w:val="single" w:color="auto" w:sz="12" w:space="0"/>
              <w:right w:val="nil"/>
            </w:tcBorders>
            <w:shd w:val="clear" w:color="auto" w:fill="auto"/>
            <w:noWrap/>
            <w:vAlign w:val="center"/>
          </w:tcPr>
          <w:p>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kern w:val="44"/>
                <w:sz w:val="21"/>
                <w:szCs w:val="21"/>
                <w:lang w:val="en-US" w:eastAsia="zh-CN" w:bidi="ar-SA"/>
                <w14:textFill>
                  <w14:solidFill>
                    <w14:schemeClr w14:val="tx1"/>
                  </w14:solidFill>
                </w14:textFill>
              </w:rPr>
            </w:pPr>
            <w:r>
              <w:rPr>
                <w:rFonts w:hint="default"/>
                <w:color w:val="000000" w:themeColor="text1"/>
                <w:kern w:val="44"/>
                <w:sz w:val="21"/>
                <w:szCs w:val="21"/>
                <w14:textFill>
                  <w14:solidFill>
                    <w14:schemeClr w14:val="tx1"/>
                  </w14:solidFill>
                </w14:textFill>
              </w:rPr>
              <w:t>青龙湖、西河、西江河</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根据调查结果名录，评价区内分布的鱼类均为当地常见种，未发现国家重点保护野生鱼类。</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3</w:t>
      </w:r>
      <w:r>
        <w:rPr>
          <w:rFonts w:hint="eastAsia" w:ascii="宋体" w:hAnsi="宋体" w:cs="宋体"/>
          <w:color w:val="000000" w:themeColor="text1"/>
          <w:sz w:val="24"/>
          <w:szCs w:val="24"/>
          <w:lang w:bidi="ar"/>
          <w14:textFill>
            <w14:solidFill>
              <w14:schemeClr w14:val="tx1"/>
            </w14:solidFill>
          </w14:textFill>
        </w:rPr>
        <w:t>）重要水生生物物种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评价范围内主要水生生物为淡水鱼类。</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①重点保护野生动物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依据《国家重点保护野生动物名录》、《四川省重点保护野生动物名录》、统计分析，评价区内无国家重点保护水生生物。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②受威胁物种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根据《中国生物多样性红色名录－脊椎动物卷》（</w:t>
      </w:r>
      <w:r>
        <w:rPr>
          <w:color w:val="000000" w:themeColor="text1"/>
          <w:sz w:val="24"/>
          <w:szCs w:val="24"/>
          <w:lang w:bidi="ar"/>
          <w14:textFill>
            <w14:solidFill>
              <w14:schemeClr w14:val="tx1"/>
            </w14:solidFill>
          </w14:textFill>
        </w:rPr>
        <w:t>2020</w:t>
      </w:r>
      <w:r>
        <w:rPr>
          <w:rFonts w:hint="eastAsia" w:ascii="宋体" w:hAnsi="宋体" w:cs="宋体"/>
          <w:color w:val="000000" w:themeColor="text1"/>
          <w:sz w:val="24"/>
          <w:szCs w:val="24"/>
          <w:lang w:bidi="ar"/>
          <w14:textFill>
            <w14:solidFill>
              <w14:schemeClr w14:val="tx1"/>
            </w14:solidFill>
          </w14:textFill>
        </w:rPr>
        <w:t>），评价区无极危、濒危、易危野生水生动物。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③特有种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根据《中国生物多样性红色名录－脊椎动物卷》，评价区野生鱼类中有中国特有种鱼类</w:t>
      </w:r>
      <w:r>
        <w:rPr>
          <w:color w:val="000000" w:themeColor="text1"/>
          <w:sz w:val="24"/>
          <w:szCs w:val="24"/>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种。</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3.2.6.4.2浮游植物现状</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（1）浮游植物种类组成</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采集到的浮游藻类进行业内分析鉴定，结果表明：工程影响水域共采集到7门31科48属81种藻类。其中硅藻门最多，有8科15属30种，占总数的37.04%，绿藻门14科19属28种，占总数的34.57%，裸藻门、甲藻门和金藻门种类及数量均较少。优势种包括硅藻门的简单舟形藻、近缘桥弯藻，绿藻门的链枝藻、枝鞘藻等。</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hint="eastAsia" w:eastAsia="黑体"/>
          <w:color w:val="000000" w:themeColor="text1"/>
          <w14:textFill>
            <w14:solidFill>
              <w14:schemeClr w14:val="tx1"/>
            </w14:solidFill>
          </w14:textFill>
        </w:rPr>
        <w:t>表3.2-2</w:t>
      </w:r>
      <w:r>
        <w:rPr>
          <w:rFonts w:hint="eastAsia" w:eastAsia="黑体"/>
          <w:color w:val="000000" w:themeColor="text1"/>
          <w:lang w:val="en-US" w:eastAsia="zh-CN"/>
          <w14:textFill>
            <w14:solidFill>
              <w14:schemeClr w14:val="tx1"/>
            </w14:solidFill>
          </w14:textFill>
        </w:rPr>
        <w:t>8</w:t>
      </w:r>
      <w:r>
        <w:rPr>
          <w:rFonts w:hint="eastAsia" w:eastAsia="黑体"/>
          <w:color w:val="000000" w:themeColor="text1"/>
          <w14:textFill>
            <w14:solidFill>
              <w14:schemeClr w14:val="tx1"/>
            </w14:solidFill>
          </w14:textFill>
        </w:rPr>
        <w:t xml:space="preserve"> 评价区水系藻类组成</w:t>
      </w:r>
    </w:p>
    <w:tbl>
      <w:tblPr>
        <w:tblStyle w:val="1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7"/>
        <w:gridCol w:w="1176"/>
        <w:gridCol w:w="1176"/>
        <w:gridCol w:w="1176"/>
        <w:gridCol w:w="26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val="0"/>
                <w:i w:val="0"/>
                <w:color w:val="000000" w:themeColor="text1"/>
                <w14:textFill>
                  <w14:solidFill>
                    <w14:schemeClr w14:val="tx1"/>
                  </w14:solidFill>
                </w14:textFill>
              </w:rPr>
            </w:pPr>
            <w:bookmarkStart w:id="452" w:name="OLE_LINK2"/>
            <w:r>
              <w:rPr>
                <w:rFonts w:hint="default"/>
                <w:b/>
                <w:i w:val="0"/>
                <w:color w:val="000000" w:themeColor="text1"/>
                <w:lang w:val="zh-CN"/>
                <w14:textFill>
                  <w14:solidFill>
                    <w14:schemeClr w14:val="tx1"/>
                  </w14:solidFill>
                </w14:textFill>
              </w:rPr>
              <w:t>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val="0"/>
                <w:i w:val="0"/>
                <w:color w:val="000000" w:themeColor="text1"/>
                <w14:textFill>
                  <w14:solidFill>
                    <w14:schemeClr w14:val="tx1"/>
                  </w14:solidFill>
                </w14:textFill>
              </w:rPr>
            </w:pPr>
            <w:r>
              <w:rPr>
                <w:rFonts w:hint="default"/>
                <w:b/>
                <w:i w:val="0"/>
                <w:color w:val="000000" w:themeColor="text1"/>
                <w:lang w:val="zh-CN"/>
                <w14:textFill>
                  <w14:solidFill>
                    <w14:schemeClr w14:val="tx1"/>
                  </w14:solidFill>
                </w14:textFill>
              </w:rPr>
              <w:t>科</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val="0"/>
                <w:i w:val="0"/>
                <w:color w:val="000000" w:themeColor="text1"/>
                <w14:textFill>
                  <w14:solidFill>
                    <w14:schemeClr w14:val="tx1"/>
                  </w14:solidFill>
                </w14:textFill>
              </w:rPr>
            </w:pPr>
            <w:r>
              <w:rPr>
                <w:rFonts w:hint="default"/>
                <w:b/>
                <w:i w:val="0"/>
                <w:color w:val="000000" w:themeColor="text1"/>
                <w:lang w:val="zh-CN"/>
                <w14:textFill>
                  <w14:solidFill>
                    <w14:schemeClr w14:val="tx1"/>
                  </w14:solidFill>
                </w14:textFill>
              </w:rPr>
              <w:t>属</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val="0"/>
                <w:i w:val="0"/>
                <w:color w:val="000000" w:themeColor="text1"/>
                <w14:textFill>
                  <w14:solidFill>
                    <w14:schemeClr w14:val="tx1"/>
                  </w14:solidFill>
                </w14:textFill>
              </w:rPr>
            </w:pPr>
            <w:r>
              <w:rPr>
                <w:rFonts w:hint="default"/>
                <w:b/>
                <w:i w:val="0"/>
                <w:color w:val="000000" w:themeColor="text1"/>
                <w:lang w:val="zh-CN"/>
                <w14:textFill>
                  <w14:solidFill>
                    <w14:schemeClr w14:val="tx1"/>
                  </w14:solidFill>
                </w14:textFill>
              </w:rPr>
              <w:t>种</w:t>
            </w:r>
          </w:p>
        </w:tc>
        <w:tc>
          <w:tcPr>
            <w:tcW w:w="1565"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b w:val="0"/>
                <w:i w:val="0"/>
                <w:color w:val="000000" w:themeColor="text1"/>
                <w14:textFill>
                  <w14:solidFill>
                    <w14:schemeClr w14:val="tx1"/>
                  </w14:solidFill>
                </w14:textFill>
              </w:rPr>
            </w:pPr>
            <w:r>
              <w:rPr>
                <w:rFonts w:hint="default"/>
                <w:b/>
                <w:i w:val="0"/>
                <w:color w:val="000000" w:themeColor="text1"/>
                <w:lang w:val="zh-CN"/>
                <w14:textFill>
                  <w14:solidFill>
                    <w14:schemeClr w14:val="tx1"/>
                  </w14:solidFill>
                </w14:textFill>
              </w:rPr>
              <w:t xml:space="preserve">种 </w:t>
            </w:r>
            <w:r>
              <w:rPr>
                <w:rFonts w:hint="default"/>
                <w:b/>
                <w:i w:val="0"/>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蓝藻门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2</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5</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10</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14:textFill>
                  <w14:solidFill>
                    <w14:schemeClr w14:val="tx1"/>
                  </w14:solidFill>
                </w14:textFill>
              </w:rPr>
              <w:t>12.35%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lang w:val="zh-CN"/>
                <w14:textFill>
                  <w14:solidFill>
                    <w14:schemeClr w14:val="tx1"/>
                  </w14:solidFill>
                </w14:textFill>
              </w:rPr>
              <w:t>硅藻门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15</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30</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37.04%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绿藻门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14</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19</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28</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34.57%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黄藻门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6</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裸藻门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甲藻门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default"/>
                <w:color w:val="000000" w:themeColor="text1"/>
                <w:lang w:val="zh-CN"/>
                <w14:textFill>
                  <w14:solidFill>
                    <w14:schemeClr w14:val="tx1"/>
                  </w14:solidFill>
                </w14:textFill>
              </w:rPr>
              <w:t>金藻门</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690"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6" w:type="pct"/>
            <w:vAlign w:val="center"/>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lang w:val="zh-CN"/>
                <w14:textFill>
                  <w14:solidFill>
                    <w14:schemeClr w14:val="tx1"/>
                  </w14:solidFill>
                </w14:textFill>
              </w:rPr>
              <w:t>合计</w:t>
            </w:r>
          </w:p>
        </w:tc>
        <w:tc>
          <w:tcPr>
            <w:tcW w:w="690"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31</w:t>
            </w:r>
          </w:p>
        </w:tc>
        <w:tc>
          <w:tcPr>
            <w:tcW w:w="690"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48</w:t>
            </w:r>
          </w:p>
        </w:tc>
        <w:tc>
          <w:tcPr>
            <w:tcW w:w="690"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81</w:t>
            </w:r>
          </w:p>
        </w:tc>
        <w:tc>
          <w:tcPr>
            <w:tcW w:w="1565" w:type="pct"/>
            <w:vAlign w:val="top"/>
          </w:tcPr>
          <w:p>
            <w:pPr>
              <w:pStyle w:val="138"/>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100.00%</w:t>
            </w:r>
          </w:p>
        </w:tc>
      </w:tr>
      <w:bookmarkEnd w:id="452"/>
    </w:tbl>
    <w:p>
      <w:pPr>
        <w:spacing w:line="360" w:lineRule="auto"/>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（2）浮游植物组分分析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评价区水系内分布的藻类物种以硅藻门-绿藻门为主，占藻类物种总数的71.61%，符合湖泊型水系藻类组分的分布特点。各采样点之间的浮游植物种类分布差异不大，污染程度小，水质清澈。评价区水系藻类分类名录见下表：</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hint="eastAsia" w:eastAsia="黑体"/>
          <w:color w:val="000000" w:themeColor="text1"/>
          <w14:textFill>
            <w14:solidFill>
              <w14:schemeClr w14:val="tx1"/>
            </w14:solidFill>
          </w14:textFill>
        </w:rPr>
        <w:t>表3.2-2</w:t>
      </w:r>
      <w:r>
        <w:rPr>
          <w:rFonts w:hint="eastAsia" w:eastAsia="黑体"/>
          <w:color w:val="000000" w:themeColor="text1"/>
          <w:lang w:val="en-US" w:eastAsia="zh-CN"/>
          <w14:textFill>
            <w14:solidFill>
              <w14:schemeClr w14:val="tx1"/>
            </w14:solidFill>
          </w14:textFill>
        </w:rPr>
        <w:t>9</w:t>
      </w:r>
      <w:r>
        <w:rPr>
          <w:rFonts w:hint="eastAsia" w:eastAsia="黑体"/>
          <w:color w:val="000000" w:themeColor="text1"/>
          <w14:textFill>
            <w14:solidFill>
              <w14:schemeClr w14:val="tx1"/>
            </w14:solidFill>
          </w14:textFill>
        </w:rPr>
        <w:t>评价区水系藻类分类名录表</w:t>
      </w:r>
    </w:p>
    <w:tbl>
      <w:tblPr>
        <w:tblStyle w:val="147"/>
        <w:tblW w:w="492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1309"/>
        <w:gridCol w:w="1309"/>
        <w:gridCol w:w="2154"/>
        <w:gridCol w:w="27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noWrap/>
            <w:vAlign w:val="center"/>
          </w:tcPr>
          <w:p>
            <w:pPr>
              <w:pStyle w:val="138"/>
              <w:keepNext w:val="0"/>
              <w:keepLines w:val="0"/>
              <w:suppressLineNumbers w:val="0"/>
              <w:spacing w:before="0" w:beforeAutospacing="0" w:after="0" w:afterAutospacing="0"/>
              <w:ind w:left="0" w:right="0"/>
              <w:jc w:val="center"/>
              <w:rPr>
                <w:rFonts w:hint="default"/>
                <w:b w:val="0"/>
                <w:i w:val="0"/>
                <w:color w:val="000000" w:themeColor="text1"/>
                <w:lang w:val="zh-CN"/>
                <w14:textFill>
                  <w14:solidFill>
                    <w14:schemeClr w14:val="tx1"/>
                  </w14:solidFill>
                </w14:textFill>
              </w:rPr>
            </w:pPr>
            <w:r>
              <w:rPr>
                <w:rFonts w:hint="eastAsia"/>
                <w:b/>
                <w:i w:val="0"/>
                <w:color w:val="000000" w:themeColor="text1"/>
                <w:lang w:val="zh-CN"/>
                <w14:textFill>
                  <w14:solidFill>
                    <w14:schemeClr w14:val="tx1"/>
                  </w14:solidFill>
                </w14:textFill>
              </w:rPr>
              <w:t>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b w:val="0"/>
                <w:i w:val="0"/>
                <w:color w:val="000000" w:themeColor="text1"/>
                <w:lang w:val="zh-CN"/>
                <w14:textFill>
                  <w14:solidFill>
                    <w14:schemeClr w14:val="tx1"/>
                  </w14:solidFill>
                </w14:textFill>
              </w:rPr>
            </w:pPr>
            <w:r>
              <w:rPr>
                <w:rFonts w:hint="eastAsia"/>
                <w:b/>
                <w:i w:val="0"/>
                <w:color w:val="000000" w:themeColor="text1"/>
                <w:lang w:val="zh-CN"/>
                <w14:textFill>
                  <w14:solidFill>
                    <w14:schemeClr w14:val="tx1"/>
                  </w14:solidFill>
                </w14:textFill>
              </w:rPr>
              <w:t>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b w:val="0"/>
                <w:i w:val="0"/>
                <w:color w:val="000000" w:themeColor="text1"/>
                <w:lang w:val="zh-CN"/>
                <w14:textFill>
                  <w14:solidFill>
                    <w14:schemeClr w14:val="tx1"/>
                  </w14:solidFill>
                </w14:textFill>
              </w:rPr>
            </w:pPr>
            <w:r>
              <w:rPr>
                <w:rFonts w:hint="eastAsia"/>
                <w:b/>
                <w:i w:val="0"/>
                <w:color w:val="000000" w:themeColor="text1"/>
                <w:lang w:val="zh-CN"/>
                <w14:textFill>
                  <w14:solidFill>
                    <w14:schemeClr w14:val="tx1"/>
                  </w14:solidFill>
                </w14:textFill>
              </w:rPr>
              <w:t>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b w:val="0"/>
                <w:i w:val="0"/>
                <w:color w:val="000000" w:themeColor="text1"/>
                <w:lang w:val="zh-CN"/>
                <w14:textFill>
                  <w14:solidFill>
                    <w14:schemeClr w14:val="tx1"/>
                  </w14:solidFill>
                </w14:textFill>
              </w:rPr>
            </w:pPr>
            <w:r>
              <w:rPr>
                <w:rFonts w:hint="eastAsia"/>
                <w:b/>
                <w:i w:val="0"/>
                <w:color w:val="000000" w:themeColor="text1"/>
                <w:lang w:val="zh-CN"/>
                <w14:textFill>
                  <w14:solidFill>
                    <w14:schemeClr w14:val="tx1"/>
                  </w14:solidFill>
                </w14:textFill>
              </w:rPr>
              <w:t>种</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b w:val="0"/>
                <w:i w:val="0"/>
                <w:color w:val="000000" w:themeColor="text1"/>
                <w:lang w:val="zh-CN"/>
                <w14:textFill>
                  <w14:solidFill>
                    <w14:schemeClr w14:val="tx1"/>
                  </w14:solidFill>
                </w14:textFill>
              </w:rPr>
            </w:pPr>
            <w:r>
              <w:rPr>
                <w:rFonts w:hint="eastAsia"/>
                <w:b/>
                <w:i w:val="0"/>
                <w:color w:val="000000" w:themeColor="text1"/>
                <w:lang w:val="zh-CN"/>
                <w14:textFill>
                  <w14:solidFill>
                    <w14:schemeClr w14:val="tx1"/>
                  </w14:solidFill>
                </w14:textFill>
              </w:rPr>
              <w:t>学名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蓝藻门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阿氏颤藻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O. agardhii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爬行颤藻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O. animalis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巨颤藻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O. princeps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美丽颤藻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Oscillatoria formosa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螺旋藻属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为首螺旋藻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 princeps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鞘丝藻属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马氏鞘丝藻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L.marensiana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鞘丝藻属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湖泊鞘丝藻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Lyngbya limnetica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席藻属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小席藻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 tenue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颤藻科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席藻属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窝形席藻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Phormidium faveolarum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胶须藻科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尖头藻属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弯形尖头藻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Raphidiops curvata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硅藻门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中型脆杆藻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F.intermidia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钝脆杆藻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Fragolaria capucina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等片藻属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普通等片藻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Diatoma vulgare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平板藻属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窗格平板藻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Tabellaria fenestrata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针杆藻属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尺骨针杆藻双头变种</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S.ulna var. becips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针杆藻属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尖针杆藻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Synedra acusvar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脆杆藻科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针杆藻属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肘状针杆藻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Synedra ulna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短缝藻科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短缝藻属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篦形短缝藻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E. pectinnalis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菱形藻科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菱形藻属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曲膝菱形藻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N. flexa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菱形藻科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菱形藻属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泉生菱形藻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N. fonticola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菱形藻科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菱形藻属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谷皮菱形藻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N. palea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桥弯藻科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桥弯藻属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近缘桥弯藻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 aequalis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双菱藻科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波缘藻属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草鞋形波缘藻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Cymatopleura solea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纤细异极藻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G. gracile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塔型异极藻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G. turris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缢缩异极藻头状变种</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G.constrictum var. capitatum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窄异极藻延长变种</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G.ungustaturn var. producta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缢缩异极藻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Gomphonema augur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异极藻属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微细异极藻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Gomphonema parvulum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圆筛藻科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小环藻属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具星小环藻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Cyclotella stelligera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圆筛藻科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小环藻属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梅尼小环藻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Cycotela meneghiniana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圆筛藻科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直链藻属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颗粒直链藻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M. granulata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辐节藻属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显著辐节藻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 pprominula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辐节藻属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双头辐节藻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Stauroneis anceps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双壁藻属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卵圆双壁藻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Diploneis ovalis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羽纹藻属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短肋羽纹藻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 brevicostata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羽纹藻属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中型羽纹藻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Pinnularia intermedia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短小舟形藻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N. exigua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瞳孔舟形藻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N. pupula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舟形藻属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简单舟形藻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Navicula simplex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绿藻门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刚毛藻科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刚毛藻属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趋刚毛藻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 crispata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刚毛藻科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刚毛藻属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疏枝刚毛藻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 insignis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刚毛藻科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黑孢藻属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黑孢藻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Pithophora oedogonia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刚毛藻科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硬毛藻属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线形硬毛藻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 linum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鼓藻科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角丝鼓藻属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角丝鼓藻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Desmidium swartzii Ag.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鼓藻科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新月藻属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锐新月藻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 acerosum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鼓藻科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新月藻属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小书新月藻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 libellula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胶毛藻科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链枝藻属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链枝藻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Ctenocladus circinnatus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胶毛藻科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毛枝藻属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丰满毛枝藻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 farctum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胶毛藻科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毛枝藻属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池生毛枝藻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 stagnatil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胶球藻科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纺锤藻属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纺锤藻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Elakatothrix gelatinosa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卵囊藻科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球囊藻属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球囊藻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Sphaerocytis schroeteri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二角盘星藻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 duplex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单角盘星藻具孔变种</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 simplex var. duodenarium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短棘盘星藻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Pediastrum boryanum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盘星藻属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单角盘星藻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Pediastrum simplex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鞘藻科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枝鞘藻属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勃氏枝鞘藻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Oedocladium prescoii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鞘藻科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枝鞘藻属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枝鞘藻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Oedocladium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曲壳藻科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卵形藻属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扁圆卵形藻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Cocconeis placentula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双星藻科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双星藻属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双星藻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Zygnema spontaneum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双星藻科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水绵属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普通水绵</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Spirogyra communis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丝藻科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环丝藻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U.zonata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实球藻属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实球藻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Pandorina morum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微孢藻科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微孢藻属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不规则微孢藻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M. irredularis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微孢藻科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微孢藻属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方形微孢藻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M. quadrata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微孢藻科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微孢藻属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丛毛微孢藻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Microspora floccosa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小桩藻科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弓形藻属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硬弓形藻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Schroederia robusta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栅藻科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栅藻属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多棘栅藻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S. spinosus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黄藻门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黄管藻科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黄管藻属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小型黄管藻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Ophiocytim parvulum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近缘黄丝藻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T. affine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小黄丝藻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T. minus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拟丝藻黄丝藻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T. ulothrichoides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壹状黄丝藻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Tribonema utriculosum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黄丝藻属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绿色黄丝藻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Tribonema viride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裸藻门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裸藻科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裸藻属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梭形裸藻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E. acus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裸藻科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扁裸藻属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长尾扁裸藻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Phacuslongicauda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裸藻科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囊裸藻属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华丽囊裸藻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Tr. superba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甲藻门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角藻科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角藻属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梭角藻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 fusus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多甲藻科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拟多甲藻属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光薄甲藻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Glenodinturm gymnodinium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金藻门</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单鞭金藻科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单鞭金藻属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卵形单鞭金藻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Chromulina ovalia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27"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锥囊藻科</w:t>
            </w:r>
          </w:p>
        </w:tc>
        <w:tc>
          <w:tcPr>
            <w:tcW w:w="779"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锥囊藻属</w:t>
            </w:r>
          </w:p>
        </w:tc>
        <w:tc>
          <w:tcPr>
            <w:tcW w:w="128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分歧锥囊藻</w:t>
            </w:r>
          </w:p>
        </w:tc>
        <w:tc>
          <w:tcPr>
            <w:tcW w:w="1631" w:type="pct"/>
            <w:noWrap/>
            <w:vAlign w:val="center"/>
          </w:tcPr>
          <w:p>
            <w:pPr>
              <w:pStyle w:val="138"/>
              <w:keepNext w:val="0"/>
              <w:keepLines w:val="0"/>
              <w:suppressLineNumbers w:val="0"/>
              <w:spacing w:before="0" w:beforeAutospacing="0" w:after="0" w:afterAutospacing="0"/>
              <w:ind w:left="0" w:right="0"/>
              <w:jc w:val="center"/>
              <w:rPr>
                <w:rFonts w:hint="default"/>
                <w:i/>
                <w:iCs/>
                <w:color w:val="000000" w:themeColor="text1"/>
                <w:lang w:val="zh-CN"/>
                <w14:textFill>
                  <w14:solidFill>
                    <w14:schemeClr w14:val="tx1"/>
                  </w14:solidFill>
                </w14:textFill>
              </w:rPr>
            </w:pPr>
            <w:r>
              <w:rPr>
                <w:rFonts w:hint="default"/>
                <w:i/>
                <w:iCs/>
                <w:color w:val="000000" w:themeColor="text1"/>
                <w:lang w:val="zh-CN"/>
                <w14:textFill>
                  <w14:solidFill>
                    <w14:schemeClr w14:val="tx1"/>
                  </w14:solidFill>
                </w14:textFill>
              </w:rPr>
              <w:t>Dincbryondivergens</w:t>
            </w:r>
          </w:p>
        </w:tc>
      </w:tr>
    </w:tbl>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3.2.6.4.3底栖动物</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（1）底栖动物物种组成</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本项目调查到的底栖大型无脊椎动物有4门7纲12目15种，主要以腹足纲和昆虫纲生物为主。其物种名录表如下：</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hint="eastAsia" w:eastAsia="黑体"/>
          <w:color w:val="000000" w:themeColor="text1"/>
          <w14:textFill>
            <w14:solidFill>
              <w14:schemeClr w14:val="tx1"/>
            </w14:solidFill>
          </w14:textFill>
        </w:rPr>
        <w:t>表3.2-</w:t>
      </w:r>
      <w:r>
        <w:rPr>
          <w:rFonts w:hint="eastAsia" w:eastAsia="黑体"/>
          <w:color w:val="000000" w:themeColor="text1"/>
          <w:lang w:val="en-US" w:eastAsia="zh-CN"/>
          <w14:textFill>
            <w14:solidFill>
              <w14:schemeClr w14:val="tx1"/>
            </w14:solidFill>
          </w14:textFill>
        </w:rPr>
        <w:t>30</w:t>
      </w:r>
      <w:r>
        <w:rPr>
          <w:rFonts w:hint="eastAsia" w:eastAsia="黑体"/>
          <w:color w:val="000000" w:themeColor="text1"/>
          <w14:textFill>
            <w14:solidFill>
              <w14:schemeClr w14:val="tx1"/>
            </w14:solidFill>
          </w14:textFill>
        </w:rPr>
        <w:t>评价区底栖动物分类名录表</w:t>
      </w:r>
    </w:p>
    <w:tbl>
      <w:tblPr>
        <w:tblStyle w:val="147"/>
        <w:tblW w:w="490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958"/>
        <w:gridCol w:w="1441"/>
        <w:gridCol w:w="1441"/>
        <w:gridCol w:w="30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1" w:hRule="atLeast"/>
        </w:trPr>
        <w:tc>
          <w:tcPr>
            <w:tcW w:w="862" w:type="pct"/>
            <w:noWrap/>
            <w:vAlign w:val="center"/>
          </w:tcPr>
          <w:p>
            <w:pPr>
              <w:pStyle w:val="138"/>
              <w:keepNext w:val="0"/>
              <w:keepLines w:val="0"/>
              <w:suppressLineNumbers w:val="0"/>
              <w:spacing w:before="0" w:beforeAutospacing="0" w:after="0" w:afterAutospacing="0"/>
              <w:ind w:left="0" w:right="0"/>
              <w:jc w:val="center"/>
              <w:rPr>
                <w:rFonts w:hint="default"/>
                <w:b w:val="0"/>
                <w:i w:val="0"/>
                <w:color w:val="000000" w:themeColor="text1"/>
                <w:lang w:val="zh-CN"/>
                <w14:textFill>
                  <w14:solidFill>
                    <w14:schemeClr w14:val="tx1"/>
                  </w14:solidFill>
                </w14:textFill>
              </w:rPr>
            </w:pPr>
            <w:r>
              <w:rPr>
                <w:rFonts w:hint="eastAsia"/>
                <w:b/>
                <w:i w:val="0"/>
                <w:color w:val="000000" w:themeColor="text1"/>
                <w:lang w:val="zh-CN"/>
                <w14:textFill>
                  <w14:solidFill>
                    <w14:schemeClr w14:val="tx1"/>
                  </w14:solidFill>
                </w14:textFill>
              </w:rPr>
              <w:t>门</w:t>
            </w:r>
          </w:p>
        </w:tc>
        <w:tc>
          <w:tcPr>
            <w:tcW w:w="573" w:type="pct"/>
            <w:noWrap/>
            <w:vAlign w:val="center"/>
          </w:tcPr>
          <w:p>
            <w:pPr>
              <w:keepNext w:val="0"/>
              <w:keepLines w:val="0"/>
              <w:widowControl/>
              <w:suppressLineNumbers w:val="0"/>
              <w:autoSpaceDE/>
              <w:autoSpaceDN/>
              <w:spacing w:before="0" w:beforeAutospacing="0" w:after="0" w:afterAutospacing="0"/>
              <w:ind w:left="0" w:right="0"/>
              <w:jc w:val="center"/>
              <w:rPr>
                <w:rFonts w:hint="default" w:ascii="宋体" w:hAnsi="宋体" w:cs="宋体"/>
                <w:b w:val="0"/>
                <w:i w:val="0"/>
                <w:color w:val="000000" w:themeColor="text1"/>
                <w:kern w:val="0"/>
                <w:sz w:val="22"/>
                <w:szCs w:val="22"/>
                <w14:textFill>
                  <w14:solidFill>
                    <w14:schemeClr w14:val="tx1"/>
                  </w14:solidFill>
                </w14:textFill>
              </w:rPr>
            </w:pPr>
            <w:r>
              <w:rPr>
                <w:rFonts w:hint="eastAsia" w:ascii="宋体" w:hAnsi="宋体" w:cs="宋体"/>
                <w:b/>
                <w:i w:val="0"/>
                <w:color w:val="000000" w:themeColor="text1"/>
                <w:kern w:val="0"/>
                <w:sz w:val="22"/>
                <w:szCs w:val="22"/>
                <w14:textFill>
                  <w14:solidFill>
                    <w14:schemeClr w14:val="tx1"/>
                  </w14:solidFill>
                </w14:textFill>
              </w:rPr>
              <w:t>纲</w:t>
            </w:r>
          </w:p>
        </w:tc>
        <w:tc>
          <w:tcPr>
            <w:tcW w:w="862"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b w:val="0"/>
                <w:i w:val="0"/>
                <w:color w:val="000000" w:themeColor="text1"/>
                <w:kern w:val="0"/>
                <w:sz w:val="22"/>
                <w:szCs w:val="22"/>
                <w14:textFill>
                  <w14:solidFill>
                    <w14:schemeClr w14:val="tx1"/>
                  </w14:solidFill>
                </w14:textFill>
              </w:rPr>
            </w:pPr>
            <w:r>
              <w:rPr>
                <w:rFonts w:hint="eastAsia" w:ascii="宋体" w:hAnsi="宋体"/>
                <w:b/>
                <w:i w:val="0"/>
                <w:color w:val="000000" w:themeColor="text1"/>
                <w:kern w:val="0"/>
                <w:sz w:val="22"/>
                <w:szCs w:val="22"/>
                <w14:textFill>
                  <w14:solidFill>
                    <w14:schemeClr w14:val="tx1"/>
                  </w14:solidFill>
                </w14:textFill>
              </w:rPr>
              <w:t>目</w:t>
            </w:r>
          </w:p>
        </w:tc>
        <w:tc>
          <w:tcPr>
            <w:tcW w:w="862"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b w:val="0"/>
                <w:i w:val="0"/>
                <w:color w:val="000000" w:themeColor="text1"/>
                <w:kern w:val="0"/>
                <w:sz w:val="22"/>
                <w:szCs w:val="22"/>
                <w14:textFill>
                  <w14:solidFill>
                    <w14:schemeClr w14:val="tx1"/>
                  </w14:solidFill>
                </w14:textFill>
              </w:rPr>
            </w:pPr>
            <w:r>
              <w:rPr>
                <w:rFonts w:hint="eastAsia" w:ascii="宋体" w:hAnsi="宋体"/>
                <w:b/>
                <w:i w:val="0"/>
                <w:color w:val="000000" w:themeColor="text1"/>
                <w:kern w:val="0"/>
                <w:sz w:val="22"/>
                <w:szCs w:val="22"/>
                <w14:textFill>
                  <w14:solidFill>
                    <w14:schemeClr w14:val="tx1"/>
                  </w14:solidFill>
                </w14:textFill>
              </w:rPr>
              <w:t>种</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b w:val="0"/>
                <w:i w:val="0"/>
                <w:color w:val="000000" w:themeColor="text1"/>
                <w:kern w:val="0"/>
                <w:sz w:val="22"/>
                <w:szCs w:val="22"/>
                <w14:textFill>
                  <w14:solidFill>
                    <w14:schemeClr w14:val="tx1"/>
                  </w14:solidFill>
                </w14:textFill>
              </w:rPr>
            </w:pPr>
            <w:r>
              <w:rPr>
                <w:rFonts w:hint="eastAsia" w:ascii="宋体" w:hAnsi="宋体"/>
                <w:b/>
                <w:i w:val="0"/>
                <w:color w:val="000000" w:themeColor="text1"/>
                <w:kern w:val="0"/>
                <w:sz w:val="22"/>
                <w:szCs w:val="22"/>
                <w14:textFill>
                  <w14:solidFill>
                    <w14:schemeClr w14:val="tx1"/>
                  </w14:solidFill>
                </w14:textFill>
              </w:rPr>
              <w:t>学名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软体动物门</w:t>
            </w: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腹足纲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中腹足目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中华圆田螺</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 xml:space="preserve">Cipangopaludina chinensis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腹足纲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异柱目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淡水壳菜</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 xml:space="preserve">Kimnoperna lacustris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腹足纲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基眼目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椭圆萝卜螺</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R. suinhoi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瓣鳃纲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真瓣鳃目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河蚬</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Corbicula fluminea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节肢动物门</w:t>
            </w: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昆虫纲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蜉蝣目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扁蜉</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Ecdyrus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昆虫纲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蜉蝣目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细蜉</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Caenis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昆虫纲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蜉蝣目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四节蜉</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Baetis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昆虫纲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毛翅目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等翅石蛾</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 xml:space="preserve">Philopotamidae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昆虫纲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毛翅目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原石蛾</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 xml:space="preserve">Rhyacophilidae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昆虫纲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双翅目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摇蚊</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Tendipus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软甲纲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端足目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钩虾</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Gammarus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软甲纲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十足目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日本沼虾</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 xml:space="preserve">Macrobranchium nipponense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restar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环节动物门</w:t>
            </w: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蛭纲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颚蛭目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医蛭</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Hiurdo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2" w:type="pct"/>
            <w:vMerge w:val="continue"/>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寡毛纲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近孔寡毛目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水丝蚓</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Limnodrilus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扁形动物门</w:t>
            </w:r>
          </w:p>
        </w:tc>
        <w:tc>
          <w:tcPr>
            <w:tcW w:w="573"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涡虫纲</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三肠目</w:t>
            </w:r>
          </w:p>
        </w:tc>
        <w:tc>
          <w:tcPr>
            <w:tcW w:w="862" w:type="pct"/>
            <w:noWrap/>
            <w:vAlign w:val="center"/>
          </w:tcPr>
          <w:p>
            <w:pPr>
              <w:pStyle w:val="138"/>
              <w:keepNext w:val="0"/>
              <w:keepLines w:val="0"/>
              <w:suppressLineNumbers w:val="0"/>
              <w:spacing w:before="0" w:beforeAutospacing="0" w:after="0" w:afterAutospacing="0"/>
              <w:ind w:left="0" w:right="0"/>
              <w:jc w:val="center"/>
              <w:rPr>
                <w:rFonts w:hint="default"/>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涡虫</w:t>
            </w:r>
          </w:p>
        </w:tc>
        <w:tc>
          <w:tcPr>
            <w:tcW w:w="1840" w:type="pct"/>
            <w:noWrap/>
            <w:vAlign w:val="center"/>
          </w:tcPr>
          <w:p>
            <w:pPr>
              <w:keepNext w:val="0"/>
              <w:keepLines w:val="0"/>
              <w:widowControl/>
              <w:suppressLineNumbers w:val="0"/>
              <w:autoSpaceDE/>
              <w:autoSpaceDN/>
              <w:spacing w:before="0" w:beforeAutospacing="0" w:after="0" w:afterAutospacing="0"/>
              <w:ind w:left="0" w:right="0"/>
              <w:jc w:val="center"/>
              <w:rPr>
                <w:rFonts w:hint="default" w:eastAsia="等线"/>
                <w:i/>
                <w:iCs/>
                <w:color w:val="000000" w:themeColor="text1"/>
                <w:kern w:val="0"/>
                <w:sz w:val="22"/>
                <w:szCs w:val="22"/>
                <w14:textFill>
                  <w14:solidFill>
                    <w14:schemeClr w14:val="tx1"/>
                  </w14:solidFill>
                </w14:textFill>
              </w:rPr>
            </w:pPr>
            <w:r>
              <w:rPr>
                <w:rFonts w:hint="default" w:eastAsia="等线"/>
                <w:i/>
                <w:iCs/>
                <w:color w:val="000000" w:themeColor="text1"/>
                <w:kern w:val="0"/>
                <w:sz w:val="22"/>
                <w:szCs w:val="22"/>
                <w14:textFill>
                  <w14:solidFill>
                    <w14:schemeClr w14:val="tx1"/>
                  </w14:solidFill>
                </w14:textFill>
              </w:rPr>
              <w:t>Planaria sp.</w:t>
            </w:r>
          </w:p>
        </w:tc>
      </w:tr>
    </w:tbl>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（2）底栖动物组分分析</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调查到的底栖大型无脊椎生物中，优势种主要以昆虫纲的蜉蝣目、毛翅目等生物为主，该类生物更偏好清洁水体的生存环境，特别是蜉蝣目和毛翅目生物，分布最为广泛，且对水质的敏感程度较高。评价区内水系中该类生物作为区域优势种，表示评价区内水质状况良好，水生生态环境质量较高。</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3.2.6.4.4水生生境现状</w:t>
      </w:r>
    </w:p>
    <w:p>
      <w:pPr>
        <w:spacing w:line="360" w:lineRule="auto"/>
        <w:ind w:firstLine="480" w:firstLineChars="200"/>
        <w:jc w:val="both"/>
        <w:rPr>
          <w:rFonts w:ascii="宋体" w:hAnsi="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本项目涉及渠道联通水系情况如下：</w:t>
      </w:r>
    </w:p>
    <w:p>
      <w:pPr>
        <w:pStyle w:val="34"/>
        <w:widowControl w:val="0"/>
        <w:spacing w:before="0" w:beforeAutospacing="0" w:after="0" w:afterAutospacing="0"/>
        <w:ind w:left="440" w:firstLine="480"/>
        <w:jc w:val="center"/>
        <w:rPr>
          <w:rFonts w:hint="eastAsia" w:eastAsia="黑体"/>
          <w:color w:val="000000" w:themeColor="text1"/>
          <w14:textFill>
            <w14:solidFill>
              <w14:schemeClr w14:val="tx1"/>
            </w14:solidFill>
          </w14:textFill>
        </w:rPr>
      </w:pPr>
      <w:r>
        <w:rPr>
          <w:rFonts w:hint="eastAsia" w:eastAsia="黑体"/>
          <w:color w:val="000000" w:themeColor="text1"/>
          <w14:textFill>
            <w14:solidFill>
              <w14:schemeClr w14:val="tx1"/>
            </w14:solidFill>
          </w14:textFill>
        </w:rPr>
        <w:t>表3.2-3</w:t>
      </w:r>
      <w:r>
        <w:rPr>
          <w:rFonts w:hint="eastAsia" w:eastAsia="黑体"/>
          <w:color w:val="000000" w:themeColor="text1"/>
          <w:lang w:val="en-US" w:eastAsia="zh-CN"/>
          <w14:textFill>
            <w14:solidFill>
              <w14:schemeClr w14:val="tx1"/>
            </w14:solidFill>
          </w14:textFill>
        </w:rPr>
        <w:t>1</w:t>
      </w:r>
      <w:r>
        <w:rPr>
          <w:rFonts w:hint="eastAsia" w:eastAsia="黑体"/>
          <w:color w:val="000000" w:themeColor="text1"/>
          <w14:textFill>
            <w14:solidFill>
              <w14:schemeClr w14:val="tx1"/>
            </w14:solidFill>
          </w14:textFill>
        </w:rPr>
        <w:t xml:space="preserve"> 渠道沿线水系情况</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1747"/>
        <w:gridCol w:w="1456"/>
        <w:gridCol w:w="3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7" w:type="pct"/>
            <w:tcBorders>
              <w:top w:val="single" w:color="auto" w:sz="12" w:space="0"/>
              <w:left w:val="nil"/>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lang w:bidi="ar"/>
                <w14:textFill>
                  <w14:solidFill>
                    <w14:schemeClr w14:val="tx1"/>
                  </w14:solidFill>
                </w14:textFill>
              </w:rPr>
            </w:pPr>
            <w:r>
              <w:rPr>
                <w:rFonts w:hint="eastAsia"/>
                <w:b/>
                <w:bCs/>
                <w:color w:val="000000" w:themeColor="text1"/>
                <w:lang w:bidi="ar"/>
                <w14:textFill>
                  <w14:solidFill>
                    <w14:schemeClr w14:val="tx1"/>
                  </w14:solidFill>
                </w14:textFill>
              </w:rPr>
              <w:t>渠道名称</w:t>
            </w:r>
          </w:p>
        </w:tc>
        <w:tc>
          <w:tcPr>
            <w:tcW w:w="1025" w:type="pct"/>
            <w:tcBorders>
              <w:top w:val="single" w:color="auto" w:sz="12" w:space="0"/>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lang w:bidi="ar"/>
                <w14:textFill>
                  <w14:solidFill>
                    <w14:schemeClr w14:val="tx1"/>
                  </w14:solidFill>
                </w14:textFill>
              </w:rPr>
            </w:pPr>
            <w:r>
              <w:rPr>
                <w:rFonts w:hint="eastAsia"/>
                <w:b/>
                <w:bCs/>
                <w:color w:val="000000" w:themeColor="text1"/>
                <w:lang w:bidi="ar"/>
                <w14:textFill>
                  <w14:solidFill>
                    <w14:schemeClr w14:val="tx1"/>
                  </w14:solidFill>
                </w14:textFill>
              </w:rPr>
              <w:t>上游水系</w:t>
            </w:r>
          </w:p>
        </w:tc>
        <w:tc>
          <w:tcPr>
            <w:tcW w:w="854" w:type="pct"/>
            <w:tcBorders>
              <w:top w:val="single" w:color="auto" w:sz="12" w:space="0"/>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lang w:bidi="ar"/>
                <w14:textFill>
                  <w14:solidFill>
                    <w14:schemeClr w14:val="tx1"/>
                  </w14:solidFill>
                </w14:textFill>
              </w:rPr>
            </w:pPr>
            <w:r>
              <w:rPr>
                <w:rFonts w:hint="eastAsia"/>
                <w:b/>
                <w:bCs/>
                <w:color w:val="000000" w:themeColor="text1"/>
                <w:lang w:bidi="ar"/>
                <w14:textFill>
                  <w14:solidFill>
                    <w14:schemeClr w14:val="tx1"/>
                  </w14:solidFill>
                </w14:textFill>
              </w:rPr>
              <w:t>下游水系</w:t>
            </w:r>
          </w:p>
        </w:tc>
        <w:tc>
          <w:tcPr>
            <w:tcW w:w="2183" w:type="pct"/>
            <w:tcBorders>
              <w:top w:val="single" w:color="auto" w:sz="12" w:space="0"/>
              <w:right w:val="nil"/>
            </w:tcBorders>
            <w:vAlign w:val="center"/>
          </w:tcPr>
          <w:p>
            <w:pPr>
              <w:pStyle w:val="138"/>
              <w:keepNext w:val="0"/>
              <w:keepLines w:val="0"/>
              <w:suppressLineNumbers w:val="0"/>
              <w:spacing w:before="0" w:beforeAutospacing="0" w:after="0" w:afterAutospacing="0"/>
              <w:ind w:left="0" w:right="0"/>
              <w:jc w:val="center"/>
              <w:rPr>
                <w:rFonts w:hint="default"/>
                <w:b/>
                <w:bCs/>
                <w:color w:val="000000" w:themeColor="text1"/>
                <w:lang w:bidi="ar"/>
                <w14:textFill>
                  <w14:solidFill>
                    <w14:schemeClr w14:val="tx1"/>
                  </w14:solidFill>
                </w14:textFill>
              </w:rPr>
            </w:pPr>
            <w:r>
              <w:rPr>
                <w:rFonts w:hint="eastAsia"/>
                <w:b/>
                <w:bCs/>
                <w:color w:val="000000" w:themeColor="text1"/>
                <w:lang w:bidi="ar"/>
                <w14:textFill>
                  <w14:solidFill>
                    <w14:schemeClr w14:val="tx1"/>
                  </w14:solidFill>
                </w14:textFill>
              </w:rPr>
              <w:t>沿线涉及水系情况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7" w:type="pct"/>
            <w:tcBorders>
              <w:lef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北支一渠</w:t>
            </w:r>
          </w:p>
        </w:tc>
        <w:tc>
          <w:tcPr>
            <w:tcW w:w="1025"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东风渠北干渠</w:t>
            </w:r>
          </w:p>
        </w:tc>
        <w:tc>
          <w:tcPr>
            <w:tcW w:w="854"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西江河</w:t>
            </w:r>
          </w:p>
        </w:tc>
        <w:tc>
          <w:tcPr>
            <w:tcW w:w="2183" w:type="pct"/>
            <w:tcBorders>
              <w:righ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渠道自东风渠处引水，途经狮子水库、北支一渠下游，最终汇入西江河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7" w:type="pct"/>
            <w:tcBorders>
              <w:lef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董家堰补水渠（上）</w:t>
            </w:r>
          </w:p>
        </w:tc>
        <w:tc>
          <w:tcPr>
            <w:tcW w:w="1025"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北支一渠</w:t>
            </w:r>
          </w:p>
        </w:tc>
        <w:tc>
          <w:tcPr>
            <w:tcW w:w="854"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蓄水塘</w:t>
            </w:r>
          </w:p>
        </w:tc>
        <w:tc>
          <w:tcPr>
            <w:tcW w:w="2183" w:type="pct"/>
            <w:tcBorders>
              <w:righ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渠道自北支一渠引水，流入蓄水塘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7" w:type="pct"/>
            <w:tcBorders>
              <w:lef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董家堰补水渠（下）</w:t>
            </w:r>
          </w:p>
        </w:tc>
        <w:tc>
          <w:tcPr>
            <w:tcW w:w="1025"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蓄水塘</w:t>
            </w:r>
          </w:p>
        </w:tc>
        <w:tc>
          <w:tcPr>
            <w:tcW w:w="854"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董家堰</w:t>
            </w:r>
          </w:p>
        </w:tc>
        <w:tc>
          <w:tcPr>
            <w:tcW w:w="2183" w:type="pct"/>
            <w:tcBorders>
              <w:righ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渠道自蓄水塘引水，与董家堰补水渠（上）共同连接了北支渠与董家堰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7" w:type="pct"/>
            <w:tcBorders>
              <w:lef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南五支渠</w:t>
            </w:r>
          </w:p>
        </w:tc>
        <w:tc>
          <w:tcPr>
            <w:tcW w:w="1025"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东风渠、青龙湖</w:t>
            </w:r>
          </w:p>
        </w:tc>
        <w:tc>
          <w:tcPr>
            <w:tcW w:w="854" w:type="pct"/>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半截河</w:t>
            </w:r>
          </w:p>
        </w:tc>
        <w:tc>
          <w:tcPr>
            <w:tcW w:w="2183" w:type="pct"/>
            <w:tcBorders>
              <w:righ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渠道有东风渠与青龙湖两处引水口，沿线经半截河及其支沟部分汇入李河堰，另一部分流入西江河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7" w:type="pct"/>
            <w:tcBorders>
              <w:left w:val="nil"/>
              <w:bottom w:val="single" w:color="auto" w:sz="12" w:space="0"/>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南六支渠</w:t>
            </w:r>
          </w:p>
        </w:tc>
        <w:tc>
          <w:tcPr>
            <w:tcW w:w="1025" w:type="pct"/>
            <w:tcBorders>
              <w:bottom w:val="single" w:color="auto" w:sz="12" w:space="0"/>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东风渠干渠</w:t>
            </w:r>
          </w:p>
        </w:tc>
        <w:tc>
          <w:tcPr>
            <w:tcW w:w="854" w:type="pct"/>
            <w:tcBorders>
              <w:bottom w:val="single" w:color="auto" w:sz="12" w:space="0"/>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李河堰、西江河</w:t>
            </w:r>
          </w:p>
        </w:tc>
        <w:tc>
          <w:tcPr>
            <w:tcW w:w="2183" w:type="pct"/>
            <w:tcBorders>
              <w:bottom w:val="single" w:color="auto" w:sz="12" w:space="0"/>
              <w:right w:val="nil"/>
            </w:tcBorders>
            <w:vAlign w:val="center"/>
          </w:tcPr>
          <w:p>
            <w:pPr>
              <w:pStyle w:val="138"/>
              <w:keepNext w:val="0"/>
              <w:keepLines w:val="0"/>
              <w:suppressLineNumbers w:val="0"/>
              <w:spacing w:before="0" w:beforeAutospacing="0" w:after="0" w:afterAutospacing="0"/>
              <w:ind w:left="0" w:right="0"/>
              <w:jc w:val="center"/>
              <w:rPr>
                <w:rFonts w:hint="default"/>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渠道自东风渠干渠引水，流经李河堰，最终汇入西江河</w:t>
            </w:r>
          </w:p>
        </w:tc>
      </w:tr>
    </w:tbl>
    <w:p>
      <w:pPr>
        <w:spacing w:line="360" w:lineRule="auto"/>
        <w:ind w:firstLine="480" w:firstLineChars="200"/>
        <w:jc w:val="both"/>
        <w:rPr>
          <w:color w:val="000000" w:themeColor="text1"/>
          <w:sz w:val="24"/>
          <w:szCs w:val="24"/>
          <w14:textFill>
            <w14:solidFill>
              <w14:schemeClr w14:val="tx1"/>
            </w14:solidFill>
          </w14:textFill>
        </w:rPr>
      </w:pPr>
      <w:r>
        <w:rPr>
          <w:rFonts w:ascii="宋体" w:hAnsi="宋体" w:cs="宋体"/>
          <w:color w:val="000000" w:themeColor="text1"/>
          <w:sz w:val="24"/>
          <w:szCs w:val="24"/>
          <w:lang w:bidi="ar"/>
          <w14:textFill>
            <w14:solidFill>
              <w14:schemeClr w14:val="tx1"/>
            </w14:solidFill>
          </w14:textFill>
        </w:rPr>
        <w:t>本项目水生生态生境主要包括</w:t>
      </w:r>
      <w:r>
        <w:rPr>
          <w:rFonts w:hint="eastAsia" w:ascii="宋体" w:hAnsi="宋体" w:cs="宋体"/>
          <w:color w:val="000000" w:themeColor="text1"/>
          <w:sz w:val="24"/>
          <w:szCs w:val="24"/>
          <w:lang w:bidi="ar"/>
          <w14:textFill>
            <w14:solidFill>
              <w14:schemeClr w14:val="tx1"/>
            </w14:solidFill>
          </w14:textFill>
        </w:rPr>
        <w:t>青龙湖、西江河以及各级人工水渠生境</w:t>
      </w:r>
      <w:r>
        <w:rPr>
          <w:rFonts w:hint="eastAsia"/>
          <w:color w:val="000000" w:themeColor="text1"/>
          <w:sz w:val="24"/>
          <w:szCs w:val="24"/>
          <w:lang w:bidi="ar"/>
          <w14:textFill>
            <w14:solidFill>
              <w14:schemeClr w14:val="tx1"/>
            </w14:solidFill>
          </w14:textFill>
        </w:rPr>
        <w:t>。</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lang w:bidi="ar"/>
          <w14:textFill>
            <w14:solidFill>
              <w14:schemeClr w14:val="tx1"/>
            </w14:solidFill>
          </w14:textFill>
        </w:rPr>
        <w:t>西江河属于沱江流域的毗河一级支流，同时也是沱江的二级支流。发源于原龙泉镇之南、</w:t>
      </w:r>
      <w:r>
        <w:rPr>
          <w:rFonts w:hint="eastAsia" w:ascii="宋体" w:hAnsi="宋体" w:cs="宋体"/>
          <w:color w:val="000000" w:themeColor="text1"/>
          <w:sz w:val="24"/>
          <w:szCs w:val="24"/>
          <w:lang w:bidi="ar"/>
          <w14:textFill>
            <w14:solidFill>
              <w14:schemeClr w14:val="tx1"/>
            </w14:solidFill>
          </w14:textFill>
        </w:rPr>
        <w:t>山泉镇之北的柏杨沟，继续向北流动，西江河成为龙泉驿区与新都区之间的界河，并在这一过程中再次吸纳洛带溪（又称徐家河）的水量。最终，它在新都区石板滩街道穿越成渝铁路，经过一系列的曲折流动，最终汇入毗河。</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成都青龙湖的水域形态结构具有显著的特点和丰富的生态功能。由于青龙湖位于龙泉驿区，其水源可能受到周边山区雨水汇集和地下水的补给，确保了湖泊的水量稳定；从湖泊上下游给水的角度来看，青龙湖的水源主要依赖于自然降水和周边水系的补给。青龙湖自身水域面积广阔，为成都市内最大的湿地公园之一。青龙湖的水域面积约为</w:t>
      </w:r>
      <w:r>
        <w:rPr>
          <w:color w:val="000000" w:themeColor="text1"/>
          <w:sz w:val="24"/>
          <w:szCs w:val="24"/>
          <w:lang w:bidi="ar"/>
          <w14:textFill>
            <w14:solidFill>
              <w14:schemeClr w14:val="tx1"/>
            </w14:solidFill>
          </w14:textFill>
        </w:rPr>
        <w:t>12.49</w:t>
      </w:r>
      <w:r>
        <w:rPr>
          <w:rFonts w:hint="eastAsia" w:ascii="宋体" w:hAnsi="宋体" w:cs="宋体"/>
          <w:color w:val="000000" w:themeColor="text1"/>
          <w:sz w:val="24"/>
          <w:szCs w:val="24"/>
          <w:lang w:bidi="ar"/>
          <w14:textFill>
            <w14:solidFill>
              <w14:schemeClr w14:val="tx1"/>
            </w14:solidFill>
          </w14:textFill>
        </w:rPr>
        <w:t>平方公里，其湖面水域宽阔，视野开阔。湖泊通过自然的水循环和周边水系的连通，形成了相对稳定的水体环境。此外，青龙湖的水域形态结构不仅仅是一个简单的湖泊，它还包含了多个大小不等的鱼塘以及农田湿地，形成了复杂而多样的水域生态系统。这些鱼塘和湿地不仅增加了湖泊的水域面积，还为湖泊提供了额外的水源和生态功能，如净化水质、调节气候等，同时，湖泊的水深和水质都得到了良好的维护，为水生生物提供了良好的生存环境。</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东风渠从都江堰府河引水，自郫县安靖乡两河口开始，穿过凤凰山以北，流经龙泉驿区、新都区等地，最终汇入其他河流或用于灌溉。府河作为都江堰的重要分支，为东风渠提供了稳定且优质的水源。从东风渠流出的水被输送到成都市区东、新都区南、龙泉驿区北以及毗河以南至龙泉山西麓丘陵地带，满足这些地区的灌溉和生活、生产用水需求。</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3.2.6.5生态系统现状分析</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3.2.6.5.1生物生产力</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生产力是反应生态系统能量特征的指标，根据</w:t>
      </w:r>
      <w:r>
        <w:rPr>
          <w:color w:val="000000" w:themeColor="text1"/>
          <w:sz w:val="24"/>
          <w:szCs w:val="24"/>
          <w:lang w:bidi="ar"/>
          <w14:textFill>
            <w14:solidFill>
              <w14:schemeClr w14:val="tx1"/>
            </w14:solidFill>
          </w14:textFill>
        </w:rPr>
        <w:t>Holieth</w:t>
      </w:r>
      <w:r>
        <w:rPr>
          <w:rFonts w:hint="eastAsia" w:ascii="宋体" w:hAnsi="宋体" w:cs="宋体"/>
          <w:color w:val="000000" w:themeColor="text1"/>
          <w:sz w:val="24"/>
          <w:szCs w:val="24"/>
          <w:lang w:bidi="ar"/>
          <w14:textFill>
            <w14:solidFill>
              <w14:schemeClr w14:val="tx1"/>
            </w14:solidFill>
          </w14:textFill>
        </w:rPr>
        <w:t>生物生产力的两个经验公式：</w:t>
      </w:r>
    </w:p>
    <w:p>
      <w:pPr>
        <w:pStyle w:val="34"/>
        <w:widowControl w:val="0"/>
        <w:spacing w:before="0" w:after="120" w:afterAutospacing="0" w:line="360" w:lineRule="auto"/>
        <w:ind w:firstLine="480" w:firstLineChars="200"/>
        <w:jc w:val="center"/>
        <w:rPr>
          <w:color w:val="000000" w:themeColor="text1"/>
          <w14:textFill>
            <w14:solidFill>
              <w14:schemeClr w14:val="tx1"/>
            </w14:solidFill>
          </w14:textFill>
        </w:rPr>
      </w:pPr>
      <w:r>
        <w:rPr>
          <w:color w:val="000000" w:themeColor="text1"/>
          <w:lang w:bidi="ar"/>
          <w14:textFill>
            <w14:solidFill>
              <w14:schemeClr w14:val="tx1"/>
            </w14:solidFill>
          </w14:textFill>
        </w:rPr>
        <w:drawing>
          <wp:inline distT="0" distB="0" distL="114300" distR="114300">
            <wp:extent cx="1409700" cy="400050"/>
            <wp:effectExtent l="0" t="0" r="0" b="0"/>
            <wp:docPr id="15" name="图片 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IMG_257"/>
                    <pic:cNvPicPr>
                      <a:picLocks noChangeAspect="1"/>
                    </pic:cNvPicPr>
                  </pic:nvPicPr>
                  <pic:blipFill>
                    <a:blip r:embed="rId61"/>
                    <a:stretch>
                      <a:fillRect/>
                    </a:stretch>
                  </pic:blipFill>
                  <pic:spPr>
                    <a:xfrm>
                      <a:off x="0" y="0"/>
                      <a:ext cx="1409700" cy="400050"/>
                    </a:xfrm>
                    <a:prstGeom prst="rect">
                      <a:avLst/>
                    </a:prstGeom>
                    <a:noFill/>
                    <a:ln w="9525">
                      <a:noFill/>
                    </a:ln>
                  </pic:spPr>
                </pic:pic>
              </a:graphicData>
            </a:graphic>
          </wp:inline>
        </w:drawing>
      </w:r>
    </w:p>
    <w:p>
      <w:pPr>
        <w:spacing w:line="360" w:lineRule="auto"/>
        <w:ind w:firstLine="480" w:firstLineChars="200"/>
        <w:jc w:val="center"/>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drawing>
          <wp:inline distT="0" distB="0" distL="114300" distR="114300">
            <wp:extent cx="1743075" cy="209550"/>
            <wp:effectExtent l="0" t="0" r="9525" b="0"/>
            <wp:docPr id="19" name="图片 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IMG_258"/>
                    <pic:cNvPicPr>
                      <a:picLocks noChangeAspect="1"/>
                    </pic:cNvPicPr>
                  </pic:nvPicPr>
                  <pic:blipFill>
                    <a:blip r:embed="rId62"/>
                    <a:stretch>
                      <a:fillRect/>
                    </a:stretch>
                  </pic:blipFill>
                  <pic:spPr>
                    <a:xfrm>
                      <a:off x="0" y="0"/>
                      <a:ext cx="1743075" cy="209550"/>
                    </a:xfrm>
                    <a:prstGeom prst="rect">
                      <a:avLst/>
                    </a:prstGeom>
                    <a:noFill/>
                    <a:ln w="9525">
                      <a:noFill/>
                    </a:ln>
                  </pic:spPr>
                </pic:pic>
              </a:graphicData>
            </a:graphic>
          </wp:inline>
        </w:drawing>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其中：</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P</w:t>
      </w:r>
      <w:r>
        <w:rPr>
          <w:color w:val="000000" w:themeColor="text1"/>
          <w:sz w:val="24"/>
          <w:szCs w:val="24"/>
          <w:vertAlign w:val="subscript"/>
          <w:lang w:bidi="ar"/>
          <w14:textFill>
            <w14:solidFill>
              <w14:schemeClr w14:val="tx1"/>
            </w14:solidFill>
          </w14:textFill>
        </w:rPr>
        <w:t>t</w:t>
      </w:r>
      <w:r>
        <w:rPr>
          <w:rFonts w:hint="eastAsia" w:ascii="宋体" w:hAnsi="宋体" w:cs="宋体"/>
          <w:color w:val="000000" w:themeColor="text1"/>
          <w:sz w:val="24"/>
          <w:szCs w:val="24"/>
          <w:lang w:bidi="ar"/>
          <w14:textFill>
            <w14:solidFill>
              <w14:schemeClr w14:val="tx1"/>
            </w14:solidFill>
          </w14:textFill>
        </w:rPr>
        <w:t>是用年平均温度（</w:t>
      </w:r>
      <w:r>
        <w:rPr>
          <w:color w:val="000000" w:themeColor="text1"/>
          <w:sz w:val="24"/>
          <w:szCs w:val="24"/>
          <w:lang w:bidi="ar"/>
          <w14:textFill>
            <w14:solidFill>
              <w14:schemeClr w14:val="tx1"/>
            </w14:solidFill>
          </w14:textFill>
        </w:rPr>
        <w:t>t</w:t>
      </w:r>
      <w:r>
        <w:rPr>
          <w:rFonts w:hint="eastAsia" w:ascii="宋体" w:hAnsi="宋体" w:cs="宋体"/>
          <w:color w:val="000000" w:themeColor="text1"/>
          <w:sz w:val="24"/>
          <w:szCs w:val="24"/>
          <w:lang w:bidi="ar"/>
          <w14:textFill>
            <w14:solidFill>
              <w14:schemeClr w14:val="tx1"/>
            </w14:solidFill>
          </w14:textFill>
        </w:rPr>
        <w:t>℃）估计的热量生产力（单位：</w:t>
      </w:r>
      <w:r>
        <w:rPr>
          <w:color w:val="000000" w:themeColor="text1"/>
          <w:sz w:val="24"/>
          <w:szCs w:val="24"/>
          <w:lang w:bidi="ar"/>
          <w14:textFill>
            <w14:solidFill>
              <w14:schemeClr w14:val="tx1"/>
            </w14:solidFill>
          </w14:textFill>
        </w:rPr>
        <w:t>g/</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m</w:t>
      </w:r>
      <w:r>
        <w:rPr>
          <w:color w:val="000000" w:themeColor="text1"/>
          <w:sz w:val="24"/>
          <w:szCs w:val="24"/>
          <w:vertAlign w:val="superscript"/>
          <w:lang w:bidi="ar"/>
          <w14:textFill>
            <w14:solidFill>
              <w14:schemeClr w14:val="tx1"/>
            </w14:solidFill>
          </w14:textFill>
        </w:rPr>
        <w:t>2</w:t>
      </w:r>
      <w:r>
        <w:rPr>
          <w:color w:val="000000" w:themeColor="text1"/>
          <w:sz w:val="24"/>
          <w:szCs w:val="24"/>
          <w:lang w:bidi="ar"/>
          <w14:textFill>
            <w14:solidFill>
              <w14:schemeClr w14:val="tx1"/>
            </w14:solidFill>
          </w14:textFill>
        </w:rPr>
        <w:t>∙a</w:t>
      </w:r>
      <w:r>
        <w:rPr>
          <w:rFonts w:hint="eastAsia" w:ascii="宋体" w:hAnsi="宋体" w:cs="宋体"/>
          <w:color w:val="000000" w:themeColor="text1"/>
          <w:sz w:val="24"/>
          <w:szCs w:val="24"/>
          <w:lang w:bidi="ar"/>
          <w14:textFill>
            <w14:solidFill>
              <w14:schemeClr w14:val="tx1"/>
            </w14:solidFill>
          </w14:textFill>
        </w:rPr>
        <w:t>））；</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P</w:t>
      </w:r>
      <w:r>
        <w:rPr>
          <w:color w:val="000000" w:themeColor="text1"/>
          <w:sz w:val="24"/>
          <w:szCs w:val="24"/>
          <w:vertAlign w:val="subscript"/>
          <w:lang w:bidi="ar"/>
          <w14:textFill>
            <w14:solidFill>
              <w14:schemeClr w14:val="tx1"/>
            </w14:solidFill>
          </w14:textFill>
        </w:rPr>
        <w:t>p</w:t>
      </w:r>
      <w:r>
        <w:rPr>
          <w:rFonts w:hint="eastAsia" w:ascii="宋体" w:hAnsi="宋体" w:cs="宋体"/>
          <w:color w:val="000000" w:themeColor="text1"/>
          <w:sz w:val="24"/>
          <w:szCs w:val="24"/>
          <w:lang w:bidi="ar"/>
          <w14:textFill>
            <w14:solidFill>
              <w14:schemeClr w14:val="tx1"/>
            </w14:solidFill>
          </w14:textFill>
        </w:rPr>
        <w:t>是用降水量（</w:t>
      </w:r>
      <w:r>
        <w:rPr>
          <w:color w:val="000000" w:themeColor="text1"/>
          <w:sz w:val="24"/>
          <w:szCs w:val="24"/>
          <w:lang w:bidi="ar"/>
          <w14:textFill>
            <w14:solidFill>
              <w14:schemeClr w14:val="tx1"/>
            </w14:solidFill>
          </w14:textFill>
        </w:rPr>
        <w:t>p</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mm</w:t>
      </w:r>
      <w:r>
        <w:rPr>
          <w:rFonts w:hint="eastAsia" w:ascii="宋体" w:hAnsi="宋体" w:cs="宋体"/>
          <w:color w:val="000000" w:themeColor="text1"/>
          <w:sz w:val="24"/>
          <w:szCs w:val="24"/>
          <w:lang w:bidi="ar"/>
          <w14:textFill>
            <w14:solidFill>
              <w14:schemeClr w14:val="tx1"/>
            </w14:solidFill>
          </w14:textFill>
        </w:rPr>
        <w:t>）估计的水分生产力（单位：</w:t>
      </w:r>
      <w:r>
        <w:rPr>
          <w:color w:val="000000" w:themeColor="text1"/>
          <w:sz w:val="24"/>
          <w:szCs w:val="24"/>
          <w:lang w:bidi="ar"/>
          <w14:textFill>
            <w14:solidFill>
              <w14:schemeClr w14:val="tx1"/>
            </w14:solidFill>
          </w14:textFill>
        </w:rPr>
        <w:t>g/</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m</w:t>
      </w:r>
      <w:r>
        <w:rPr>
          <w:color w:val="000000" w:themeColor="text1"/>
          <w:sz w:val="24"/>
          <w:szCs w:val="24"/>
          <w:vertAlign w:val="superscript"/>
          <w:lang w:bidi="ar"/>
          <w14:textFill>
            <w14:solidFill>
              <w14:schemeClr w14:val="tx1"/>
            </w14:solidFill>
          </w14:textFill>
        </w:rPr>
        <w:t>2</w:t>
      </w:r>
      <w:r>
        <w:rPr>
          <w:color w:val="000000" w:themeColor="text1"/>
          <w:sz w:val="24"/>
          <w:szCs w:val="24"/>
          <w:lang w:bidi="ar"/>
          <w14:textFill>
            <w14:solidFill>
              <w14:schemeClr w14:val="tx1"/>
            </w14:solidFill>
          </w14:textFill>
        </w:rPr>
        <w:t>∙a</w:t>
      </w:r>
      <w:r>
        <w:rPr>
          <w:rFonts w:hint="eastAsia" w:ascii="宋体" w:hAnsi="宋体" w:cs="宋体"/>
          <w:color w:val="000000" w:themeColor="text1"/>
          <w:sz w:val="24"/>
          <w:szCs w:val="24"/>
          <w:lang w:bidi="ar"/>
          <w14:textFill>
            <w14:solidFill>
              <w14:schemeClr w14:val="tx1"/>
            </w14:solidFill>
          </w14:textFill>
        </w:rPr>
        <w:t>））。</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分别计算出热量生产力和水分生产力后，取值较小的一个生产力作为生态系统的自然生产力。因为根据</w:t>
      </w:r>
      <w:r>
        <w:rPr>
          <w:color w:val="000000" w:themeColor="text1"/>
          <w:sz w:val="24"/>
          <w:szCs w:val="24"/>
          <w:lang w:bidi="ar"/>
          <w14:textFill>
            <w14:solidFill>
              <w14:schemeClr w14:val="tx1"/>
            </w14:solidFill>
          </w14:textFill>
        </w:rPr>
        <w:t>Shelford</w:t>
      </w:r>
      <w:r>
        <w:rPr>
          <w:rFonts w:hint="eastAsia" w:ascii="宋体" w:hAnsi="宋体" w:cs="宋体"/>
          <w:color w:val="000000" w:themeColor="text1"/>
          <w:sz w:val="24"/>
          <w:szCs w:val="24"/>
          <w:lang w:bidi="ar"/>
          <w14:textFill>
            <w14:solidFill>
              <w14:schemeClr w14:val="tx1"/>
            </w14:solidFill>
          </w14:textFill>
        </w:rPr>
        <w:t>的耐受性法则和</w:t>
      </w:r>
      <w:r>
        <w:rPr>
          <w:color w:val="000000" w:themeColor="text1"/>
          <w:sz w:val="24"/>
          <w:szCs w:val="24"/>
          <w:lang w:bidi="ar"/>
          <w14:textFill>
            <w14:solidFill>
              <w14:schemeClr w14:val="tx1"/>
            </w14:solidFill>
          </w14:textFill>
        </w:rPr>
        <w:t>Liebig</w:t>
      </w:r>
      <w:r>
        <w:rPr>
          <w:rFonts w:hint="eastAsia" w:ascii="宋体" w:hAnsi="宋体" w:cs="宋体"/>
          <w:color w:val="000000" w:themeColor="text1"/>
          <w:sz w:val="24"/>
          <w:szCs w:val="24"/>
          <w:lang w:bidi="ar"/>
          <w14:textFill>
            <w14:solidFill>
              <w14:schemeClr w14:val="tx1"/>
            </w14:solidFill>
          </w14:textFill>
        </w:rPr>
        <w:t>的最小因子定律，值较小的那个生产力所对应的环境因子就是限制生态系统生产力的关键因子。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评价区所在区域年平均温度</w:t>
      </w:r>
      <w:r>
        <w:rPr>
          <w:color w:val="000000" w:themeColor="text1"/>
          <w:sz w:val="24"/>
          <w:szCs w:val="24"/>
          <w:lang w:bidi="ar"/>
          <w14:textFill>
            <w14:solidFill>
              <w14:schemeClr w14:val="tx1"/>
            </w14:solidFill>
          </w14:textFill>
        </w:rPr>
        <w:t>16.5</w:t>
      </w:r>
      <w:r>
        <w:rPr>
          <w:rFonts w:hint="eastAsia" w:ascii="宋体" w:hAnsi="宋体" w:cs="宋体"/>
          <w:color w:val="000000" w:themeColor="text1"/>
          <w:sz w:val="24"/>
          <w:szCs w:val="24"/>
          <w:lang w:bidi="ar"/>
          <w14:textFill>
            <w14:solidFill>
              <w14:schemeClr w14:val="tx1"/>
            </w14:solidFill>
          </w14:textFill>
        </w:rPr>
        <w:t>℃，年降水量</w:t>
      </w:r>
      <w:r>
        <w:rPr>
          <w:rFonts w:hint="eastAsia"/>
          <w:color w:val="000000" w:themeColor="text1"/>
          <w:sz w:val="24"/>
          <w:szCs w:val="24"/>
          <w:lang w:val="en-US" w:eastAsia="zh-CN" w:bidi="ar"/>
          <w14:textFill>
            <w14:solidFill>
              <w14:schemeClr w14:val="tx1"/>
            </w14:solidFill>
          </w14:textFill>
        </w:rPr>
        <w:t>970</w:t>
      </w:r>
      <w:r>
        <w:rPr>
          <w:rFonts w:hint="eastAsia" w:ascii="宋体" w:hAnsi="宋体" w:cs="宋体"/>
          <w:color w:val="000000" w:themeColor="text1"/>
          <w:sz w:val="24"/>
          <w:szCs w:val="24"/>
          <w:lang w:bidi="ar"/>
          <w14:textFill>
            <w14:solidFill>
              <w14:schemeClr w14:val="tx1"/>
            </w14:solidFill>
          </w14:textFill>
        </w:rPr>
        <w:t>毫米，根据</w:t>
      </w:r>
      <w:r>
        <w:rPr>
          <w:color w:val="000000" w:themeColor="text1"/>
          <w:sz w:val="24"/>
          <w:szCs w:val="24"/>
          <w:lang w:bidi="ar"/>
          <w14:textFill>
            <w14:solidFill>
              <w14:schemeClr w14:val="tx1"/>
            </w14:solidFill>
          </w14:textFill>
        </w:rPr>
        <w:t>Holieth</w:t>
      </w:r>
      <w:r>
        <w:rPr>
          <w:rFonts w:hint="eastAsia" w:ascii="宋体" w:hAnsi="宋体" w:cs="宋体"/>
          <w:color w:val="000000" w:themeColor="text1"/>
          <w:sz w:val="24"/>
          <w:szCs w:val="24"/>
          <w:lang w:bidi="ar"/>
          <w14:textFill>
            <w14:solidFill>
              <w14:schemeClr w14:val="tx1"/>
            </w14:solidFill>
          </w14:textFill>
        </w:rPr>
        <w:t>生物生产力的两个经验公式分别计算热量生产力和水分生产力，评价区内热量生产力</w:t>
      </w:r>
      <w:r>
        <w:rPr>
          <w:color w:val="000000" w:themeColor="text1"/>
          <w:sz w:val="24"/>
          <w:szCs w:val="24"/>
          <w:lang w:bidi="ar"/>
          <w14:textFill>
            <w14:solidFill>
              <w14:schemeClr w14:val="tx1"/>
            </w14:solidFill>
          </w14:textFill>
        </w:rPr>
        <w:t>1946.22(g∙m</w:t>
      </w:r>
      <w:r>
        <w:rPr>
          <w:color w:val="000000" w:themeColor="text1"/>
          <w:sz w:val="24"/>
          <w:szCs w:val="24"/>
          <w:vertAlign w:val="superscript"/>
          <w:lang w:bidi="ar"/>
          <w14:textFill>
            <w14:solidFill>
              <w14:schemeClr w14:val="tx1"/>
            </w14:solidFill>
          </w14:textFill>
        </w:rPr>
        <w:t>-2</w:t>
      </w:r>
      <w:r>
        <w:rPr>
          <w:color w:val="000000" w:themeColor="text1"/>
          <w:sz w:val="24"/>
          <w:szCs w:val="24"/>
          <w:lang w:bidi="ar"/>
          <w14:textFill>
            <w14:solidFill>
              <w14:schemeClr w14:val="tx1"/>
            </w14:solidFill>
          </w14:textFill>
        </w:rPr>
        <w:t>∙a</w:t>
      </w:r>
      <w:r>
        <w:rPr>
          <w:color w:val="000000" w:themeColor="text1"/>
          <w:sz w:val="24"/>
          <w:szCs w:val="24"/>
          <w:vertAlign w:val="superscript"/>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）大于水分生产力</w:t>
      </w:r>
      <w:r>
        <w:rPr>
          <w:rFonts w:hint="eastAsia"/>
          <w:color w:val="000000" w:themeColor="text1"/>
          <w:sz w:val="24"/>
          <w:szCs w:val="24"/>
          <w:lang w:bidi="ar"/>
          <w14:textFill>
            <w14:solidFill>
              <w14:schemeClr w14:val="tx1"/>
            </w14:solidFill>
          </w14:textFill>
        </w:rPr>
        <w:t>1424.56</w:t>
      </w:r>
      <w:r>
        <w:rPr>
          <w:color w:val="000000" w:themeColor="text1"/>
          <w:sz w:val="24"/>
          <w:szCs w:val="24"/>
          <w:lang w:bidi="ar"/>
          <w14:textFill>
            <w14:solidFill>
              <w14:schemeClr w14:val="tx1"/>
            </w14:solidFill>
          </w14:textFill>
        </w:rPr>
        <w:t>(g∙m</w:t>
      </w:r>
      <w:r>
        <w:rPr>
          <w:color w:val="000000" w:themeColor="text1"/>
          <w:sz w:val="24"/>
          <w:szCs w:val="24"/>
          <w:vertAlign w:val="superscript"/>
          <w:lang w:bidi="ar"/>
          <w14:textFill>
            <w14:solidFill>
              <w14:schemeClr w14:val="tx1"/>
            </w14:solidFill>
          </w14:textFill>
        </w:rPr>
        <w:t>-2</w:t>
      </w:r>
      <w:r>
        <w:rPr>
          <w:color w:val="000000" w:themeColor="text1"/>
          <w:sz w:val="24"/>
          <w:szCs w:val="24"/>
          <w:lang w:bidi="ar"/>
          <w14:textFill>
            <w14:solidFill>
              <w14:schemeClr w14:val="tx1"/>
            </w14:solidFill>
          </w14:textFill>
        </w:rPr>
        <w:t>∙a</w:t>
      </w:r>
      <w:r>
        <w:rPr>
          <w:color w:val="000000" w:themeColor="text1"/>
          <w:sz w:val="24"/>
          <w:szCs w:val="24"/>
          <w:vertAlign w:val="superscript"/>
          <w:lang w:bidi="ar"/>
          <w14:textFill>
            <w14:solidFill>
              <w14:schemeClr w14:val="tx1"/>
            </w14:solidFill>
          </w14:textFill>
        </w:rPr>
        <w:t>-1</w:t>
      </w:r>
      <w:r>
        <w:rPr>
          <w:rFonts w:hint="eastAsia" w:ascii="宋体" w:hAnsi="宋体" w:cs="宋体"/>
          <w:color w:val="000000" w:themeColor="text1"/>
          <w:sz w:val="24"/>
          <w:szCs w:val="24"/>
          <w:lang w:bidi="ar"/>
          <w14:textFill>
            <w14:solidFill>
              <w14:schemeClr w14:val="tx1"/>
            </w14:solidFill>
          </w14:textFill>
        </w:rPr>
        <w:t>），水分成为评价区内生产力的主要限制因子。</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由于评价区内的生态系统类型主要为园林、农田、公园湖泊等人工生态系统，其中的人工景观植被与农业植被作物在日常管理过程中会定期进行浇灌，因此以上计算得到的生物水分生产力仅能代表评价区植被在自然降水条件下的水分生产力，不代表植被实际的总水分生产力。</w:t>
      </w:r>
    </w:p>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3.2.6.5.2植被多样性指数</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生物多样性指数能够定量地反映生物群落内物种多样性程度，是用来判断生物群落结构变化或生态系统稳定性的关键，对于掌握群落动态变化以及合理利用生物资源具有重要意义。一个生态群落，群系间的多样性，有两个基本的指标，丰富度和均匀度。丰富度，衡量一个生态系统有多少不同的物种；均匀度，衡量生态系统中，不同物种之间数量的差异度。实际计算中常常用到Shannon-Wienner多样性指数、Pielou均匀度指数和Simpson优势度指数来评价它们。</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Shannon-Wienner多样性指数是衡量物种均匀度和丰富度的综合指标，与这两者均呈正相关；Pielou均匀度指数是衡量物种均匀度的指标，Simpson优势度指数是衡量物种丰富度的指标，但是考虑每个物种的丰度权重。</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Shannon-Wienner多样性指数综合考虑了群落的物种数目和均匀度两个因素，反映了生物群落结构的复杂程度，其计算公式为：</w:t>
      </w:r>
    </w:p>
    <w:p>
      <w:pPr>
        <w:autoSpaceDE/>
        <w:autoSpaceDN/>
        <w:spacing w:after="120" w:line="360" w:lineRule="auto"/>
        <w:ind w:firstLine="480" w:firstLineChars="200"/>
        <w:jc w:val="both"/>
        <w:rPr>
          <w:color w:val="000000" w:themeColor="text1"/>
          <w:sz w:val="24"/>
          <w:szCs w:val="22"/>
          <w14:textFill>
            <w14:solidFill>
              <w14:schemeClr w14:val="tx1"/>
            </w14:solidFill>
          </w14:textFill>
          <w14:ligatures w14:val="standardContextual"/>
        </w:rPr>
      </w:pPr>
      <m:oMathPara>
        <m:oMath>
          <m:r>
            <m:rPr/>
            <w:rPr>
              <w:rFonts w:ascii="Cambria Math" w:hAnsi="Cambria Math"/>
              <w:color w:val="000000" w:themeColor="text1"/>
              <w:sz w:val="24"/>
              <w:szCs w:val="22"/>
              <w14:textFill>
                <w14:solidFill>
                  <w14:schemeClr w14:val="tx1"/>
                </w14:solidFill>
              </w14:textFill>
              <w14:ligatures w14:val="standardContextual"/>
            </w:rPr>
            <m:t>H=−</m:t>
          </m:r>
          <m:nary>
            <m:naryPr>
              <m:chr m:val="∑"/>
              <m:limLoc m:val="undOvr"/>
              <m:ctrlPr>
                <w:rPr>
                  <w:rFonts w:ascii="Cambria Math" w:hAnsi="Cambria Math"/>
                  <w:i/>
                  <w:iCs/>
                  <w:color w:val="000000" w:themeColor="text1"/>
                  <w:sz w:val="24"/>
                  <w:szCs w:val="22"/>
                  <w14:textFill>
                    <w14:solidFill>
                      <w14:schemeClr w14:val="tx1"/>
                    </w14:solidFill>
                  </w14:textFill>
                  <w14:ligatures w14:val="standardContextual"/>
                </w:rPr>
              </m:ctrlPr>
            </m:naryPr>
            <m:sub>
              <m:r>
                <m:rPr/>
                <w:rPr>
                  <w:rFonts w:ascii="Cambria Math" w:hAnsi="Cambria Math"/>
                  <w:color w:val="000000" w:themeColor="text1"/>
                  <w:sz w:val="24"/>
                  <w:szCs w:val="22"/>
                  <w14:textFill>
                    <w14:solidFill>
                      <w14:schemeClr w14:val="tx1"/>
                    </w14:solidFill>
                  </w14:textFill>
                  <w14:ligatures w14:val="standardContextual"/>
                </w:rPr>
                <m:t>i=1</m:t>
              </m:r>
              <m:ctrlPr>
                <w:rPr>
                  <w:rFonts w:ascii="Cambria Math" w:hAnsi="Cambria Math"/>
                  <w:i/>
                  <w:iCs/>
                  <w:color w:val="000000" w:themeColor="text1"/>
                  <w:sz w:val="24"/>
                  <w:szCs w:val="22"/>
                  <w14:textFill>
                    <w14:solidFill>
                      <w14:schemeClr w14:val="tx1"/>
                    </w14:solidFill>
                  </w14:textFill>
                  <w14:ligatures w14:val="standardContextual"/>
                </w:rPr>
              </m:ctrlPr>
            </m:sub>
            <m:sup>
              <m:r>
                <m:rPr/>
                <w:rPr>
                  <w:rFonts w:ascii="Cambria Math" w:hAnsi="Cambria Math"/>
                  <w:color w:val="000000" w:themeColor="text1"/>
                  <w:sz w:val="24"/>
                  <w:szCs w:val="22"/>
                  <w14:textFill>
                    <w14:solidFill>
                      <w14:schemeClr w14:val="tx1"/>
                    </w14:solidFill>
                  </w14:textFill>
                  <w14:ligatures w14:val="standardContextual"/>
                </w:rPr>
                <m:t>S</m:t>
              </m:r>
              <m:ctrlPr>
                <w:rPr>
                  <w:rFonts w:ascii="Cambria Math" w:hAnsi="Cambria Math"/>
                  <w:i/>
                  <w:iCs/>
                  <w:color w:val="000000" w:themeColor="text1"/>
                  <w:sz w:val="24"/>
                  <w:szCs w:val="22"/>
                  <w14:textFill>
                    <w14:solidFill>
                      <w14:schemeClr w14:val="tx1"/>
                    </w14:solidFill>
                  </w14:textFill>
                  <w14:ligatures w14:val="standardContextual"/>
                </w:rPr>
              </m:ctrlPr>
            </m:sup>
            <m:e>
              <m:sSub>
                <m:sSubPr>
                  <m:ctrlPr>
                    <w:rPr>
                      <w:rFonts w:ascii="Cambria Math" w:hAnsi="Cambria Math"/>
                      <w:i/>
                      <w:iCs/>
                      <w:color w:val="000000" w:themeColor="text1"/>
                      <w:sz w:val="24"/>
                      <w:szCs w:val="22"/>
                      <w14:textFill>
                        <w14:solidFill>
                          <w14:schemeClr w14:val="tx1"/>
                        </w14:solidFill>
                      </w14:textFill>
                      <w14:ligatures w14:val="standardContextual"/>
                    </w:rPr>
                  </m:ctrlPr>
                </m:sSubPr>
                <m:e>
                  <m:r>
                    <m:rPr/>
                    <w:rPr>
                      <w:rFonts w:ascii="Cambria Math" w:hAnsi="Cambria Math"/>
                      <w:color w:val="000000" w:themeColor="text1"/>
                      <w:sz w:val="24"/>
                      <w:szCs w:val="22"/>
                      <w14:textFill>
                        <w14:solidFill>
                          <w14:schemeClr w14:val="tx1"/>
                        </w14:solidFill>
                      </w14:textFill>
                      <w14:ligatures w14:val="standardContextual"/>
                    </w:rPr>
                    <m:t>P</m:t>
                  </m:r>
                  <m:ctrlPr>
                    <w:rPr>
                      <w:rFonts w:ascii="Cambria Math" w:hAnsi="Cambria Math"/>
                      <w:i/>
                      <w:iCs/>
                      <w:color w:val="000000" w:themeColor="text1"/>
                      <w:sz w:val="24"/>
                      <w:szCs w:val="22"/>
                      <w14:textFill>
                        <w14:solidFill>
                          <w14:schemeClr w14:val="tx1"/>
                        </w14:solidFill>
                      </w14:textFill>
                      <w14:ligatures w14:val="standardContextual"/>
                    </w:rPr>
                  </m:ctrlPr>
                </m:e>
                <m:sub>
                  <m:r>
                    <m:rPr/>
                    <w:rPr>
                      <w:rFonts w:ascii="Cambria Math" w:hAnsi="Cambria Math"/>
                      <w:color w:val="000000" w:themeColor="text1"/>
                      <w:sz w:val="24"/>
                      <w:szCs w:val="22"/>
                      <w14:textFill>
                        <w14:solidFill>
                          <w14:schemeClr w14:val="tx1"/>
                        </w14:solidFill>
                      </w14:textFill>
                      <w14:ligatures w14:val="standardContextual"/>
                    </w:rPr>
                    <m:t>i</m:t>
                  </m:r>
                  <m:ctrlPr>
                    <w:rPr>
                      <w:rFonts w:ascii="Cambria Math" w:hAnsi="Cambria Math"/>
                      <w:i/>
                      <w:iCs/>
                      <w:color w:val="000000" w:themeColor="text1"/>
                      <w:sz w:val="24"/>
                      <w:szCs w:val="22"/>
                      <w14:textFill>
                        <w14:solidFill>
                          <w14:schemeClr w14:val="tx1"/>
                        </w14:solidFill>
                      </w14:textFill>
                      <w14:ligatures w14:val="standardContextual"/>
                    </w:rPr>
                  </m:ctrlPr>
                </m:sub>
              </m:sSub>
              <m:r>
                <m:rPr/>
                <w:rPr>
                  <w:rFonts w:ascii="Cambria Math" w:hAnsi="Cambria Math"/>
                  <w:color w:val="000000" w:themeColor="text1"/>
                  <w:sz w:val="24"/>
                  <w:szCs w:val="22"/>
                  <w14:textFill>
                    <w14:solidFill>
                      <w14:schemeClr w14:val="tx1"/>
                    </w14:solidFill>
                  </w14:textFill>
                  <w14:ligatures w14:val="standardContextual"/>
                </w:rPr>
                <m:t>ln</m:t>
              </m:r>
              <m:sSub>
                <m:sSubPr>
                  <m:ctrlPr>
                    <w:rPr>
                      <w:rFonts w:ascii="Cambria Math" w:hAnsi="Cambria Math"/>
                      <w:i/>
                      <w:iCs/>
                      <w:color w:val="000000" w:themeColor="text1"/>
                      <w:sz w:val="24"/>
                      <w:szCs w:val="22"/>
                      <w14:textFill>
                        <w14:solidFill>
                          <w14:schemeClr w14:val="tx1"/>
                        </w14:solidFill>
                      </w14:textFill>
                      <w14:ligatures w14:val="standardContextual"/>
                    </w:rPr>
                  </m:ctrlPr>
                </m:sSubPr>
                <m:e>
                  <m:r>
                    <m:rPr/>
                    <w:rPr>
                      <w:rFonts w:ascii="Cambria Math" w:hAnsi="Cambria Math"/>
                      <w:color w:val="000000" w:themeColor="text1"/>
                      <w:sz w:val="24"/>
                      <w:szCs w:val="22"/>
                      <w14:textFill>
                        <w14:solidFill>
                          <w14:schemeClr w14:val="tx1"/>
                        </w14:solidFill>
                      </w14:textFill>
                      <w14:ligatures w14:val="standardContextual"/>
                    </w:rPr>
                    <m:t>P</m:t>
                  </m:r>
                  <m:ctrlPr>
                    <w:rPr>
                      <w:rFonts w:ascii="Cambria Math" w:hAnsi="Cambria Math"/>
                      <w:i/>
                      <w:iCs/>
                      <w:color w:val="000000" w:themeColor="text1"/>
                      <w:sz w:val="24"/>
                      <w:szCs w:val="22"/>
                      <w14:textFill>
                        <w14:solidFill>
                          <w14:schemeClr w14:val="tx1"/>
                        </w14:solidFill>
                      </w14:textFill>
                      <w14:ligatures w14:val="standardContextual"/>
                    </w:rPr>
                  </m:ctrlPr>
                </m:e>
                <m:sub>
                  <m:r>
                    <m:rPr/>
                    <w:rPr>
                      <w:rFonts w:ascii="Cambria Math" w:hAnsi="Cambria Math"/>
                      <w:color w:val="000000" w:themeColor="text1"/>
                      <w:sz w:val="24"/>
                      <w:szCs w:val="22"/>
                      <w14:textFill>
                        <w14:solidFill>
                          <w14:schemeClr w14:val="tx1"/>
                        </w14:solidFill>
                      </w14:textFill>
                      <w14:ligatures w14:val="standardContextual"/>
                    </w:rPr>
                    <m:t>i</m:t>
                  </m:r>
                  <m:ctrlPr>
                    <w:rPr>
                      <w:rFonts w:ascii="Cambria Math" w:hAnsi="Cambria Math"/>
                      <w:i/>
                      <w:iCs/>
                      <w:color w:val="000000" w:themeColor="text1"/>
                      <w:sz w:val="24"/>
                      <w:szCs w:val="22"/>
                      <w14:textFill>
                        <w14:solidFill>
                          <w14:schemeClr w14:val="tx1"/>
                        </w14:solidFill>
                      </w14:textFill>
                      <w14:ligatures w14:val="standardContextual"/>
                    </w:rPr>
                  </m:ctrlPr>
                </m:sub>
              </m:sSub>
              <m:ctrlPr>
                <w:rPr>
                  <w:rFonts w:ascii="Cambria Math" w:hAnsi="Cambria Math"/>
                  <w:i/>
                  <w:iCs/>
                  <w:color w:val="000000" w:themeColor="text1"/>
                  <w:sz w:val="24"/>
                  <w:szCs w:val="22"/>
                  <w14:textFill>
                    <w14:solidFill>
                      <w14:schemeClr w14:val="tx1"/>
                    </w14:solidFill>
                  </w14:textFill>
                  <w14:ligatures w14:val="standardContextual"/>
                </w:rPr>
              </m:ctrlPr>
            </m:e>
          </m:nary>
        </m:oMath>
      </m:oMathPara>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该公式中：</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H代表Shannon-Wienner多样性指数；</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P</w:t>
      </w:r>
      <w:r>
        <w:rPr>
          <w:rFonts w:hint="eastAsia"/>
          <w:color w:val="000000" w:themeColor="text1"/>
          <w:sz w:val="24"/>
          <w:szCs w:val="24"/>
          <w:vertAlign w:val="subscript"/>
          <w14:textFill>
            <w14:solidFill>
              <w14:schemeClr w14:val="tx1"/>
            </w14:solidFill>
          </w14:textFill>
        </w:rPr>
        <w:t>i</w:t>
      </w:r>
      <w:r>
        <w:rPr>
          <w:rFonts w:hint="eastAsia"/>
          <w:color w:val="000000" w:themeColor="text1"/>
          <w:sz w:val="24"/>
          <w:szCs w:val="24"/>
          <w14:textFill>
            <w14:solidFill>
              <w14:schemeClr w14:val="tx1"/>
            </w14:solidFill>
          </w14:textFill>
        </w:rPr>
        <w:t>代表调查群落内属于第i种的个体比例；</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S代表调查群落内物种种类总数，即丰富度指数。</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通常Shannon-Wienner指数越大，表示群落多样性越高，结构越复杂，群落稳定性越大，生态环境状况越好；而当植被受到破坏时，某些种类会消亡，Shannon-Wienner指数减小，群落结构趋于简单，指示植被出现下降。</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Pielou均匀度指数（以Shannon-Wienner指数为基础）是衡量物种均匀度的指标，物种均匀度是指一个群落或环境中的全部物种数目个体数目的分配状况。物种均匀度是对不同物种在数量上接近程度的衡量。从指数信息可以反馈。其计算公式为：</w:t>
      </w:r>
    </w:p>
    <w:p>
      <w:pPr>
        <w:autoSpaceDE/>
        <w:autoSpaceDN/>
        <w:spacing w:line="360" w:lineRule="auto"/>
        <w:ind w:firstLine="480" w:firstLineChars="200"/>
        <w:jc w:val="both"/>
        <w:rPr>
          <w:color w:val="000000" w:themeColor="text1"/>
          <w:sz w:val="24"/>
          <w:szCs w:val="22"/>
          <w14:textFill>
            <w14:solidFill>
              <w14:schemeClr w14:val="tx1"/>
            </w14:solidFill>
          </w14:textFill>
          <w14:ligatures w14:val="standardContextual"/>
        </w:rPr>
      </w:pPr>
      <m:oMathPara>
        <m:oMath>
          <m:sSub>
            <m:sSubPr>
              <m:ctrlPr>
                <w:rPr>
                  <w:rFonts w:ascii="Cambria Math" w:hAnsi="Cambria Math"/>
                  <w:i/>
                  <w:color w:val="000000" w:themeColor="text1"/>
                  <w:sz w:val="24"/>
                  <w:szCs w:val="22"/>
                  <w14:textFill>
                    <w14:solidFill>
                      <w14:schemeClr w14:val="tx1"/>
                    </w14:solidFill>
                  </w14:textFill>
                  <w14:ligatures w14:val="standardContextual"/>
                </w:rPr>
              </m:ctrlPr>
            </m:sSubPr>
            <m:e>
              <m:r>
                <m:rPr/>
                <w:rPr>
                  <w:rFonts w:ascii="Cambria Math" w:hAnsi="Cambria Math"/>
                  <w:color w:val="000000" w:themeColor="text1"/>
                  <w:sz w:val="24"/>
                  <w:szCs w:val="22"/>
                  <w14:textFill>
                    <w14:solidFill>
                      <w14:schemeClr w14:val="tx1"/>
                    </w14:solidFill>
                  </w14:textFill>
                  <w14:ligatures w14:val="standardContextual"/>
                </w:rPr>
                <m:t>E</m:t>
              </m:r>
              <m:ctrlPr>
                <w:rPr>
                  <w:rFonts w:ascii="Cambria Math" w:hAnsi="Cambria Math"/>
                  <w:i/>
                  <w:color w:val="000000" w:themeColor="text1"/>
                  <w:sz w:val="24"/>
                  <w:szCs w:val="22"/>
                  <w14:textFill>
                    <w14:solidFill>
                      <w14:schemeClr w14:val="tx1"/>
                    </w14:solidFill>
                  </w14:textFill>
                  <w14:ligatures w14:val="standardContextual"/>
                </w:rPr>
              </m:ctrlPr>
            </m:e>
            <m:sub>
              <m:r>
                <m:rPr/>
                <w:rPr>
                  <w:rFonts w:ascii="Cambria Math" w:hAnsi="Cambria Math"/>
                  <w:color w:val="000000" w:themeColor="text1"/>
                  <w:sz w:val="24"/>
                  <w:szCs w:val="22"/>
                  <w14:textFill>
                    <w14:solidFill>
                      <w14:schemeClr w14:val="tx1"/>
                    </w14:solidFill>
                  </w14:textFill>
                  <w14:ligatures w14:val="standardContextual"/>
                </w:rPr>
                <m:t>H</m:t>
              </m:r>
              <m:ctrlPr>
                <w:rPr>
                  <w:rFonts w:ascii="Cambria Math" w:hAnsi="Cambria Math"/>
                  <w:i/>
                  <w:color w:val="000000" w:themeColor="text1"/>
                  <w:sz w:val="24"/>
                  <w:szCs w:val="22"/>
                  <w14:textFill>
                    <w14:solidFill>
                      <w14:schemeClr w14:val="tx1"/>
                    </w14:solidFill>
                  </w14:textFill>
                  <w14:ligatures w14:val="standardContextual"/>
                </w:rPr>
              </m:ctrlPr>
            </m:sub>
          </m:sSub>
          <m:r>
            <m:rPr/>
            <w:rPr>
              <w:rFonts w:ascii="Cambria Math" w:hAnsi="Cambria Math"/>
              <w:color w:val="000000" w:themeColor="text1"/>
              <w:sz w:val="24"/>
              <w:szCs w:val="22"/>
              <w14:textFill>
                <w14:solidFill>
                  <w14:schemeClr w14:val="tx1"/>
                </w14:solidFill>
              </w14:textFill>
              <w14:ligatures w14:val="standardContextual"/>
            </w:rPr>
            <m:t>=</m:t>
          </m:r>
          <m:f>
            <m:fPr>
              <m:ctrlPr>
                <w:rPr>
                  <w:rFonts w:ascii="Cambria Math" w:hAnsi="Cambria Math"/>
                  <w:i/>
                  <w:color w:val="000000" w:themeColor="text1"/>
                  <w:sz w:val="24"/>
                  <w:szCs w:val="22"/>
                  <w14:textFill>
                    <w14:solidFill>
                      <w14:schemeClr w14:val="tx1"/>
                    </w14:solidFill>
                  </w14:textFill>
                  <w14:ligatures w14:val="standardContextual"/>
                </w:rPr>
              </m:ctrlPr>
            </m:fPr>
            <m:num>
              <m:r>
                <m:rPr/>
                <w:rPr>
                  <w:rFonts w:ascii="Cambria Math" w:hAnsi="Cambria Math"/>
                  <w:color w:val="000000" w:themeColor="text1"/>
                  <w:sz w:val="24"/>
                  <w:szCs w:val="22"/>
                  <w14:textFill>
                    <w14:solidFill>
                      <w14:schemeClr w14:val="tx1"/>
                    </w14:solidFill>
                  </w14:textFill>
                  <w14:ligatures w14:val="standardContextual"/>
                </w:rPr>
                <m:t>H</m:t>
              </m:r>
              <m:ctrlPr>
                <w:rPr>
                  <w:rFonts w:ascii="Cambria Math" w:hAnsi="Cambria Math"/>
                  <w:i/>
                  <w:color w:val="000000" w:themeColor="text1"/>
                  <w:sz w:val="24"/>
                  <w:szCs w:val="22"/>
                  <w14:textFill>
                    <w14:solidFill>
                      <w14:schemeClr w14:val="tx1"/>
                    </w14:solidFill>
                  </w14:textFill>
                  <w14:ligatures w14:val="standardContextual"/>
                </w:rPr>
              </m:ctrlPr>
            </m:num>
            <m:den>
              <m:r>
                <m:rPr/>
                <w:rPr>
                  <w:rFonts w:ascii="Cambria Math" w:hAnsi="Cambria Math"/>
                  <w:color w:val="000000" w:themeColor="text1"/>
                  <w:sz w:val="24"/>
                  <w:szCs w:val="22"/>
                  <w14:textFill>
                    <w14:solidFill>
                      <w14:schemeClr w14:val="tx1"/>
                    </w14:solidFill>
                  </w14:textFill>
                  <w14:ligatures w14:val="standardContextual"/>
                </w:rPr>
                <m:t>lnS</m:t>
              </m:r>
              <m:ctrlPr>
                <w:rPr>
                  <w:rFonts w:ascii="Cambria Math" w:hAnsi="Cambria Math"/>
                  <w:i/>
                  <w:color w:val="000000" w:themeColor="text1"/>
                  <w:sz w:val="24"/>
                  <w:szCs w:val="22"/>
                  <w14:textFill>
                    <w14:solidFill>
                      <w14:schemeClr w14:val="tx1"/>
                    </w14:solidFill>
                  </w14:textFill>
                  <w14:ligatures w14:val="standardContextual"/>
                </w:rPr>
              </m:ctrlPr>
            </m:den>
          </m:f>
        </m:oMath>
      </m:oMathPara>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该公式中：E</w:t>
      </w:r>
      <w:r>
        <w:rPr>
          <w:rFonts w:hint="eastAsia"/>
          <w:color w:val="000000" w:themeColor="text1"/>
          <w:sz w:val="24"/>
          <w:szCs w:val="24"/>
          <w:vertAlign w:val="subscript"/>
          <w14:textFill>
            <w14:solidFill>
              <w14:schemeClr w14:val="tx1"/>
            </w14:solidFill>
          </w14:textFill>
        </w:rPr>
        <w:t>H</w:t>
      </w:r>
      <w:r>
        <w:rPr>
          <w:rFonts w:hint="eastAsia"/>
          <w:color w:val="000000" w:themeColor="text1"/>
          <w:sz w:val="24"/>
          <w:szCs w:val="24"/>
          <w14:textFill>
            <w14:solidFill>
              <w14:schemeClr w14:val="tx1"/>
            </w14:solidFill>
          </w14:textFill>
        </w:rPr>
        <w:t>代表Pielou均匀度指数；</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H代表Shannon-Wienner多样性指数；</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S代表调查群落内物种种类总数，即丰富度指数。</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通常Pielou指数越大，均匀度越高。物种均匀度又称物种的相对密度。物种数目越多，多样性越丰富，物种数目相同时，每个物种的个体数越平均，则多样性越丰富。</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Simpson优势度指数与均匀度有关。优势度指数越大，表明生物群落内不同种类生物数量分布越不均匀，优势生物的生态功能越突出。</w:t>
      </w:r>
    </w:p>
    <w:p>
      <w:pPr>
        <w:autoSpaceDE/>
        <w:autoSpaceDN/>
        <w:spacing w:after="120" w:line="360" w:lineRule="auto"/>
        <w:ind w:firstLine="480" w:firstLineChars="200"/>
        <w:jc w:val="both"/>
        <w:rPr>
          <w:iCs/>
          <w:color w:val="000000" w:themeColor="text1"/>
          <w:sz w:val="24"/>
          <w:szCs w:val="22"/>
          <w14:textFill>
            <w14:solidFill>
              <w14:schemeClr w14:val="tx1"/>
            </w14:solidFill>
          </w14:textFill>
          <w14:ligatures w14:val="standardContextual"/>
        </w:rPr>
      </w:pPr>
      <m:oMathPara>
        <m:oMath>
          <m:r>
            <m:rPr/>
            <w:rPr>
              <w:rFonts w:ascii="Cambria Math" w:hAnsi="Cambria Math"/>
              <w:color w:val="000000" w:themeColor="text1"/>
              <w:sz w:val="24"/>
              <w:szCs w:val="22"/>
              <w14:textFill>
                <w14:solidFill>
                  <w14:schemeClr w14:val="tx1"/>
                </w14:solidFill>
              </w14:textFill>
              <w14:ligatures w14:val="standardContextual"/>
            </w:rPr>
            <m:t>D=1−</m:t>
          </m:r>
          <m:nary>
            <m:naryPr>
              <m:chr m:val="∑"/>
              <m:limLoc m:val="undOvr"/>
              <m:subHide m:val="1"/>
              <m:supHide m:val="1"/>
              <m:ctrlPr>
                <w:rPr>
                  <w:rFonts w:ascii="Cambria Math" w:hAnsi="Cambria Math"/>
                  <w:i/>
                  <w:iCs/>
                  <w:color w:val="000000" w:themeColor="text1"/>
                  <w:sz w:val="24"/>
                  <w:szCs w:val="22"/>
                  <w14:textFill>
                    <w14:solidFill>
                      <w14:schemeClr w14:val="tx1"/>
                    </w14:solidFill>
                  </w14:textFill>
                  <w14:ligatures w14:val="standardContextual"/>
                </w:rPr>
              </m:ctrlPr>
            </m:naryPr>
            <m:sub>
              <m:ctrlPr>
                <w:rPr>
                  <w:rFonts w:ascii="Cambria Math" w:hAnsi="Cambria Math"/>
                  <w:i/>
                  <w:iCs/>
                  <w:color w:val="000000" w:themeColor="text1"/>
                  <w:sz w:val="24"/>
                  <w:szCs w:val="22"/>
                  <w14:textFill>
                    <w14:solidFill>
                      <w14:schemeClr w14:val="tx1"/>
                    </w14:solidFill>
                  </w14:textFill>
                  <w14:ligatures w14:val="standardContextual"/>
                </w:rPr>
              </m:ctrlPr>
            </m:sub>
            <m:sup>
              <m:ctrlPr>
                <w:rPr>
                  <w:rFonts w:ascii="Cambria Math" w:hAnsi="Cambria Math"/>
                  <w:i/>
                  <w:iCs/>
                  <w:color w:val="000000" w:themeColor="text1"/>
                  <w:sz w:val="24"/>
                  <w:szCs w:val="22"/>
                  <w14:textFill>
                    <w14:solidFill>
                      <w14:schemeClr w14:val="tx1"/>
                    </w14:solidFill>
                  </w14:textFill>
                  <w14:ligatures w14:val="standardContextual"/>
                </w:rPr>
              </m:ctrlPr>
            </m:sup>
            <m:e>
              <m:sSubSup>
                <m:sSubSupPr>
                  <m:ctrlPr>
                    <w:rPr>
                      <w:rFonts w:ascii="Cambria Math" w:hAnsi="Cambria Math"/>
                      <w:i/>
                      <w:iCs/>
                      <w:color w:val="000000" w:themeColor="text1"/>
                      <w:sz w:val="24"/>
                      <w:szCs w:val="22"/>
                      <w14:textFill>
                        <w14:solidFill>
                          <w14:schemeClr w14:val="tx1"/>
                        </w14:solidFill>
                      </w14:textFill>
                      <w14:ligatures w14:val="standardContextual"/>
                    </w:rPr>
                  </m:ctrlPr>
                </m:sSubSupPr>
                <m:e>
                  <m:r>
                    <m:rPr/>
                    <w:rPr>
                      <w:rFonts w:ascii="Cambria Math" w:hAnsi="Cambria Math"/>
                      <w:color w:val="000000" w:themeColor="text1"/>
                      <w:sz w:val="24"/>
                      <w:szCs w:val="22"/>
                      <w14:textFill>
                        <w14:solidFill>
                          <w14:schemeClr w14:val="tx1"/>
                        </w14:solidFill>
                      </w14:textFill>
                      <w14:ligatures w14:val="standardContextual"/>
                    </w:rPr>
                    <m:t>P</m:t>
                  </m:r>
                  <m:ctrlPr>
                    <w:rPr>
                      <w:rFonts w:ascii="Cambria Math" w:hAnsi="Cambria Math"/>
                      <w:i/>
                      <w:iCs/>
                      <w:color w:val="000000" w:themeColor="text1"/>
                      <w:sz w:val="24"/>
                      <w:szCs w:val="22"/>
                      <w14:textFill>
                        <w14:solidFill>
                          <w14:schemeClr w14:val="tx1"/>
                        </w14:solidFill>
                      </w14:textFill>
                      <w14:ligatures w14:val="standardContextual"/>
                    </w:rPr>
                  </m:ctrlPr>
                </m:e>
                <m:sub>
                  <m:r>
                    <m:rPr/>
                    <w:rPr>
                      <w:rFonts w:ascii="Cambria Math" w:hAnsi="Cambria Math"/>
                      <w:color w:val="000000" w:themeColor="text1"/>
                      <w:sz w:val="24"/>
                      <w:szCs w:val="22"/>
                      <w14:textFill>
                        <w14:solidFill>
                          <w14:schemeClr w14:val="tx1"/>
                        </w14:solidFill>
                      </w14:textFill>
                      <w14:ligatures w14:val="standardContextual"/>
                    </w:rPr>
                    <m:t>i</m:t>
                  </m:r>
                  <m:ctrlPr>
                    <w:rPr>
                      <w:rFonts w:ascii="Cambria Math" w:hAnsi="Cambria Math"/>
                      <w:i/>
                      <w:iCs/>
                      <w:color w:val="000000" w:themeColor="text1"/>
                      <w:sz w:val="24"/>
                      <w:szCs w:val="22"/>
                      <w14:textFill>
                        <w14:solidFill>
                          <w14:schemeClr w14:val="tx1"/>
                        </w14:solidFill>
                      </w14:textFill>
                      <w14:ligatures w14:val="standardContextual"/>
                    </w:rPr>
                  </m:ctrlPr>
                </m:sub>
                <m:sup>
                  <m:r>
                    <m:rPr/>
                    <w:rPr>
                      <w:rFonts w:ascii="Cambria Math" w:hAnsi="Cambria Math"/>
                      <w:color w:val="000000" w:themeColor="text1"/>
                      <w:sz w:val="24"/>
                      <w:szCs w:val="22"/>
                      <w14:textFill>
                        <w14:solidFill>
                          <w14:schemeClr w14:val="tx1"/>
                        </w14:solidFill>
                      </w14:textFill>
                      <w14:ligatures w14:val="standardContextual"/>
                    </w:rPr>
                    <m:t>2</m:t>
                  </m:r>
                  <m:ctrlPr>
                    <w:rPr>
                      <w:rFonts w:ascii="Cambria Math" w:hAnsi="Cambria Math"/>
                      <w:i/>
                      <w:iCs/>
                      <w:color w:val="000000" w:themeColor="text1"/>
                      <w:sz w:val="24"/>
                      <w:szCs w:val="22"/>
                      <w14:textFill>
                        <w14:solidFill>
                          <w14:schemeClr w14:val="tx1"/>
                        </w14:solidFill>
                      </w14:textFill>
                      <w14:ligatures w14:val="standardContextual"/>
                    </w:rPr>
                  </m:ctrlPr>
                </m:sup>
              </m:sSubSup>
              <m:ctrlPr>
                <w:rPr>
                  <w:rFonts w:ascii="Cambria Math" w:hAnsi="Cambria Math"/>
                  <w:i/>
                  <w:iCs/>
                  <w:color w:val="000000" w:themeColor="text1"/>
                  <w:sz w:val="24"/>
                  <w:szCs w:val="22"/>
                  <w14:textFill>
                    <w14:solidFill>
                      <w14:schemeClr w14:val="tx1"/>
                    </w14:solidFill>
                  </w14:textFill>
                  <w14:ligatures w14:val="standardContextual"/>
                </w:rPr>
              </m:ctrlPr>
            </m:e>
          </m:nary>
        </m:oMath>
      </m:oMathPara>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该公式中：D代表Simpson优势度指数；</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P</w:t>
      </w:r>
      <w:r>
        <w:rPr>
          <w:rFonts w:hint="eastAsia"/>
          <w:color w:val="000000" w:themeColor="text1"/>
          <w:sz w:val="24"/>
          <w:szCs w:val="24"/>
          <w:vertAlign w:val="subscript"/>
          <w14:textFill>
            <w14:solidFill>
              <w14:schemeClr w14:val="tx1"/>
            </w14:solidFill>
          </w14:textFill>
        </w:rPr>
        <w:t>i</w:t>
      </w:r>
      <w:r>
        <w:rPr>
          <w:rFonts w:hint="eastAsia"/>
          <w:color w:val="000000" w:themeColor="text1"/>
          <w:sz w:val="24"/>
          <w:szCs w:val="24"/>
          <w14:textFill>
            <w14:solidFill>
              <w14:schemeClr w14:val="tx1"/>
            </w14:solidFill>
          </w14:textFill>
        </w:rPr>
        <w:t>代表调查群落内属于第i种的个体比例。</w:t>
      </w:r>
    </w:p>
    <w:p>
      <w:pPr>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对评价区内调查的6个群系。18个样方统计物种数量，进行多样性计算。计算结果如下表所示：</w:t>
      </w:r>
    </w:p>
    <w:p>
      <w:pPr>
        <w:pStyle w:val="34"/>
        <w:widowControl w:val="0"/>
        <w:spacing w:before="0" w:beforeAutospacing="0" w:after="0" w:afterAutospacing="0"/>
        <w:ind w:left="440" w:firstLine="480"/>
        <w:jc w:val="center"/>
        <w:rPr>
          <w:rFonts w:eastAsia="黑体"/>
          <w:color w:val="000000" w:themeColor="text1"/>
          <w14:textFill>
            <w14:solidFill>
              <w14:schemeClr w14:val="tx1"/>
            </w14:solidFill>
          </w14:textFill>
        </w:rPr>
      </w:pPr>
      <w:r>
        <w:rPr>
          <w:rFonts w:hint="eastAsia" w:eastAsia="黑体"/>
          <w:color w:val="000000" w:themeColor="text1"/>
          <w14:textFill>
            <w14:solidFill>
              <w14:schemeClr w14:val="tx1"/>
            </w14:solidFill>
          </w14:textFill>
        </w:rPr>
        <w:tab/>
      </w:r>
      <w:r>
        <w:rPr>
          <w:rFonts w:hint="eastAsia" w:eastAsia="黑体"/>
          <w:color w:val="000000" w:themeColor="text1"/>
          <w14:textFill>
            <w14:solidFill>
              <w14:schemeClr w14:val="tx1"/>
            </w14:solidFill>
          </w14:textFill>
        </w:rPr>
        <w:t>表3.2-3</w:t>
      </w:r>
      <w:r>
        <w:rPr>
          <w:rFonts w:hint="eastAsia" w:eastAsia="黑体"/>
          <w:color w:val="000000" w:themeColor="text1"/>
          <w:lang w:val="en-US" w:eastAsia="zh-CN"/>
          <w14:textFill>
            <w14:solidFill>
              <w14:schemeClr w14:val="tx1"/>
            </w14:solidFill>
          </w14:textFill>
        </w:rPr>
        <w:t>2</w:t>
      </w:r>
      <w:r>
        <w:rPr>
          <w:rFonts w:hint="eastAsia" w:eastAsia="黑体"/>
          <w:color w:val="000000" w:themeColor="text1"/>
          <w14:textFill>
            <w14:solidFill>
              <w14:schemeClr w14:val="tx1"/>
            </w14:solidFill>
          </w14:textFill>
        </w:rPr>
        <w:t>评价区群落生物多样性指数统计表</w:t>
      </w:r>
    </w:p>
    <w:tbl>
      <w:tblPr>
        <w:tblStyle w:val="14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1795"/>
        <w:gridCol w:w="2100"/>
        <w:gridCol w:w="1950"/>
        <w:gridCol w:w="20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序号</w:t>
            </w:r>
          </w:p>
        </w:tc>
        <w:tc>
          <w:tcPr>
            <w:tcW w:w="1053"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eastAsia"/>
                <w:b/>
                <w:color w:val="000000" w:themeColor="text1"/>
                <w14:textFill>
                  <w14:solidFill>
                    <w14:schemeClr w14:val="tx1"/>
                  </w14:solidFill>
                </w14:textFill>
              </w:rPr>
              <w:t>植被型</w:t>
            </w:r>
          </w:p>
        </w:tc>
        <w:tc>
          <w:tcPr>
            <w:tcW w:w="123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Shannon-Wienner指数</w:t>
            </w:r>
          </w:p>
        </w:tc>
        <w:tc>
          <w:tcPr>
            <w:tcW w:w="114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Pielou均匀度指数</w:t>
            </w:r>
          </w:p>
        </w:tc>
        <w:tc>
          <w:tcPr>
            <w:tcW w:w="120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Simpson优势度指数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053"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城市森林</w:t>
            </w:r>
          </w:p>
        </w:tc>
        <w:tc>
          <w:tcPr>
            <w:tcW w:w="123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1.3258</w:t>
            </w:r>
          </w:p>
        </w:tc>
        <w:tc>
          <w:tcPr>
            <w:tcW w:w="114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0.8326</w:t>
            </w:r>
          </w:p>
        </w:tc>
        <w:tc>
          <w:tcPr>
            <w:tcW w:w="120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0.6714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053"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城市草地</w:t>
            </w:r>
          </w:p>
        </w:tc>
        <w:tc>
          <w:tcPr>
            <w:tcW w:w="123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0.9529</w:t>
            </w:r>
          </w:p>
        </w:tc>
        <w:tc>
          <w:tcPr>
            <w:tcW w:w="114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0.7712</w:t>
            </w:r>
          </w:p>
        </w:tc>
        <w:tc>
          <w:tcPr>
            <w:tcW w:w="120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0.5146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053"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城市湿地</w:t>
            </w:r>
          </w:p>
        </w:tc>
        <w:tc>
          <w:tcPr>
            <w:tcW w:w="123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1.1351</w:t>
            </w:r>
          </w:p>
        </w:tc>
        <w:tc>
          <w:tcPr>
            <w:tcW w:w="114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0.8728</w:t>
            </w:r>
          </w:p>
        </w:tc>
        <w:tc>
          <w:tcPr>
            <w:tcW w:w="120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0.6434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053"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城市公园-灌丛</w:t>
            </w:r>
          </w:p>
        </w:tc>
        <w:tc>
          <w:tcPr>
            <w:tcW w:w="123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1.9519</w:t>
            </w:r>
          </w:p>
        </w:tc>
        <w:tc>
          <w:tcPr>
            <w:tcW w:w="114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0.9247</w:t>
            </w:r>
          </w:p>
        </w:tc>
        <w:tc>
          <w:tcPr>
            <w:tcW w:w="120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0.8395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053"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城市公园-樱树林</w:t>
            </w:r>
          </w:p>
        </w:tc>
        <w:tc>
          <w:tcPr>
            <w:tcW w:w="123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0.8953</w:t>
            </w:r>
          </w:p>
        </w:tc>
        <w:tc>
          <w:tcPr>
            <w:tcW w:w="114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0.6135</w:t>
            </w:r>
          </w:p>
        </w:tc>
        <w:tc>
          <w:tcPr>
            <w:tcW w:w="120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0.4665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5"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053"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城市公园-竹林</w:t>
            </w:r>
          </w:p>
        </w:tc>
        <w:tc>
          <w:tcPr>
            <w:tcW w:w="1232"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1.0619</w:t>
            </w:r>
          </w:p>
        </w:tc>
        <w:tc>
          <w:tcPr>
            <w:tcW w:w="114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0.7809</w:t>
            </w:r>
          </w:p>
        </w:tc>
        <w:tc>
          <w:tcPr>
            <w:tcW w:w="1204" w:type="pct"/>
            <w:shd w:val="clear" w:color="auto" w:fill="auto"/>
            <w:vAlign w:val="center"/>
          </w:tcPr>
          <w:p>
            <w:pPr>
              <w:pStyle w:val="138"/>
              <w:keepNext w:val="0"/>
              <w:keepLines w:val="0"/>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0.6886</w:t>
            </w:r>
          </w:p>
        </w:tc>
      </w:tr>
    </w:tbl>
    <w:p>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3.2.6.5.3植被覆盖度</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植被覆盖度可用于定量分析评价范围内的植被现状。基于卫星遥感影像（</w:t>
      </w:r>
      <w:r>
        <w:rPr>
          <w:color w:val="000000" w:themeColor="text1"/>
          <w:sz w:val="24"/>
          <w:szCs w:val="24"/>
          <w:lang w:bidi="ar"/>
          <w14:textFill>
            <w14:solidFill>
              <w14:schemeClr w14:val="tx1"/>
            </w14:solidFill>
          </w14:textFill>
        </w:rPr>
        <w:t>Landsat8OLI_TIRS</w:t>
      </w:r>
      <w:r>
        <w:rPr>
          <w:rFonts w:hint="eastAsia" w:ascii="宋体" w:hAnsi="宋体" w:cs="宋体"/>
          <w:color w:val="000000" w:themeColor="text1"/>
          <w:sz w:val="24"/>
          <w:szCs w:val="24"/>
          <w:lang w:bidi="ar"/>
          <w14:textFill>
            <w14:solidFill>
              <w14:schemeClr w14:val="tx1"/>
            </w14:solidFill>
          </w14:textFill>
        </w:rPr>
        <w:t>），采用归一化植被指数（</w:t>
      </w:r>
      <w:r>
        <w:rPr>
          <w:color w:val="000000" w:themeColor="text1"/>
          <w:sz w:val="24"/>
          <w:szCs w:val="24"/>
          <w:lang w:bidi="ar"/>
          <w14:textFill>
            <w14:solidFill>
              <w14:schemeClr w14:val="tx1"/>
            </w14:solidFill>
          </w14:textFill>
        </w:rPr>
        <w:t>NDVI</w:t>
      </w:r>
      <w:r>
        <w:rPr>
          <w:rFonts w:hint="eastAsia" w:ascii="宋体" w:hAnsi="宋体" w:cs="宋体"/>
          <w:color w:val="000000" w:themeColor="text1"/>
          <w:sz w:val="24"/>
          <w:szCs w:val="24"/>
          <w:lang w:bidi="ar"/>
          <w14:textFill>
            <w14:solidFill>
              <w14:schemeClr w14:val="tx1"/>
            </w14:solidFill>
          </w14:textFill>
        </w:rPr>
        <w:t>）估算评价区植被覆盖度。</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公式为：</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FVC=</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NDVI-NDVIs</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w:t>
      </w:r>
      <w:r>
        <w:rPr>
          <w:rFonts w:hint="eastAsia" w:ascii="宋体" w:hAnsi="宋体" w:cs="宋体"/>
          <w:color w:val="000000" w:themeColor="text1"/>
          <w:sz w:val="24"/>
          <w:szCs w:val="24"/>
          <w:lang w:bidi="ar"/>
          <w14:textFill>
            <w14:solidFill>
              <w14:schemeClr w14:val="tx1"/>
            </w14:solidFill>
          </w14:textFill>
        </w:rPr>
        <w:t>（</w:t>
      </w:r>
      <w:r>
        <w:rPr>
          <w:color w:val="000000" w:themeColor="text1"/>
          <w:sz w:val="24"/>
          <w:szCs w:val="24"/>
          <w:lang w:bidi="ar"/>
          <w14:textFill>
            <w14:solidFill>
              <w14:schemeClr w14:val="tx1"/>
            </w14:solidFill>
          </w14:textFill>
        </w:rPr>
        <w:t>NDVIv-NDVIs</w:t>
      </w:r>
      <w:r>
        <w:rPr>
          <w:rFonts w:hint="eastAsia" w:ascii="宋体" w:hAnsi="宋体" w:cs="宋体"/>
          <w:color w:val="000000" w:themeColor="text1"/>
          <w:sz w:val="24"/>
          <w:szCs w:val="24"/>
          <w:lang w:bidi="ar"/>
          <w14:textFill>
            <w14:solidFill>
              <w14:schemeClr w14:val="tx1"/>
            </w14:solidFill>
          </w14:textFill>
        </w:rPr>
        <w:t>）</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式中：</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FVC</w:t>
      </w:r>
      <w:r>
        <w:rPr>
          <w:rFonts w:hint="eastAsia" w:ascii="宋体" w:hAnsi="宋体" w:cs="宋体"/>
          <w:color w:val="000000" w:themeColor="text1"/>
          <w:sz w:val="24"/>
          <w:szCs w:val="24"/>
          <w:lang w:bidi="ar"/>
          <w14:textFill>
            <w14:solidFill>
              <w14:schemeClr w14:val="tx1"/>
            </w14:solidFill>
          </w14:textFill>
        </w:rPr>
        <w:t>——所计算像元的植被覆盖度；</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NDVI</w:t>
      </w:r>
      <w:r>
        <w:rPr>
          <w:rFonts w:hint="eastAsia" w:ascii="宋体" w:hAnsi="宋体" w:cs="宋体"/>
          <w:color w:val="000000" w:themeColor="text1"/>
          <w:sz w:val="24"/>
          <w:szCs w:val="24"/>
          <w:lang w:bidi="ar"/>
          <w14:textFill>
            <w14:solidFill>
              <w14:schemeClr w14:val="tx1"/>
            </w14:solidFill>
          </w14:textFill>
        </w:rPr>
        <w:t>——所计算像元的</w:t>
      </w:r>
      <w:r>
        <w:rPr>
          <w:color w:val="000000" w:themeColor="text1"/>
          <w:sz w:val="24"/>
          <w:szCs w:val="24"/>
          <w:lang w:bidi="ar"/>
          <w14:textFill>
            <w14:solidFill>
              <w14:schemeClr w14:val="tx1"/>
            </w14:solidFill>
          </w14:textFill>
        </w:rPr>
        <w:t>NDVI</w:t>
      </w:r>
      <w:r>
        <w:rPr>
          <w:rFonts w:hint="eastAsia" w:ascii="宋体" w:hAnsi="宋体" w:cs="宋体"/>
          <w:color w:val="000000" w:themeColor="text1"/>
          <w:sz w:val="24"/>
          <w:szCs w:val="24"/>
          <w:lang w:bidi="ar"/>
          <w14:textFill>
            <w14:solidFill>
              <w14:schemeClr w14:val="tx1"/>
            </w14:solidFill>
          </w14:textFill>
        </w:rPr>
        <w:t>值；</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NDVIv</w:t>
      </w:r>
      <w:r>
        <w:rPr>
          <w:rFonts w:hint="eastAsia" w:ascii="宋体" w:hAnsi="宋体" w:cs="宋体"/>
          <w:color w:val="000000" w:themeColor="text1"/>
          <w:sz w:val="24"/>
          <w:szCs w:val="24"/>
          <w:lang w:bidi="ar"/>
          <w14:textFill>
            <w14:solidFill>
              <w14:schemeClr w14:val="tx1"/>
            </w14:solidFill>
          </w14:textFill>
        </w:rPr>
        <w:t>——纯植物像元的</w:t>
      </w:r>
      <w:r>
        <w:rPr>
          <w:color w:val="000000" w:themeColor="text1"/>
          <w:sz w:val="24"/>
          <w:szCs w:val="24"/>
          <w:lang w:bidi="ar"/>
          <w14:textFill>
            <w14:solidFill>
              <w14:schemeClr w14:val="tx1"/>
            </w14:solidFill>
          </w14:textFill>
        </w:rPr>
        <w:t>NDVI</w:t>
      </w:r>
      <w:r>
        <w:rPr>
          <w:rFonts w:hint="eastAsia" w:ascii="宋体" w:hAnsi="宋体" w:cs="宋体"/>
          <w:color w:val="000000" w:themeColor="text1"/>
          <w:sz w:val="24"/>
          <w:szCs w:val="24"/>
          <w:lang w:bidi="ar"/>
          <w14:textFill>
            <w14:solidFill>
              <w14:schemeClr w14:val="tx1"/>
            </w14:solidFill>
          </w14:textFill>
        </w:rPr>
        <w:t>值；</w:t>
      </w:r>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lang w:bidi="ar"/>
          <w14:textFill>
            <w14:solidFill>
              <w14:schemeClr w14:val="tx1"/>
            </w14:solidFill>
          </w14:textFill>
        </w:rPr>
        <w:t>NDVIs</w:t>
      </w:r>
      <w:r>
        <w:rPr>
          <w:rFonts w:hint="eastAsia" w:ascii="宋体" w:hAnsi="宋体" w:cs="宋体"/>
          <w:color w:val="000000" w:themeColor="text1"/>
          <w:sz w:val="24"/>
          <w:szCs w:val="24"/>
          <w:lang w:bidi="ar"/>
          <w14:textFill>
            <w14:solidFill>
              <w14:schemeClr w14:val="tx1"/>
            </w14:solidFill>
          </w14:textFill>
        </w:rPr>
        <w:t>——完全无植被覆盖像元的</w:t>
      </w:r>
      <w:r>
        <w:rPr>
          <w:color w:val="000000" w:themeColor="text1"/>
          <w:sz w:val="24"/>
          <w:szCs w:val="24"/>
          <w:lang w:bidi="ar"/>
          <w14:textFill>
            <w14:solidFill>
              <w14:schemeClr w14:val="tx1"/>
            </w14:solidFill>
          </w14:textFill>
        </w:rPr>
        <w:t>NDVI</w:t>
      </w:r>
      <w:r>
        <w:rPr>
          <w:rFonts w:hint="eastAsia" w:ascii="宋体" w:hAnsi="宋体" w:cs="宋体"/>
          <w:color w:val="000000" w:themeColor="text1"/>
          <w:sz w:val="24"/>
          <w:szCs w:val="24"/>
          <w:lang w:bidi="ar"/>
          <w14:textFill>
            <w14:solidFill>
              <w14:schemeClr w14:val="tx1"/>
            </w14:solidFill>
          </w14:textFill>
        </w:rPr>
        <w:t>值。</w:t>
      </w:r>
    </w:p>
    <w:p>
      <w:pPr>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lang w:bidi="ar"/>
          <w14:textFill>
            <w14:solidFill>
              <w14:schemeClr w14:val="tx1"/>
            </w14:solidFill>
          </w14:textFill>
        </w:rPr>
        <w:t>评价区植被覆盖度统计见下表。由表可知，评价区植被覆盖度不高；这是因为评价区内青龙湖水体面积占比较大；低覆盖植被区和人工建筑、水域等无植被区域面积分别占</w:t>
      </w:r>
      <w:r>
        <w:rPr>
          <w:color w:val="000000" w:themeColor="text1"/>
          <w:sz w:val="24"/>
          <w:szCs w:val="24"/>
          <w:lang w:bidi="ar"/>
          <w14:textFill>
            <w14:solidFill>
              <w14:schemeClr w14:val="tx1"/>
            </w14:solidFill>
          </w14:textFill>
        </w:rPr>
        <w:t>30.19%</w:t>
      </w:r>
      <w:r>
        <w:rPr>
          <w:rFonts w:hint="eastAsia" w:ascii="宋体" w:hAnsi="宋体" w:cs="宋体"/>
          <w:color w:val="000000" w:themeColor="text1"/>
          <w:sz w:val="24"/>
          <w:szCs w:val="24"/>
          <w:lang w:bidi="ar"/>
          <w14:textFill>
            <w14:solidFill>
              <w14:schemeClr w14:val="tx1"/>
            </w14:solidFill>
          </w14:textFill>
        </w:rPr>
        <w:t>和</w:t>
      </w:r>
      <w:r>
        <w:rPr>
          <w:color w:val="000000" w:themeColor="text1"/>
          <w:sz w:val="24"/>
          <w:szCs w:val="24"/>
          <w:lang w:bidi="ar"/>
          <w14:textFill>
            <w14:solidFill>
              <w14:schemeClr w14:val="tx1"/>
            </w14:solidFill>
          </w14:textFill>
        </w:rPr>
        <w:t>21.56%</w:t>
      </w:r>
      <w:r>
        <w:rPr>
          <w:rFonts w:hint="eastAsia" w:ascii="宋体" w:hAnsi="宋体" w:cs="宋体"/>
          <w:color w:val="000000" w:themeColor="text1"/>
          <w:sz w:val="24"/>
          <w:szCs w:val="24"/>
          <w:lang w:bidi="ar"/>
          <w14:textFill>
            <w14:solidFill>
              <w14:schemeClr w14:val="tx1"/>
            </w14:solidFill>
          </w14:textFill>
        </w:rPr>
        <w:t>；其余以高覆盖植被为主，主要是阔叶林和灌木林地。</w:t>
      </w:r>
    </w:p>
    <w:p>
      <w:pPr>
        <w:pStyle w:val="34"/>
        <w:widowControl w:val="0"/>
        <w:spacing w:before="0" w:beforeAutospacing="0" w:after="0" w:afterAutospacing="0"/>
        <w:ind w:left="440" w:hanging="44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表3.2-</w:t>
      </w:r>
      <w:r>
        <w:rPr>
          <w:rFonts w:hint="eastAsia" w:eastAsia="黑体"/>
          <w:color w:val="000000" w:themeColor="text1"/>
          <w14:textFill>
            <w14:solidFill>
              <w14:schemeClr w14:val="tx1"/>
            </w14:solidFill>
          </w14:textFill>
        </w:rPr>
        <w:t>3</w:t>
      </w:r>
      <w:r>
        <w:rPr>
          <w:rFonts w:hint="eastAsia" w:eastAsia="黑体"/>
          <w:color w:val="000000" w:themeColor="text1"/>
          <w:lang w:val="en-US" w:eastAsia="zh-CN"/>
          <w14:textFill>
            <w14:solidFill>
              <w14:schemeClr w14:val="tx1"/>
            </w14:solidFill>
          </w14:textFill>
        </w:rPr>
        <w:t>3</w:t>
      </w:r>
      <w:r>
        <w:rPr>
          <w:rFonts w:hint="eastAsia" w:eastAsia="黑体"/>
          <w:color w:val="000000" w:themeColor="text1"/>
          <w14:textFill>
            <w14:solidFill>
              <w14:schemeClr w14:val="tx1"/>
            </w14:solidFill>
          </w14:textFill>
        </w:rPr>
        <w:t>评价区植被覆盖度归一化植被指数</w:t>
      </w:r>
    </w:p>
    <w:tbl>
      <w:tblPr>
        <w:tblStyle w:val="140"/>
        <w:tblW w:w="4998" w:type="pct"/>
        <w:tblInd w:w="0"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765"/>
        <w:gridCol w:w="2989"/>
        <w:gridCol w:w="1496"/>
        <w:gridCol w:w="2267"/>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1036" w:type="pct"/>
            <w:tcBorders>
              <w:top w:val="single" w:color="auto" w:sz="12"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序号</w:t>
            </w:r>
          </w:p>
        </w:tc>
        <w:tc>
          <w:tcPr>
            <w:tcW w:w="1754"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覆盖度</w:t>
            </w:r>
          </w:p>
        </w:tc>
        <w:tc>
          <w:tcPr>
            <w:tcW w:w="878"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像元数</w:t>
            </w:r>
          </w:p>
        </w:tc>
        <w:tc>
          <w:tcPr>
            <w:tcW w:w="1330" w:type="pct"/>
            <w:tcBorders>
              <w:top w:val="single" w:color="auto" w:sz="12"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b w:val="0"/>
                <w:color w:val="000000" w:themeColor="text1"/>
                <w:kern w:val="44"/>
                <w:sz w:val="21"/>
                <w:szCs w:val="21"/>
                <w14:textFill>
                  <w14:solidFill>
                    <w14:schemeClr w14:val="tx1"/>
                  </w14:solidFill>
                </w14:textFill>
              </w:rPr>
            </w:pPr>
            <w:r>
              <w:rPr>
                <w:rFonts w:hint="eastAsia" w:ascii="宋体" w:hAnsi="宋体" w:cs="宋体"/>
                <w:b/>
                <w:color w:val="000000" w:themeColor="text1"/>
                <w:kern w:val="44"/>
                <w:sz w:val="21"/>
                <w:szCs w:val="21"/>
                <w:lang w:bidi="ar"/>
                <w14:textFill>
                  <w14:solidFill>
                    <w14:schemeClr w14:val="tx1"/>
                  </w14:solidFill>
                </w14:textFill>
              </w:rPr>
              <w:t>比例</w:t>
            </w:r>
            <w:r>
              <w:rPr>
                <w:rFonts w:hint="default"/>
                <w:b/>
                <w:color w:val="000000" w:themeColor="text1"/>
                <w:kern w:val="44"/>
                <w:sz w:val="21"/>
                <w:szCs w:val="21"/>
                <w:lang w:bidi="ar"/>
                <w14:textFill>
                  <w14:solidFill>
                    <w14:schemeClr w14:val="tx1"/>
                  </w14:solidFill>
                </w14:textFill>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1036"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0"/>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1</w:t>
            </w:r>
          </w:p>
        </w:tc>
        <w:tc>
          <w:tcPr>
            <w:tcW w:w="175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&lt;0.1</w:t>
            </w:r>
            <w:r>
              <w:rPr>
                <w:rFonts w:hint="eastAsia" w:ascii="宋体" w:hAnsi="宋体" w:cs="宋体"/>
                <w:color w:val="000000" w:themeColor="text1"/>
                <w:kern w:val="0"/>
                <w:sz w:val="21"/>
                <w:szCs w:val="21"/>
                <w:lang w:bidi="ar"/>
                <w14:textFill>
                  <w14:solidFill>
                    <w14:schemeClr w14:val="tx1"/>
                  </w14:solidFill>
                </w14:textFill>
              </w:rPr>
              <w:t>（无植被区）</w:t>
            </w:r>
          </w:p>
        </w:tc>
        <w:tc>
          <w:tcPr>
            <w:tcW w:w="87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2131</w:t>
            </w:r>
          </w:p>
        </w:tc>
        <w:tc>
          <w:tcPr>
            <w:tcW w:w="1330"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30.19%</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1036"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0"/>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2</w:t>
            </w:r>
          </w:p>
        </w:tc>
        <w:tc>
          <w:tcPr>
            <w:tcW w:w="175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0.1-0.3</w:t>
            </w:r>
            <w:r>
              <w:rPr>
                <w:rFonts w:hint="eastAsia" w:ascii="宋体" w:hAnsi="宋体" w:cs="宋体"/>
                <w:color w:val="000000" w:themeColor="text1"/>
                <w:kern w:val="0"/>
                <w:sz w:val="21"/>
                <w:szCs w:val="21"/>
                <w:lang w:bidi="ar"/>
                <w14:textFill>
                  <w14:solidFill>
                    <w14:schemeClr w14:val="tx1"/>
                  </w14:solidFill>
                </w14:textFill>
              </w:rPr>
              <w:t>（低覆盖植被区）</w:t>
            </w:r>
          </w:p>
        </w:tc>
        <w:tc>
          <w:tcPr>
            <w:tcW w:w="87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1522</w:t>
            </w:r>
          </w:p>
        </w:tc>
        <w:tc>
          <w:tcPr>
            <w:tcW w:w="1330"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21.56%</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1036"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0"/>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3</w:t>
            </w:r>
          </w:p>
        </w:tc>
        <w:tc>
          <w:tcPr>
            <w:tcW w:w="175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0.3-0.5</w:t>
            </w:r>
            <w:r>
              <w:rPr>
                <w:rFonts w:hint="eastAsia" w:ascii="宋体" w:hAnsi="宋体" w:cs="宋体"/>
                <w:color w:val="000000" w:themeColor="text1"/>
                <w:kern w:val="0"/>
                <w:sz w:val="21"/>
                <w:szCs w:val="21"/>
                <w:lang w:bidi="ar"/>
                <w14:textFill>
                  <w14:solidFill>
                    <w14:schemeClr w14:val="tx1"/>
                  </w14:solidFill>
                </w14:textFill>
              </w:rPr>
              <w:t>（中等覆盖度植被）</w:t>
            </w:r>
          </w:p>
        </w:tc>
        <w:tc>
          <w:tcPr>
            <w:tcW w:w="87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1005</w:t>
            </w:r>
          </w:p>
        </w:tc>
        <w:tc>
          <w:tcPr>
            <w:tcW w:w="1330"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14.24%</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1036"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0"/>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4</w:t>
            </w:r>
          </w:p>
        </w:tc>
        <w:tc>
          <w:tcPr>
            <w:tcW w:w="175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0"/>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0.5-0.7</w:t>
            </w:r>
            <w:r>
              <w:rPr>
                <w:rFonts w:hint="eastAsia" w:ascii="宋体" w:hAnsi="宋体" w:cs="宋体"/>
                <w:color w:val="000000" w:themeColor="text1"/>
                <w:kern w:val="0"/>
                <w:sz w:val="21"/>
                <w:szCs w:val="21"/>
                <w:lang w:bidi="ar"/>
                <w14:textFill>
                  <w14:solidFill>
                    <w14:schemeClr w14:val="tx1"/>
                  </w14:solidFill>
                </w14:textFill>
              </w:rPr>
              <w:t>（较高覆盖度植被）</w:t>
            </w:r>
          </w:p>
        </w:tc>
        <w:tc>
          <w:tcPr>
            <w:tcW w:w="87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640</w:t>
            </w:r>
          </w:p>
        </w:tc>
        <w:tc>
          <w:tcPr>
            <w:tcW w:w="1330"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9.07%</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036" w:type="pct"/>
            <w:tcBorders>
              <w:top w:val="single" w:color="auto" w:sz="4" w:space="0"/>
              <w:left w:val="nil"/>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0"/>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5</w:t>
            </w:r>
          </w:p>
        </w:tc>
        <w:tc>
          <w:tcPr>
            <w:tcW w:w="175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0"/>
                <w:sz w:val="21"/>
                <w:szCs w:val="21"/>
                <w:lang w:bidi="ar"/>
                <w14:textFill>
                  <w14:solidFill>
                    <w14:schemeClr w14:val="tx1"/>
                  </w14:solidFill>
                </w14:textFill>
              </w:rPr>
              <w:t>&gt;0.7</w:t>
            </w:r>
            <w:r>
              <w:rPr>
                <w:rFonts w:hint="eastAsia" w:ascii="宋体" w:hAnsi="宋体" w:cs="宋体"/>
                <w:color w:val="000000" w:themeColor="text1"/>
                <w:kern w:val="0"/>
                <w:sz w:val="21"/>
                <w:szCs w:val="21"/>
                <w:lang w:bidi="ar"/>
                <w14:textFill>
                  <w14:solidFill>
                    <w14:schemeClr w14:val="tx1"/>
                  </w14:solidFill>
                </w14:textFill>
              </w:rPr>
              <w:t>（高覆盖度植被）</w:t>
            </w:r>
          </w:p>
        </w:tc>
        <w:tc>
          <w:tcPr>
            <w:tcW w:w="87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1761</w:t>
            </w:r>
          </w:p>
        </w:tc>
        <w:tc>
          <w:tcPr>
            <w:tcW w:w="1330" w:type="pct"/>
            <w:tcBorders>
              <w:top w:val="single" w:color="auto" w:sz="4" w:space="0"/>
              <w:left w:val="single" w:color="auto" w:sz="4" w:space="0"/>
              <w:bottom w:val="single" w:color="auto" w:sz="4"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24.95%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2790" w:type="pct"/>
            <w:gridSpan w:val="2"/>
            <w:tcBorders>
              <w:top w:val="single" w:color="auto" w:sz="4" w:space="0"/>
              <w:left w:val="nil"/>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eastAsia" w:ascii="宋体" w:hAnsi="宋体" w:cs="宋体"/>
                <w:color w:val="000000" w:themeColor="text1"/>
                <w:kern w:val="0"/>
                <w:sz w:val="21"/>
                <w:szCs w:val="21"/>
                <w:lang w:bidi="ar"/>
                <w14:textFill>
                  <w14:solidFill>
                    <w14:schemeClr w14:val="tx1"/>
                  </w14:solidFill>
                </w14:textFill>
              </w:rPr>
              <w:t>合计</w:t>
            </w:r>
          </w:p>
        </w:tc>
        <w:tc>
          <w:tcPr>
            <w:tcW w:w="878"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7059</w:t>
            </w:r>
          </w:p>
        </w:tc>
        <w:tc>
          <w:tcPr>
            <w:tcW w:w="1330" w:type="pct"/>
            <w:tcBorders>
              <w:top w:val="single" w:color="auto" w:sz="4" w:space="0"/>
              <w:left w:val="single" w:color="auto" w:sz="4" w:space="0"/>
              <w:bottom w:val="single" w:color="auto" w:sz="12" w:space="0"/>
              <w:right w:val="nil"/>
            </w:tcBorders>
            <w:shd w:val="clear" w:color="auto" w:fill="auto"/>
            <w:vAlign w:val="center"/>
          </w:tcPr>
          <w:p>
            <w:pPr>
              <w:pStyle w:val="34"/>
              <w:keepNext w:val="0"/>
              <w:keepLines w:val="0"/>
              <w:widowControl w:val="0"/>
              <w:suppressLineNumbers w:val="0"/>
              <w:spacing w:before="0" w:beforeAutospacing="0" w:after="0" w:afterAutospacing="0"/>
              <w:ind w:left="0" w:right="0"/>
              <w:jc w:val="center"/>
              <w:rPr>
                <w:rFonts w:hint="default"/>
                <w:color w:val="000000" w:themeColor="text1"/>
                <w:kern w:val="44"/>
                <w:sz w:val="21"/>
                <w:szCs w:val="21"/>
                <w14:textFill>
                  <w14:solidFill>
                    <w14:schemeClr w14:val="tx1"/>
                  </w14:solidFill>
                </w14:textFill>
              </w:rPr>
            </w:pPr>
            <w:r>
              <w:rPr>
                <w:rFonts w:hint="default"/>
                <w:color w:val="000000" w:themeColor="text1"/>
                <w:kern w:val="44"/>
                <w:sz w:val="21"/>
                <w:szCs w:val="21"/>
                <w:lang w:bidi="ar"/>
                <w14:textFill>
                  <w14:solidFill>
                    <w14:schemeClr w14:val="tx1"/>
                  </w14:solidFill>
                </w14:textFill>
              </w:rPr>
              <w:t>100</w:t>
            </w:r>
          </w:p>
        </w:tc>
      </w:tr>
    </w:tbl>
    <w:p>
      <w:pPr>
        <w:pStyle w:val="4"/>
        <w:spacing w:line="360" w:lineRule="auto"/>
        <w:ind w:left="0" w:firstLine="560"/>
        <w:rPr>
          <w:rFonts w:ascii="Times New Roman" w:hAnsi="Times New Roman" w:cs="Times New Roman"/>
          <w:color w:val="000000" w:themeColor="text1"/>
          <w:szCs w:val="24"/>
          <w14:textFill>
            <w14:solidFill>
              <w14:schemeClr w14:val="tx1"/>
            </w14:solidFill>
          </w14:textFill>
        </w:rPr>
      </w:pPr>
      <w:bookmarkStart w:id="453" w:name="_Toc14861"/>
      <w:r>
        <w:rPr>
          <w:rFonts w:ascii="Times New Roman" w:hAnsi="Times New Roman" w:cs="Times New Roman"/>
          <w:color w:val="000000" w:themeColor="text1"/>
          <w:szCs w:val="24"/>
          <w14:textFill>
            <w14:solidFill>
              <w14:schemeClr w14:val="tx1"/>
            </w14:solidFill>
          </w14:textFill>
        </w:rPr>
        <w:t>3.2.</w:t>
      </w:r>
      <w:r>
        <w:rPr>
          <w:rFonts w:hint="eastAsia" w:ascii="Times New Roman" w:hAnsi="Times New Roman" w:cs="Times New Roman"/>
          <w:color w:val="000000" w:themeColor="text1"/>
          <w:szCs w:val="24"/>
          <w14:textFill>
            <w14:solidFill>
              <w14:schemeClr w14:val="tx1"/>
            </w14:solidFill>
          </w14:textFill>
        </w:rPr>
        <w:t>7</w:t>
      </w:r>
      <w:r>
        <w:rPr>
          <w:rFonts w:ascii="Times New Roman" w:hAnsi="Times New Roman" w:cs="Times New Roman"/>
          <w:color w:val="000000" w:themeColor="text1"/>
          <w:szCs w:val="24"/>
          <w14:textFill>
            <w14:solidFill>
              <w14:schemeClr w14:val="tx1"/>
            </w14:solidFill>
          </w14:textFill>
        </w:rPr>
        <w:t>环境</w:t>
      </w:r>
      <w:r>
        <w:rPr>
          <w:rFonts w:hint="eastAsia" w:ascii="Times New Roman" w:hAnsi="Times New Roman" w:cs="Times New Roman"/>
          <w:color w:val="000000" w:themeColor="text1"/>
          <w:szCs w:val="24"/>
          <w14:textFill>
            <w14:solidFill>
              <w14:schemeClr w14:val="tx1"/>
            </w14:solidFill>
          </w14:textFill>
        </w:rPr>
        <w:t>敏感区</w:t>
      </w:r>
      <w:r>
        <w:rPr>
          <w:rFonts w:ascii="Times New Roman" w:hAnsi="Times New Roman" w:cs="Times New Roman"/>
          <w:color w:val="000000" w:themeColor="text1"/>
          <w:szCs w:val="24"/>
          <w14:textFill>
            <w14:solidFill>
              <w14:schemeClr w14:val="tx1"/>
            </w14:solidFill>
          </w14:textFill>
        </w:rPr>
        <w:t>现状</w:t>
      </w:r>
      <w:r>
        <w:rPr>
          <w:rFonts w:hint="eastAsia" w:ascii="Times New Roman" w:hAnsi="Times New Roman" w:cs="Times New Roman"/>
          <w:color w:val="000000" w:themeColor="text1"/>
          <w:szCs w:val="24"/>
          <w14:textFill>
            <w14:solidFill>
              <w14:schemeClr w14:val="tx1"/>
            </w14:solidFill>
          </w14:textFill>
        </w:rPr>
        <w:t>调查与评价</w:t>
      </w:r>
      <w:bookmarkEnd w:id="453"/>
    </w:p>
    <w:p>
      <w:pPr>
        <w:widowControl/>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调查，评价范围内分布有3个环境敏感区，分别为省级风景名胜区—龙泉花果山风景名胜区，县级集中式饮用水水源保护区—成都市龙泉驿区东风渠、东干渠麻石桥集中式饮用水水源地保护区以及全国重点文物保护单位—四川省成都市明蜀王陵（龙泉驿区）。</w:t>
      </w:r>
    </w:p>
    <w:p>
      <w:pPr>
        <w:widowControl/>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叠图识别，项目南五支渠、南六支渠大部分位于花果山风景名胜区三级保护区（十陵景区）范围内，南五、南六支渠起点至下游约11~20m位于成都市龙泉驿区东风渠、东干渠麻石桥集中式饮用水水源地准保护区（陆域）范围内，</w:t>
      </w:r>
      <w:r>
        <w:rPr>
          <w:rFonts w:hint="eastAsia" w:cs="宋体"/>
          <w:color w:val="000000" w:themeColor="text1"/>
          <w:sz w:val="24"/>
          <w14:textFill>
            <w14:solidFill>
              <w14:schemeClr w14:val="tx1"/>
            </w14:solidFill>
          </w14:textFill>
        </w:rPr>
        <w:t>明蜀定王次妃墓、信王赵妃墓位于南五支渠</w:t>
      </w:r>
      <w:r>
        <w:rPr>
          <w:rFonts w:hint="eastAsia"/>
          <w:color w:val="000000" w:themeColor="text1"/>
          <w:sz w:val="24"/>
          <w:szCs w:val="24"/>
          <w14:textFill>
            <w14:solidFill>
              <w14:schemeClr w14:val="tx1"/>
            </w14:solidFill>
          </w14:textFill>
        </w:rPr>
        <w:t>生态评价范围内。评价范围内工程涉及环境敏感区现状如下：</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3.2.7.1龙泉花果山风景名胜区概况</w:t>
      </w:r>
    </w:p>
    <w:p>
      <w:pPr>
        <w:widowControl/>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1、基本情况</w:t>
      </w:r>
    </w:p>
    <w:p>
      <w:pPr>
        <w:widowControl/>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根据《成都市龙泉花果山风景名胜区总体规划（2022-2035）》</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批复文号：川府函〔2022〕104 号</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，风景区实施分级保护，并对一、二级保护区实施重点保护控制。具体如下：</w:t>
      </w:r>
    </w:p>
    <w:p>
      <w:pPr>
        <w:widowControl/>
        <w:spacing w:line="360" w:lineRule="auto"/>
        <w:ind w:firstLine="480" w:firstLineChars="200"/>
        <w:rPr>
          <w:color w:val="000000" w:themeColor="text1"/>
          <w:sz w:val="24"/>
          <w:szCs w:val="24"/>
          <w:lang w:val="en"/>
          <w14:textFill>
            <w14:solidFill>
              <w14:schemeClr w14:val="tx1"/>
            </w14:solidFill>
          </w14:textFill>
        </w:rPr>
      </w:pPr>
      <w:r>
        <w:rPr>
          <w:rFonts w:hint="eastAsia"/>
          <w:color w:val="000000" w:themeColor="text1"/>
          <w:sz w:val="24"/>
          <w:szCs w:val="24"/>
          <w:lang w:val="en"/>
          <w14:textFill>
            <w14:solidFill>
              <w14:schemeClr w14:val="tx1"/>
            </w14:solidFill>
          </w14:textFill>
        </w:rPr>
        <w:t>（</w:t>
      </w:r>
      <w:r>
        <w:rPr>
          <w:rFonts w:hint="eastAsia"/>
          <w:color w:val="000000" w:themeColor="text1"/>
          <w:sz w:val="24"/>
          <w:szCs w:val="24"/>
          <w14:textFill>
            <w14:solidFill>
              <w14:schemeClr w14:val="tx1"/>
            </w14:solidFill>
          </w14:textFill>
        </w:rPr>
        <w:t>一</w:t>
      </w:r>
      <w:r>
        <w:rPr>
          <w:rFonts w:hint="eastAsia"/>
          <w:color w:val="000000" w:themeColor="text1"/>
          <w:sz w:val="24"/>
          <w:szCs w:val="24"/>
          <w:lang w:val="en"/>
          <w14:textFill>
            <w14:solidFill>
              <w14:schemeClr w14:val="tx1"/>
            </w14:solidFill>
          </w14:textFill>
        </w:rPr>
        <w:t>）一级保护区（严格禁止建设范围）</w:t>
      </w:r>
    </w:p>
    <w:p>
      <w:pPr>
        <w:widowControl/>
        <w:spacing w:line="360" w:lineRule="auto"/>
        <w:ind w:firstLine="480" w:firstLineChars="200"/>
        <w:rPr>
          <w:color w:val="000000" w:themeColor="text1"/>
          <w:sz w:val="24"/>
          <w:szCs w:val="24"/>
          <w:lang w:val="en"/>
          <w14:textFill>
            <w14:solidFill>
              <w14:schemeClr w14:val="tx1"/>
            </w14:solidFill>
          </w14:textFill>
        </w:rPr>
      </w:pPr>
      <w:r>
        <w:rPr>
          <w:rFonts w:hint="eastAsia"/>
          <w:color w:val="000000" w:themeColor="text1"/>
          <w:sz w:val="24"/>
          <w:szCs w:val="24"/>
          <w:lang w:val="en"/>
          <w14:textFill>
            <w14:solidFill>
              <w14:schemeClr w14:val="tx1"/>
            </w14:solidFill>
          </w14:textFill>
        </w:rPr>
        <w:t>按照真实性、完整性要求将风景区内资源价值最高的区域划为一级保护区。</w:t>
      </w:r>
    </w:p>
    <w:p>
      <w:pPr>
        <w:widowControl/>
        <w:spacing w:line="360" w:lineRule="auto"/>
        <w:ind w:firstLine="480" w:firstLineChars="200"/>
        <w:rPr>
          <w:color w:val="000000" w:themeColor="text1"/>
          <w:sz w:val="24"/>
          <w:szCs w:val="24"/>
          <w:lang w:val="en"/>
          <w14:textFill>
            <w14:solidFill>
              <w14:schemeClr w14:val="tx1"/>
            </w14:solidFill>
          </w14:textFill>
        </w:rPr>
      </w:pPr>
      <w:r>
        <w:rPr>
          <w:rFonts w:hint="eastAsia"/>
          <w:color w:val="000000" w:themeColor="text1"/>
          <w:sz w:val="24"/>
          <w:szCs w:val="24"/>
          <w:lang w:val="en"/>
          <w14:textFill>
            <w14:solidFill>
              <w14:schemeClr w14:val="tx1"/>
            </w14:solidFill>
          </w14:textFill>
        </w:rPr>
        <w:t>（</w:t>
      </w:r>
      <w:r>
        <w:rPr>
          <w:rFonts w:hint="eastAsia"/>
          <w:color w:val="000000" w:themeColor="text1"/>
          <w:sz w:val="24"/>
          <w:szCs w:val="24"/>
          <w14:textFill>
            <w14:solidFill>
              <w14:schemeClr w14:val="tx1"/>
            </w14:solidFill>
          </w14:textFill>
        </w:rPr>
        <w:t>1</w:t>
      </w:r>
      <w:r>
        <w:rPr>
          <w:rFonts w:hint="eastAsia"/>
          <w:color w:val="000000" w:themeColor="text1"/>
          <w:sz w:val="24"/>
          <w:szCs w:val="24"/>
          <w:lang w:val="en"/>
          <w14:textFill>
            <w14:solidFill>
              <w14:schemeClr w14:val="tx1"/>
            </w14:solidFill>
          </w14:textFill>
        </w:rPr>
        <w:t>）范围：与核心景区范围一致,面积8.99平方公里，占风景区总面积的8.95%。其中：</w:t>
      </w:r>
    </w:p>
    <w:p>
      <w:pPr>
        <w:widowControl/>
        <w:spacing w:line="360" w:lineRule="auto"/>
        <w:ind w:firstLine="480" w:firstLineChars="200"/>
        <w:rPr>
          <w:color w:val="000000" w:themeColor="text1"/>
          <w:sz w:val="24"/>
          <w:szCs w:val="24"/>
          <w:lang w:val="en"/>
          <w14:textFill>
            <w14:solidFill>
              <w14:schemeClr w14:val="tx1"/>
            </w14:solidFill>
          </w14:textFill>
        </w:rPr>
      </w:pPr>
      <w:r>
        <w:rPr>
          <w:rFonts w:hint="eastAsia"/>
          <w:color w:val="000000" w:themeColor="text1"/>
          <w:sz w:val="24"/>
          <w:szCs w:val="24"/>
          <w:lang w:val="en"/>
          <w14:textFill>
            <w14:solidFill>
              <w14:schemeClr w14:val="tx1"/>
            </w14:solidFill>
          </w14:textFill>
        </w:rPr>
        <w:t>特别保存区为生态型核心景区的核心区域，包括龙泉湖水域（与龙泉湖自然保护区核心区重叠）、宝狮水库水域及500米控制范围（与饮用水水源地保护区核心区重叠），面积共计3.42平方公里。</w:t>
      </w:r>
    </w:p>
    <w:p>
      <w:pPr>
        <w:widowControl/>
        <w:spacing w:line="360" w:lineRule="auto"/>
        <w:ind w:firstLine="480" w:firstLineChars="200"/>
        <w:rPr>
          <w:color w:val="000000" w:themeColor="text1"/>
          <w:sz w:val="24"/>
          <w:szCs w:val="24"/>
          <w:lang w:val="en"/>
          <w14:textFill>
            <w14:solidFill>
              <w14:schemeClr w14:val="tx1"/>
            </w14:solidFill>
          </w14:textFill>
        </w:rPr>
      </w:pPr>
      <w:r>
        <w:rPr>
          <w:rFonts w:hint="eastAsia"/>
          <w:color w:val="000000" w:themeColor="text1"/>
          <w:sz w:val="24"/>
          <w:szCs w:val="24"/>
          <w:lang w:val="en"/>
          <w14:textFill>
            <w14:solidFill>
              <w14:schemeClr w14:val="tx1"/>
            </w14:solidFill>
          </w14:textFill>
        </w:rPr>
        <w:t>风景游览区为文化型核心景区与生态型核心景区的其他区域，包括明蜀王陵文保单位保护范围及景点周围相关环境空间、洛带历史文化街区“一街七巷”石经寺文保单位保护范围、北周文王碑文保单位保护范围、唯仁山庄文保单位保护范围、龙泉湖核心景区水岸区域、宝狮湖核心景区其他区域，面积共计5.57平方公里。</w:t>
      </w:r>
    </w:p>
    <w:p>
      <w:pPr>
        <w:widowControl/>
        <w:spacing w:line="360" w:lineRule="auto"/>
        <w:ind w:firstLine="480" w:firstLineChars="200"/>
        <w:rPr>
          <w:color w:val="000000" w:themeColor="text1"/>
          <w:sz w:val="24"/>
          <w:szCs w:val="24"/>
          <w:lang w:val="en"/>
          <w14:textFill>
            <w14:solidFill>
              <w14:schemeClr w14:val="tx1"/>
            </w14:solidFill>
          </w14:textFill>
        </w:rPr>
      </w:pPr>
      <w:r>
        <w:rPr>
          <w:rFonts w:hint="eastAsia"/>
          <w:color w:val="000000" w:themeColor="text1"/>
          <w:sz w:val="24"/>
          <w:szCs w:val="24"/>
          <w:lang w:val="en"/>
          <w14:textFill>
            <w14:solidFill>
              <w14:schemeClr w14:val="tx1"/>
            </w14:solidFill>
          </w14:textFill>
        </w:rPr>
        <w:t>（</w:t>
      </w:r>
      <w:r>
        <w:rPr>
          <w:rFonts w:hint="eastAsia"/>
          <w:color w:val="000000" w:themeColor="text1"/>
          <w:sz w:val="24"/>
          <w:szCs w:val="24"/>
          <w14:textFill>
            <w14:solidFill>
              <w14:schemeClr w14:val="tx1"/>
            </w14:solidFill>
          </w14:textFill>
        </w:rPr>
        <w:t>2</w:t>
      </w:r>
      <w:r>
        <w:rPr>
          <w:rFonts w:hint="eastAsia"/>
          <w:color w:val="000000" w:themeColor="text1"/>
          <w:sz w:val="24"/>
          <w:szCs w:val="24"/>
          <w:lang w:val="en"/>
          <w14:textFill>
            <w14:solidFill>
              <w14:schemeClr w14:val="tx1"/>
            </w14:solidFill>
          </w14:textFill>
        </w:rPr>
        <w:t>）保护措施</w:t>
      </w:r>
    </w:p>
    <w:p>
      <w:pPr>
        <w:widowControl/>
        <w:spacing w:line="360" w:lineRule="auto"/>
        <w:ind w:firstLine="480" w:firstLineChars="200"/>
        <w:rPr>
          <w:color w:val="000000" w:themeColor="text1"/>
          <w:sz w:val="24"/>
          <w:szCs w:val="24"/>
          <w:lang w:val="en"/>
          <w14:textFill>
            <w14:solidFill>
              <w14:schemeClr w14:val="tx1"/>
            </w14:solidFill>
          </w14:textFill>
        </w:rPr>
      </w:pPr>
      <w:r>
        <w:rPr>
          <w:rFonts w:hint="eastAsia"/>
          <w:color w:val="000000" w:themeColor="text1"/>
          <w:sz w:val="24"/>
          <w:szCs w:val="24"/>
          <w:lang w:val="en"/>
          <w14:textFill>
            <w14:solidFill>
              <w14:schemeClr w14:val="tx1"/>
            </w14:solidFill>
          </w14:textFill>
        </w:rPr>
        <w:t>特别保存区除必需的科研、监测和防护设施外，严禁建设任何建筑设施。风景名胜区与自然保护区、饮用水源保护地重叠区域需同时满足相关保护地的要求。风景游赏区允许进行适度的低环境影响游览活动，但应对游客数量和行为进行严格管理。可设置风景游赏所必需的观光车道、游览步道、游船码头、服务部、观景摄影台、景点标示等相关设施，但必须满足风景名胜区内河流防洪、生态环境保护等要求。</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1）</w:t>
      </w:r>
      <w:r>
        <w:rPr>
          <w:color w:val="000000" w:themeColor="text1"/>
          <w:kern w:val="2"/>
          <w:szCs w:val="24"/>
          <w14:textFill>
            <w14:solidFill>
              <w14:schemeClr w14:val="tx1"/>
            </w14:solidFill>
          </w14:textFill>
        </w:rPr>
        <w:t>景点的风景游赏设施配备，即观光车道、游览步道栈道、游船码头、服务部、观景摄影台、景点标示等小品的建设须仔细设计，经有关部门批准后方可实施。</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2）</w:t>
      </w:r>
      <w:r>
        <w:rPr>
          <w:color w:val="000000" w:themeColor="text1"/>
          <w:kern w:val="2"/>
          <w:szCs w:val="24"/>
          <w14:textFill>
            <w14:solidFill>
              <w14:schemeClr w14:val="tx1"/>
            </w14:solidFill>
          </w14:textFill>
        </w:rPr>
        <w:t>人文景点的建设完善应在充分尊重其历史原貌和文脉的基础上进行，涉及各级文物保护单位的按照国家和地方相关法律法规执行。</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3）</w:t>
      </w:r>
      <w:r>
        <w:rPr>
          <w:color w:val="000000" w:themeColor="text1"/>
          <w:kern w:val="2"/>
          <w:szCs w:val="24"/>
          <w14:textFill>
            <w14:solidFill>
              <w14:schemeClr w14:val="tx1"/>
            </w14:solidFill>
          </w14:textFill>
        </w:rPr>
        <w:t>禁止与风景游赏、生态保护无关的项目进入，区内不得安排重大建设项目(注:本规划所指重大建设项目为国务院《风景名胜区条例》规定的修建缆车索道等重大建设项目)不得设置旅宿床位。</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4）</w:t>
      </w:r>
      <w:r>
        <w:rPr>
          <w:color w:val="000000" w:themeColor="text1"/>
          <w:kern w:val="2"/>
          <w:szCs w:val="24"/>
          <w14:textFill>
            <w14:solidFill>
              <w14:schemeClr w14:val="tx1"/>
            </w14:solidFill>
          </w14:textFill>
        </w:rPr>
        <w:t>不得修建渗水厕所与渗水坑，服务区、景点处所设置的公共厕所、盥洗室生活污废水需集中收集处理达标后(《水污染物排放标准》中一级限值A标准)方可排放。</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5）</w:t>
      </w:r>
      <w:r>
        <w:rPr>
          <w:color w:val="000000" w:themeColor="text1"/>
          <w:kern w:val="2"/>
          <w:szCs w:val="24"/>
          <w14:textFill>
            <w14:solidFill>
              <w14:schemeClr w14:val="tx1"/>
            </w14:solidFill>
          </w14:textFill>
        </w:rPr>
        <w:t>对符合规划要求的建设项目，要严格按照规定程序进行报批，</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6）</w:t>
      </w:r>
      <w:r>
        <w:rPr>
          <w:color w:val="000000" w:themeColor="text1"/>
          <w:kern w:val="2"/>
          <w:szCs w:val="24"/>
          <w14:textFill>
            <w14:solidFill>
              <w14:schemeClr w14:val="tx1"/>
            </w14:solidFill>
          </w14:textFill>
        </w:rPr>
        <w:t>不符合规划、未经批准以及与风景游赏、资源保护无关的各项建筑物、构筑物，应限期整改，分别作出搬迁、拆除或改作他用的处理措施。</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7）</w:t>
      </w:r>
      <w:r>
        <w:rPr>
          <w:color w:val="000000" w:themeColor="text1"/>
          <w:kern w:val="2"/>
          <w:szCs w:val="24"/>
          <w14:textFill>
            <w14:solidFill>
              <w14:schemeClr w14:val="tx1"/>
            </w14:solidFill>
          </w14:textFill>
        </w:rPr>
        <w:t>严格执行长江经济带负面清单管理制度。</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（二）</w:t>
      </w:r>
      <w:r>
        <w:rPr>
          <w:color w:val="000000" w:themeColor="text1"/>
          <w:kern w:val="2"/>
          <w:szCs w:val="24"/>
          <w14:textFill>
            <w14:solidFill>
              <w14:schemeClr w14:val="tx1"/>
            </w14:solidFill>
          </w14:textFill>
        </w:rPr>
        <w:t>二级保护区</w:t>
      </w:r>
      <w:r>
        <w:rPr>
          <w:rFonts w:hint="eastAsia"/>
          <w:color w:val="000000" w:themeColor="text1"/>
          <w:kern w:val="2"/>
          <w:szCs w:val="24"/>
          <w14:textFill>
            <w14:solidFill>
              <w14:schemeClr w14:val="tx1"/>
            </w14:solidFill>
          </w14:textFill>
        </w:rPr>
        <w:t>（</w:t>
      </w:r>
      <w:r>
        <w:rPr>
          <w:color w:val="000000" w:themeColor="text1"/>
          <w:kern w:val="2"/>
          <w:szCs w:val="24"/>
          <w14:textFill>
            <w14:solidFill>
              <w14:schemeClr w14:val="tx1"/>
            </w14:solidFill>
          </w14:textFill>
        </w:rPr>
        <w:t>严格限制建设范围</w:t>
      </w:r>
      <w:r>
        <w:rPr>
          <w:rFonts w:hint="eastAsia"/>
          <w:color w:val="000000" w:themeColor="text1"/>
          <w:kern w:val="2"/>
          <w:szCs w:val="24"/>
          <w14:textFill>
            <w14:solidFill>
              <w14:schemeClr w14:val="tx1"/>
            </w14:solidFill>
          </w14:textFill>
        </w:rPr>
        <w:t>）</w:t>
      </w:r>
    </w:p>
    <w:p>
      <w:pPr>
        <w:pStyle w:val="71"/>
        <w:spacing w:line="360" w:lineRule="auto"/>
        <w:jc w:val="both"/>
        <w:rPr>
          <w:color w:val="000000" w:themeColor="text1"/>
          <w:kern w:val="2"/>
          <w:szCs w:val="24"/>
          <w14:textFill>
            <w14:solidFill>
              <w14:schemeClr w14:val="tx1"/>
            </w14:solidFill>
          </w14:textFill>
        </w:rPr>
      </w:pPr>
      <w:r>
        <w:rPr>
          <w:color w:val="000000" w:themeColor="text1"/>
          <w:kern w:val="2"/>
          <w:szCs w:val="24"/>
          <w14:textFill>
            <w14:solidFill>
              <w14:schemeClr w14:val="tx1"/>
            </w14:solidFill>
          </w14:textFill>
        </w:rPr>
        <w:t>二级保护区是有效维护一级保护区的缓冲地带，风景名胜资源较少、景观价值一般、自然生态价值较高的区域划为二级保护区。</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（1）</w:t>
      </w:r>
      <w:r>
        <w:rPr>
          <w:color w:val="000000" w:themeColor="text1"/>
          <w:kern w:val="2"/>
          <w:szCs w:val="24"/>
          <w14:textFill>
            <w14:solidFill>
              <w14:schemeClr w14:val="tx1"/>
            </w14:solidFill>
          </w14:textFill>
        </w:rPr>
        <w:t>范围</w:t>
      </w:r>
      <w:r>
        <w:rPr>
          <w:rFonts w:hint="eastAsia"/>
          <w:color w:val="000000" w:themeColor="text1"/>
          <w:kern w:val="2"/>
          <w:szCs w:val="24"/>
          <w14:textFill>
            <w14:solidFill>
              <w14:schemeClr w14:val="tx1"/>
            </w14:solidFill>
          </w14:textFill>
        </w:rPr>
        <w:t>：</w:t>
      </w:r>
      <w:r>
        <w:rPr>
          <w:color w:val="000000" w:themeColor="text1"/>
          <w:kern w:val="2"/>
          <w:szCs w:val="24"/>
          <w14:textFill>
            <w14:solidFill>
              <w14:schemeClr w14:val="tx1"/>
            </w14:solidFill>
          </w14:textFill>
        </w:rPr>
        <w:t>包括百工堰水域、明蜀王陵建设控制地带、风景区生态重要区</w:t>
      </w:r>
      <w:r>
        <w:rPr>
          <w:rFonts w:hint="eastAsia"/>
          <w:color w:val="000000" w:themeColor="text1"/>
          <w:kern w:val="2"/>
          <w:szCs w:val="24"/>
          <w14:textFill>
            <w14:solidFill>
              <w14:schemeClr w14:val="tx1"/>
            </w14:solidFill>
          </w14:textFill>
        </w:rPr>
        <w:t>（</w:t>
      </w:r>
      <w:r>
        <w:rPr>
          <w:color w:val="000000" w:themeColor="text1"/>
          <w:kern w:val="2"/>
          <w:szCs w:val="24"/>
          <w14:textFill>
            <w14:solidFill>
              <w14:schemeClr w14:val="tx1"/>
            </w14:solidFill>
          </w14:textFill>
        </w:rPr>
        <w:t>与龙泉山森林公园核心生态区重叠区域</w:t>
      </w:r>
      <w:r>
        <w:rPr>
          <w:rFonts w:hint="eastAsia"/>
          <w:color w:val="000000" w:themeColor="text1"/>
          <w:kern w:val="2"/>
          <w:szCs w:val="24"/>
          <w14:textFill>
            <w14:solidFill>
              <w14:schemeClr w14:val="tx1"/>
            </w14:solidFill>
          </w14:textFill>
        </w:rPr>
        <w:t>）</w:t>
      </w:r>
      <w:r>
        <w:rPr>
          <w:color w:val="000000" w:themeColor="text1"/>
          <w:kern w:val="2"/>
          <w:szCs w:val="24"/>
          <w14:textFill>
            <w14:solidFill>
              <w14:schemeClr w14:val="tx1"/>
            </w14:solidFill>
          </w14:textFill>
        </w:rPr>
        <w:t>、金龙景区天然林保护区。面积37.8平方公里。占风景名胜区总面积的37.65%。</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（2）</w:t>
      </w:r>
      <w:r>
        <w:rPr>
          <w:color w:val="000000" w:themeColor="text1"/>
          <w:kern w:val="2"/>
          <w:szCs w:val="24"/>
          <w14:textFill>
            <w14:solidFill>
              <w14:schemeClr w14:val="tx1"/>
            </w14:solidFill>
          </w14:textFill>
        </w:rPr>
        <w:t>保护措施</w:t>
      </w:r>
    </w:p>
    <w:p>
      <w:pPr>
        <w:pStyle w:val="71"/>
        <w:spacing w:line="360" w:lineRule="auto"/>
        <w:jc w:val="both"/>
        <w:rPr>
          <w:color w:val="000000" w:themeColor="text1"/>
          <w:kern w:val="2"/>
          <w:szCs w:val="24"/>
          <w14:textFill>
            <w14:solidFill>
              <w14:schemeClr w14:val="tx1"/>
            </w14:solidFill>
          </w14:textFill>
        </w:rPr>
      </w:pPr>
      <w:r>
        <w:rPr>
          <w:color w:val="000000" w:themeColor="text1"/>
          <w:kern w:val="2"/>
          <w:szCs w:val="24"/>
          <w14:textFill>
            <w14:solidFill>
              <w14:schemeClr w14:val="tx1"/>
            </w14:solidFill>
          </w14:textFill>
        </w:rPr>
        <w:t>保持并恢复生态与景观环境。</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1）</w:t>
      </w:r>
      <w:r>
        <w:rPr>
          <w:color w:val="000000" w:themeColor="text1"/>
          <w:kern w:val="2"/>
          <w:szCs w:val="24"/>
          <w14:textFill>
            <w14:solidFill>
              <w14:schemeClr w14:val="tx1"/>
            </w14:solidFill>
          </w14:textFill>
        </w:rPr>
        <w:t>严格控制区内设施类别、规模和建设凤貌，可安排规划确定的游览设旅服务接待设施、交通设施、水利设施、基础工程设施，建设风貌应与景区环境相协调，并对现有的违章建设制定相应的改造设施和拆除计划。</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2）</w:t>
      </w:r>
      <w:r>
        <w:rPr>
          <w:color w:val="000000" w:themeColor="text1"/>
          <w:kern w:val="2"/>
          <w:szCs w:val="24"/>
          <w14:textFill>
            <w14:solidFill>
              <w14:schemeClr w14:val="tx1"/>
            </w14:solidFill>
          </w14:textFill>
        </w:rPr>
        <w:t>相关建设项目须在景区规划的指导下，详细设计后，按照相关程序严格审批。加强生态抚育和绿化建设。</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3）</w:t>
      </w:r>
      <w:r>
        <w:rPr>
          <w:color w:val="000000" w:themeColor="text1"/>
          <w:kern w:val="2"/>
          <w:szCs w:val="24"/>
          <w14:textFill>
            <w14:solidFill>
              <w14:schemeClr w14:val="tx1"/>
            </w14:solidFill>
          </w14:textFill>
        </w:rPr>
        <w:t>人文景点的建设必须在尊重其固有风貌的基础上进行。</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4）</w:t>
      </w:r>
      <w:r>
        <w:rPr>
          <w:color w:val="000000" w:themeColor="text1"/>
          <w:kern w:val="2"/>
          <w:szCs w:val="24"/>
          <w14:textFill>
            <w14:solidFill>
              <w14:schemeClr w14:val="tx1"/>
            </w14:solidFill>
          </w14:textFill>
        </w:rPr>
        <w:t>加强对居民点的规划管理，控制建设规模，保持传统风貌，严格限制居民点的加建和扩建。加强道路交通管理，严格控制非游览性活动的外来机动交通对本区的影响。</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5）</w:t>
      </w:r>
      <w:r>
        <w:rPr>
          <w:color w:val="000000" w:themeColor="text1"/>
          <w:kern w:val="2"/>
          <w:szCs w:val="24"/>
          <w14:textFill>
            <w14:solidFill>
              <w14:schemeClr w14:val="tx1"/>
            </w14:solidFill>
          </w14:textFill>
        </w:rPr>
        <w:t>严格执行长江经济带负面清单管理制度。</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6）</w:t>
      </w:r>
      <w:r>
        <w:rPr>
          <w:color w:val="000000" w:themeColor="text1"/>
          <w:kern w:val="2"/>
          <w:szCs w:val="24"/>
          <w14:textFill>
            <w14:solidFill>
              <w14:schemeClr w14:val="tx1"/>
            </w14:solidFill>
          </w14:textFill>
        </w:rPr>
        <w:t>在文物保护单位的建设控制地带内进行建设工程，不得破坏文物保护单位的历史风貌:工程设计方案应当根据文物保护单位的级别，经相应的文物行政部门同意后，报城多建设规划部门批准。</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（三）</w:t>
      </w:r>
      <w:r>
        <w:rPr>
          <w:color w:val="000000" w:themeColor="text1"/>
          <w:kern w:val="2"/>
          <w:szCs w:val="24"/>
          <w14:textFill>
            <w14:solidFill>
              <w14:schemeClr w14:val="tx1"/>
            </w14:solidFill>
          </w14:textFill>
        </w:rPr>
        <w:t>三级保护区</w:t>
      </w:r>
      <w:r>
        <w:rPr>
          <w:rFonts w:hint="eastAsia"/>
          <w:color w:val="000000" w:themeColor="text1"/>
          <w:kern w:val="2"/>
          <w:szCs w:val="24"/>
          <w14:textFill>
            <w14:solidFill>
              <w14:schemeClr w14:val="tx1"/>
            </w14:solidFill>
          </w14:textFill>
        </w:rPr>
        <w:t>（</w:t>
      </w:r>
      <w:r>
        <w:rPr>
          <w:color w:val="000000" w:themeColor="text1"/>
          <w:kern w:val="2"/>
          <w:szCs w:val="24"/>
          <w14:textFill>
            <w14:solidFill>
              <w14:schemeClr w14:val="tx1"/>
            </w14:solidFill>
          </w14:textFill>
        </w:rPr>
        <w:t>控制建设范围</w:t>
      </w:r>
      <w:r>
        <w:rPr>
          <w:rFonts w:hint="eastAsia"/>
          <w:color w:val="000000" w:themeColor="text1"/>
          <w:kern w:val="2"/>
          <w:szCs w:val="24"/>
          <w14:textFill>
            <w14:solidFill>
              <w14:schemeClr w14:val="tx1"/>
            </w14:solidFill>
          </w14:textFill>
        </w:rPr>
        <w:t>）</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（1）</w:t>
      </w:r>
      <w:r>
        <w:rPr>
          <w:color w:val="000000" w:themeColor="text1"/>
          <w:kern w:val="2"/>
          <w:szCs w:val="24"/>
          <w14:textFill>
            <w14:solidFill>
              <w14:schemeClr w14:val="tx1"/>
            </w14:solidFill>
          </w14:textFill>
        </w:rPr>
        <w:t>范围</w:t>
      </w:r>
      <w:r>
        <w:rPr>
          <w:rFonts w:hint="eastAsia"/>
          <w:color w:val="000000" w:themeColor="text1"/>
          <w:kern w:val="2"/>
          <w:szCs w:val="24"/>
          <w14:textFill>
            <w14:solidFill>
              <w14:schemeClr w14:val="tx1"/>
            </w14:solidFill>
          </w14:textFill>
        </w:rPr>
        <w:t>：</w:t>
      </w:r>
      <w:r>
        <w:rPr>
          <w:color w:val="000000" w:themeColor="text1"/>
          <w:kern w:val="2"/>
          <w:szCs w:val="24"/>
          <w14:textFill>
            <w14:solidFill>
              <w14:schemeClr w14:val="tx1"/>
            </w14:solidFill>
          </w14:textFill>
        </w:rPr>
        <w:t>在风景名胜区范围内除去一级和二级保护区的区域，是风景名胜区重要的设施建设区，是风景区环境背景区和居民生活区，面积53.61平方公里，占风景名胜区总面积的53.4%。</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（2）</w:t>
      </w:r>
      <w:r>
        <w:rPr>
          <w:color w:val="000000" w:themeColor="text1"/>
          <w:kern w:val="2"/>
          <w:szCs w:val="24"/>
          <w14:textFill>
            <w14:solidFill>
              <w14:schemeClr w14:val="tx1"/>
            </w14:solidFill>
          </w14:textFill>
        </w:rPr>
        <w:t>保护措施</w:t>
      </w:r>
    </w:p>
    <w:p>
      <w:pPr>
        <w:pStyle w:val="71"/>
        <w:spacing w:line="360" w:lineRule="auto"/>
        <w:jc w:val="both"/>
        <w:rPr>
          <w:color w:val="000000" w:themeColor="text1"/>
          <w:kern w:val="2"/>
          <w:szCs w:val="24"/>
          <w14:textFill>
            <w14:solidFill>
              <w14:schemeClr w14:val="tx1"/>
            </w14:solidFill>
          </w14:textFill>
        </w:rPr>
      </w:pPr>
      <w:r>
        <w:rPr>
          <w:color w:val="000000" w:themeColor="text1"/>
          <w:kern w:val="2"/>
          <w:szCs w:val="24"/>
          <w14:textFill>
            <w14:solidFill>
              <w14:schemeClr w14:val="tx1"/>
            </w14:solidFill>
          </w14:textFill>
        </w:rPr>
        <w:t>三级保护区可维持原有土地利用方式与形态。根据不同区域的主导功能合理安排旅游服务设施和相关建设，区内建设应控制建设功能、建设规模、建设强度、建筑高度和形式等，与风景环境相协调。应编制详细规划，并依据详细规划合理安排旅游服务设施，有序引导各项建设活动及村庄建设。详细规划必须符合总体规划，建设风貌必须与风景环境相协调，基础工程设施等功能应有利于风景名胜区的保护和运营，基础工程设施必须符合相关技术规范和满足环保要求。</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1）</w:t>
      </w:r>
      <w:r>
        <w:rPr>
          <w:color w:val="000000" w:themeColor="text1"/>
          <w:kern w:val="2"/>
          <w:szCs w:val="24"/>
          <w14:textFill>
            <w14:solidFill>
              <w14:schemeClr w14:val="tx1"/>
            </w14:solidFill>
          </w14:textFill>
        </w:rPr>
        <w:t>区内的村庄协调区可接纳从一级保护区、二级保护区疏解的居民，禁止风景区外人口迁入。可对区内村庄进行合理调整置换建设用地，安排旅游设施。</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2）</w:t>
      </w:r>
      <w:r>
        <w:rPr>
          <w:color w:val="000000" w:themeColor="text1"/>
          <w:kern w:val="2"/>
          <w:szCs w:val="24"/>
          <w14:textFill>
            <w14:solidFill>
              <w14:schemeClr w14:val="tx1"/>
            </w14:solidFill>
          </w14:textFill>
        </w:rPr>
        <w:t>区内的旅游服务区建设应统筹用地规划，优化建设布局，保持山体余脉河流水系、田园绿地自然要素。</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3）</w:t>
      </w:r>
      <w:r>
        <w:rPr>
          <w:color w:val="000000" w:themeColor="text1"/>
          <w:kern w:val="2"/>
          <w:szCs w:val="24"/>
          <w14:textFill>
            <w14:solidFill>
              <w14:schemeClr w14:val="tx1"/>
            </w14:solidFill>
          </w14:textFill>
        </w:rPr>
        <w:t>区内的风景游览区以开展凤景游览、欣赏为主要功能，可根据游览需要开展景点、游步道及必要的游览服务设施建设。</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4）</w:t>
      </w:r>
      <w:r>
        <w:rPr>
          <w:color w:val="000000" w:themeColor="text1"/>
          <w:kern w:val="2"/>
          <w:szCs w:val="24"/>
          <w14:textFill>
            <w14:solidFill>
              <w14:schemeClr w14:val="tx1"/>
            </w14:solidFill>
          </w14:textFill>
        </w:rPr>
        <w:t>不得安排污染环境和破坏景观的项目，已经存在的应采取措施限期进行调整、改造或拆除。</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5）</w:t>
      </w:r>
      <w:r>
        <w:rPr>
          <w:color w:val="000000" w:themeColor="text1"/>
          <w:kern w:val="2"/>
          <w:szCs w:val="24"/>
          <w14:textFill>
            <w14:solidFill>
              <w14:schemeClr w14:val="tx1"/>
            </w14:solidFill>
          </w14:textFill>
        </w:rPr>
        <w:t>严格执行长江经济带负面清单管理制度。</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（四）</w:t>
      </w:r>
      <w:r>
        <w:rPr>
          <w:color w:val="000000" w:themeColor="text1"/>
          <w:kern w:val="2"/>
          <w:szCs w:val="24"/>
          <w14:textFill>
            <w14:solidFill>
              <w14:schemeClr w14:val="tx1"/>
            </w14:solidFill>
          </w14:textFill>
        </w:rPr>
        <w:t>外</w:t>
      </w:r>
      <w:r>
        <w:rPr>
          <w:rFonts w:hint="eastAsia"/>
          <w:color w:val="000000" w:themeColor="text1"/>
          <w:kern w:val="2"/>
          <w:szCs w:val="24"/>
          <w14:textFill>
            <w14:solidFill>
              <w14:schemeClr w14:val="tx1"/>
            </w14:solidFill>
          </w14:textFill>
        </w:rPr>
        <w:t>围</w:t>
      </w:r>
      <w:r>
        <w:rPr>
          <w:color w:val="000000" w:themeColor="text1"/>
          <w:kern w:val="2"/>
          <w:szCs w:val="24"/>
          <w14:textFill>
            <w14:solidFill>
              <w14:schemeClr w14:val="tx1"/>
            </w14:solidFill>
          </w14:textFill>
        </w:rPr>
        <w:t>保护地带</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（1）</w:t>
      </w:r>
      <w:r>
        <w:rPr>
          <w:color w:val="000000" w:themeColor="text1"/>
          <w:kern w:val="2"/>
          <w:szCs w:val="24"/>
          <w14:textFill>
            <w14:solidFill>
              <w14:schemeClr w14:val="tx1"/>
            </w14:solidFill>
          </w14:textFill>
        </w:rPr>
        <w:t>范围</w:t>
      </w:r>
      <w:r>
        <w:rPr>
          <w:rFonts w:hint="eastAsia"/>
          <w:color w:val="000000" w:themeColor="text1"/>
          <w:kern w:val="2"/>
          <w:szCs w:val="24"/>
          <w14:textFill>
            <w14:solidFill>
              <w14:schemeClr w14:val="tx1"/>
            </w14:solidFill>
          </w14:textFill>
        </w:rPr>
        <w:t>：</w:t>
      </w:r>
      <w:r>
        <w:rPr>
          <w:color w:val="000000" w:themeColor="text1"/>
          <w:kern w:val="2"/>
          <w:szCs w:val="24"/>
          <w14:textFill>
            <w14:solidFill>
              <w14:schemeClr w14:val="tx1"/>
            </w14:solidFill>
          </w14:textFill>
        </w:rPr>
        <w:t>龙泉花果山风景区与龙泉城区紧密联系、受外围建设影响较大或受周边因素干扰较大的区域划定为风景区外围管控区域。面积16.75平方公里。</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（2）</w:t>
      </w:r>
      <w:r>
        <w:rPr>
          <w:color w:val="000000" w:themeColor="text1"/>
          <w:kern w:val="2"/>
          <w:szCs w:val="24"/>
          <w14:textFill>
            <w14:solidFill>
              <w14:schemeClr w14:val="tx1"/>
            </w14:solidFill>
          </w14:textFill>
        </w:rPr>
        <w:t>保护措施</w:t>
      </w:r>
    </w:p>
    <w:p>
      <w:pPr>
        <w:pStyle w:val="71"/>
        <w:spacing w:line="360" w:lineRule="auto"/>
        <w:jc w:val="both"/>
        <w:rPr>
          <w:color w:val="000000" w:themeColor="text1"/>
          <w:kern w:val="2"/>
          <w:szCs w:val="24"/>
          <w14:textFill>
            <w14:solidFill>
              <w14:schemeClr w14:val="tx1"/>
            </w14:solidFill>
          </w14:textFill>
        </w:rPr>
      </w:pPr>
      <w:r>
        <w:rPr>
          <w:color w:val="000000" w:themeColor="text1"/>
          <w:kern w:val="2"/>
          <w:szCs w:val="24"/>
          <w14:textFill>
            <w14:solidFill>
              <w14:schemeClr w14:val="tx1"/>
            </w14:solidFill>
          </w14:textFill>
        </w:rPr>
        <w:t>外围保护地带严禁破坏山水、植被和动物栖息环境，禁止开展污染环境的各项建设，城乡建设景观应与风景环境协调，消除干扰或破坏风景区资源环境的因素。凤景区外围保护地带建设活动保持原行政管理和隶属关系不变。对该保护地带，在风景区规划批准后，由风景名胜区管理机构根据规划提出环境要求，由当地行政管理机关实施。</w:t>
      </w:r>
    </w:p>
    <w:p>
      <w:pPr>
        <w:pStyle w:val="71"/>
        <w:spacing w:line="360" w:lineRule="auto"/>
        <w:jc w:val="both"/>
        <w:rPr>
          <w:color w:val="000000" w:themeColor="text1"/>
          <w:kern w:val="2"/>
          <w:szCs w:val="24"/>
          <w14:textFill>
            <w14:solidFill>
              <w14:schemeClr w14:val="tx1"/>
            </w14:solidFill>
          </w14:textFill>
        </w:rPr>
      </w:pPr>
      <w:bookmarkStart w:id="454" w:name="6.1施工期环境影响分析"/>
      <w:bookmarkEnd w:id="454"/>
      <w:bookmarkStart w:id="455" w:name="_bookmark102"/>
      <w:bookmarkEnd w:id="455"/>
      <w:bookmarkStart w:id="456" w:name="_Toc70496299"/>
      <w:bookmarkStart w:id="457" w:name="_Toc3989"/>
      <w:bookmarkStart w:id="458" w:name="_Toc21261"/>
      <w:bookmarkStart w:id="459" w:name="_Toc27982"/>
      <w:bookmarkStart w:id="460" w:name="_Toc12064"/>
      <w:r>
        <w:rPr>
          <w:rFonts w:hint="eastAsia"/>
          <w:color w:val="000000" w:themeColor="text1"/>
          <w:kern w:val="2"/>
          <w:szCs w:val="24"/>
          <w14:textFill>
            <w14:solidFill>
              <w14:schemeClr w14:val="tx1"/>
            </w14:solidFill>
          </w14:textFill>
        </w:rPr>
        <w:t>2、工程涉及风景名胜区情况</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本工程仅南五、南六支渠涉及龙泉花果山风景名胜区（十陵景区），其起点至成都绕城高速（G4202）以内部分均位于花果山风景名胜区三级保护区范围内。项目仅在风景名胜区内进行渠道整治，包括拆除破损渠道进行重建，拆除重建箱涵、桥涵，新建一体化闸，渠道清淤等工程。项目与风景名胜区具体位置关系如下：</w:t>
      </w:r>
    </w:p>
    <w:p>
      <w:pPr>
        <w:pStyle w:val="71"/>
        <w:spacing w:line="360" w:lineRule="auto"/>
        <w:ind w:firstLine="0" w:firstLineChars="0"/>
        <w:jc w:val="center"/>
        <w:rPr>
          <w:color w:val="000000" w:themeColor="text1"/>
          <w:kern w:val="2"/>
          <w:szCs w:val="24"/>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45720</wp:posOffset>
                </wp:positionH>
                <wp:positionV relativeFrom="paragraph">
                  <wp:posOffset>3862070</wp:posOffset>
                </wp:positionV>
                <wp:extent cx="238125" cy="76200"/>
                <wp:effectExtent l="6350" t="6350" r="22225" b="12700"/>
                <wp:wrapNone/>
                <wp:docPr id="110" name="矩形 110"/>
                <wp:cNvGraphicFramePr/>
                <a:graphic xmlns:a="http://schemas.openxmlformats.org/drawingml/2006/main">
                  <a:graphicData uri="http://schemas.microsoft.com/office/word/2010/wordprocessingShape">
                    <wps:wsp>
                      <wps:cNvSpPr/>
                      <wps:spPr>
                        <a:xfrm>
                          <a:off x="0" y="0"/>
                          <a:ext cx="238125" cy="76200"/>
                        </a:xfrm>
                        <a:prstGeom prst="rect">
                          <a:avLst/>
                        </a:prstGeom>
                        <a:noFill/>
                        <a:ln>
                          <a:solidFill>
                            <a:srgbClr val="09CBBE"/>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pt;margin-top:304.1pt;height:6pt;width:18.75pt;z-index:251667456;v-text-anchor:middle;mso-width-relative:page;mso-height-relative:page;" filled="f" stroked="t" coordsize="21600,21600" o:gfxdata="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Tu9gbYAAAACAEAAA8AAAAAAAAAAQAgAAAAIgAAAGRycy9kb3ducmV2Lnht&#10;bFBLAQIUABQAAAAIAIdO4kDTUBq/awIAAM0EAAAOAAAAAAAAAAEAIAAAACcBAABkcnMvZTJvRG9j&#10;LnhtbFBLBQYAAAAABgAGAFkBAAAEBgAAAAA=&#10;">
                <v:fill on="f" focussize="0,0"/>
                <v:stroke weight="1pt" color="#09CBBE [2404]"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52070</wp:posOffset>
                </wp:positionH>
                <wp:positionV relativeFrom="paragraph">
                  <wp:posOffset>3690620</wp:posOffset>
                </wp:positionV>
                <wp:extent cx="238125" cy="76200"/>
                <wp:effectExtent l="6350" t="6350" r="22225" b="12700"/>
                <wp:wrapNone/>
                <wp:docPr id="109" name="矩形 109"/>
                <wp:cNvGraphicFramePr/>
                <a:graphic xmlns:a="http://schemas.openxmlformats.org/drawingml/2006/main">
                  <a:graphicData uri="http://schemas.microsoft.com/office/word/2010/wordprocessingShape">
                    <wps:wsp>
                      <wps:cNvSpPr/>
                      <wps:spPr>
                        <a:xfrm>
                          <a:off x="0" y="0"/>
                          <a:ext cx="238125" cy="76200"/>
                        </a:xfrm>
                        <a:prstGeom prst="rect">
                          <a:avLst/>
                        </a:prstGeom>
                        <a:noFill/>
                        <a:ln>
                          <a:solidFill>
                            <a:srgbClr val="3003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pt;margin-top:290.6pt;height:6pt;width:18.75pt;z-index:251666432;v-text-anchor:middle;mso-width-relative:page;mso-height-relative:page;" filled="f" stroked="t" coordsize="21600,21600" o:gfxdata="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rmt8m1QAAAAgBAAAPAAAAAAAAAAEAIAAAACIAAABkcnMvZG93bnJldi54bWxQ&#10;SwECFAAUAAAACACHTuJAelEUQWwCAADNBAAADgAAAAAAAAABACAAAAAkAQAAZHJzL2Uyb0RvYy54&#10;bWxQSwUGAAAAAAYABgBZAQAAAgYAAAAA&#10;">
                <v:fill on="f" focussize="0,0"/>
                <v:stroke weight="1pt" color="#3003F4 [2404]"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48895</wp:posOffset>
                </wp:positionH>
                <wp:positionV relativeFrom="paragraph">
                  <wp:posOffset>3514725</wp:posOffset>
                </wp:positionV>
                <wp:extent cx="238125" cy="76200"/>
                <wp:effectExtent l="6350" t="6350" r="22225" b="12700"/>
                <wp:wrapNone/>
                <wp:docPr id="93" name="矩形 93"/>
                <wp:cNvGraphicFramePr/>
                <a:graphic xmlns:a="http://schemas.openxmlformats.org/drawingml/2006/main">
                  <a:graphicData uri="http://schemas.microsoft.com/office/word/2010/wordprocessingShape">
                    <wps:wsp>
                      <wps:cNvSpPr/>
                      <wps:spPr>
                        <a:xfrm>
                          <a:off x="1099820" y="7069455"/>
                          <a:ext cx="238125" cy="76200"/>
                        </a:xfrm>
                        <a:prstGeom prst="rect">
                          <a:avLst/>
                        </a:prstGeom>
                        <a:noFill/>
                        <a:ln>
                          <a:solidFill>
                            <a:srgbClr val="E90EEA"/>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5pt;margin-top:276.75pt;height:6pt;width:18.75pt;z-index:251662336;v-text-anchor:middle;mso-width-relative:page;mso-height-relative:page;" filled="f" stroked="t" coordsize="21600,21600" o:gfxdata="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zYY3q2gAAAAgBAAAPAAAAAAAAAAEAIAAAACIA&#10;AABkcnMvZG93bnJldi54bWxQSwECFAAUAAAACACHTuJAGDplJnkCAADXBAAADgAAAAAAAAABACAA&#10;AAApAQAAZHJzL2Uyb0RvYy54bWxQSwUGAAAAAAYABgBZAQAAFAYAAAAA&#10;">
                <v:fill on="f" focussize="0,0"/>
                <v:stroke weight="1pt" color="#E90EEA [2404]"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39370</wp:posOffset>
                </wp:positionH>
                <wp:positionV relativeFrom="paragraph">
                  <wp:posOffset>3373120</wp:posOffset>
                </wp:positionV>
                <wp:extent cx="238125" cy="5715"/>
                <wp:effectExtent l="0" t="0" r="0" b="0"/>
                <wp:wrapNone/>
                <wp:docPr id="83" name="直接连接符 83"/>
                <wp:cNvGraphicFramePr/>
                <a:graphic xmlns:a="http://schemas.openxmlformats.org/drawingml/2006/main">
                  <a:graphicData uri="http://schemas.microsoft.com/office/word/2010/wordprocessingShape">
                    <wps:wsp>
                      <wps:cNvCnPr/>
                      <wps:spPr>
                        <a:xfrm flipV="1">
                          <a:off x="1052195" y="6922770"/>
                          <a:ext cx="238125" cy="571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1pt;margin-top:265.6pt;height:0.45pt;width:18.75pt;z-index:251661312;mso-width-relative:page;mso-height-relative:page;" filled="f" stroked="t" coordsize="21600,21600" o:gfxdata="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p79AV1wAAAAgBAAAPAAAAAAAAAAEAIAAAACIAAABkcnMvZG93bnJl&#10;di54bWxQSwECFAAUAAAACACHTuJAZnvuSv4BAADMAwAADgAAAAAAAAABACAAAAAmAQAAZHJzL2Uy&#10;b0RvYy54bWxQSwUGAAAAAAYABgBZAQAAlgUAAAAA&#10;">
                <v:fill on="f" focussize="0,0"/>
                <v:stroke weight="1pt" color="#FF000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-22225</wp:posOffset>
                </wp:positionH>
                <wp:positionV relativeFrom="paragraph">
                  <wp:posOffset>3213735</wp:posOffset>
                </wp:positionV>
                <wp:extent cx="1597025" cy="828040"/>
                <wp:effectExtent l="5080" t="4445" r="17145" b="5715"/>
                <wp:wrapNone/>
                <wp:docPr id="76" name="矩形 76"/>
                <wp:cNvGraphicFramePr/>
                <a:graphic xmlns:a="http://schemas.openxmlformats.org/drawingml/2006/main">
                  <a:graphicData uri="http://schemas.microsoft.com/office/word/2010/wordprocessingShape">
                    <wps:wsp>
                      <wps:cNvSpPr/>
                      <wps:spPr>
                        <a:xfrm>
                          <a:off x="1019175" y="6685915"/>
                          <a:ext cx="1597025" cy="828040"/>
                        </a:xfrm>
                        <a:prstGeom prst="rect">
                          <a:avLst/>
                        </a:prstGeom>
                        <a:solidFill>
                          <a:schemeClr val="bg1"/>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：一级保护区范围</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：二级保护区范围</w:t>
                            </w:r>
                          </w:p>
                          <w:p>
                            <w:pPr>
                              <w:ind w:firstLine="420" w:firstLineChars="200"/>
                              <w:jc w:val="both"/>
                            </w:pPr>
                            <w:r>
                              <w:rPr>
                                <w:rFonts w:hint="eastAsia"/>
                                <w:color w:val="000000" w:themeColor="text1"/>
                                <w14:textFill>
                                  <w14:solidFill>
                                    <w14:schemeClr w14:val="tx1"/>
                                  </w14:solidFill>
                                </w14:textFill>
                              </w:rPr>
                              <w:t>：三级保护区范围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pt;margin-top:253.05pt;height:65.2pt;width:125.75pt;z-index:251660288;v-text-anchor:middle;mso-width-relative:page;mso-height-relative:page;" fillcolor="#FFFFFF [3212]" filled="t" stroked="t" coordsize="21600,21600" o:gfxdata="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FZkKjNsAAAAKAQAADwAAAAAA&#10;AAABACAAAAAiAAAAZHJzL2Rvd25yZXYueG1sUEsBAhQAFAAAAAgAh07iQCEIlMuCAgAADAUAAA4A&#10;AAAAAAAAAQAgAAAAKgEAAGRycy9lMm9Eb2MueG1sUEsFBgAAAAAGAAYAWQEAAB4GAAAAAA==&#10;">
                <v:fill on="t" focussize="0,0"/>
                <v:stroke weight="0.25pt" color="#000000 [3213]" miterlimit="8" joinstyle="miter"/>
                <v:imagedata o:title=""/>
                <o:lock v:ext="edit" aspectratio="f"/>
                <v:textbox>
                  <w:txbxContent>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：一级保护区范围</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：二级保护区范围</w:t>
                      </w:r>
                    </w:p>
                    <w:p>
                      <w:pPr>
                        <w:ind w:firstLine="420" w:firstLineChars="200"/>
                        <w:jc w:val="both"/>
                      </w:pPr>
                      <w:r>
                        <w:rPr>
                          <w:rFonts w:hint="eastAsia"/>
                          <w:color w:val="000000" w:themeColor="text1"/>
                          <w14:textFill>
                            <w14:solidFill>
                              <w14:schemeClr w14:val="tx1"/>
                            </w14:solidFill>
                          </w14:textFill>
                        </w:rPr>
                        <w:t>：三级保护区范围</w:t>
                      </w:r>
                    </w:p>
                  </w:txbxContent>
                </v:textbox>
              </v:rect>
            </w:pict>
          </mc:Fallback>
        </mc:AlternateContent>
      </w:r>
      <w:r>
        <w:rPr>
          <w:color w:val="000000" w:themeColor="text1"/>
          <w:kern w:val="2"/>
          <w:szCs w:val="24"/>
          <w14:textFill>
            <w14:solidFill>
              <w14:schemeClr w14:val="tx1"/>
            </w14:solidFill>
          </w14:textFill>
        </w:rPr>
        <w:drawing>
          <wp:inline distT="0" distB="0" distL="114300" distR="114300">
            <wp:extent cx="5441950" cy="4070350"/>
            <wp:effectExtent l="0" t="0" r="6350" b="6350"/>
            <wp:docPr id="74" name="图片 74" descr="171248286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712482860920"/>
                    <pic:cNvPicPr>
                      <a:picLocks noChangeAspect="1"/>
                    </pic:cNvPicPr>
                  </pic:nvPicPr>
                  <pic:blipFill>
                    <a:blip r:embed="rId63"/>
                    <a:stretch>
                      <a:fillRect/>
                    </a:stretch>
                  </pic:blipFill>
                  <pic:spPr>
                    <a:xfrm>
                      <a:off x="0" y="0"/>
                      <a:ext cx="5441950" cy="4070350"/>
                    </a:xfrm>
                    <a:prstGeom prst="rect">
                      <a:avLst/>
                    </a:prstGeom>
                  </pic:spPr>
                </pic:pic>
              </a:graphicData>
            </a:graphic>
          </wp:inline>
        </w:drawing>
      </w:r>
    </w:p>
    <w:p>
      <w:pPr>
        <w:pStyle w:val="71"/>
        <w:spacing w:line="360" w:lineRule="auto"/>
        <w:ind w:firstLine="0" w:firstLineChars="0"/>
        <w:jc w:val="center"/>
        <w:rPr>
          <w:rFonts w:eastAsia="黑体"/>
          <w:color w:val="000000" w:themeColor="text1"/>
          <w:szCs w:val="24"/>
          <w14:textFill>
            <w14:solidFill>
              <w14:schemeClr w14:val="tx1"/>
            </w14:solidFill>
          </w14:textFill>
        </w:rPr>
      </w:pPr>
      <w:r>
        <w:rPr>
          <w:rFonts w:hint="eastAsia" w:eastAsia="黑体"/>
          <w:color w:val="000000" w:themeColor="text1"/>
          <w:szCs w:val="24"/>
          <w14:textFill>
            <w14:solidFill>
              <w14:schemeClr w14:val="tx1"/>
            </w14:solidFill>
          </w14:textFill>
        </w:rPr>
        <w:t>图3.2-2工程与龙泉花果山风景名胜区位置关系图</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3.2.7.2成都市龙泉驿区东风渠、东干渠麻石桥集中式饮用水水源地保护区概况</w:t>
      </w:r>
    </w:p>
    <w:p>
      <w:pPr>
        <w:pStyle w:val="71"/>
        <w:numPr>
          <w:ilvl w:val="0"/>
          <w:numId w:val="6"/>
        </w:numPr>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基本情况</w:t>
      </w:r>
    </w:p>
    <w:p>
      <w:pPr>
        <w:pStyle w:val="71"/>
        <w:spacing w:line="360" w:lineRule="auto"/>
        <w:jc w:val="both"/>
        <w:rPr>
          <w:color w:val="000000" w:themeColor="text1"/>
          <w:kern w:val="2"/>
          <w:szCs w:val="24"/>
          <w14:textFill>
            <w14:solidFill>
              <w14:schemeClr w14:val="tx1"/>
            </w14:solidFill>
          </w14:textFill>
        </w:rPr>
      </w:pPr>
      <w:r>
        <w:rPr>
          <w:color w:val="000000" w:themeColor="text1"/>
          <w:szCs w:val="24"/>
          <w14:textFill>
            <w14:solidFill>
              <w14:schemeClr w14:val="tx1"/>
            </w14:solidFill>
          </w14:textFill>
        </w:rPr>
        <w:t>成都市龙泉驿区东风渠、东干渠麻石桥集中式饮用水水源地为原成都市龙泉驿区自来水二厂集中式饮用水水源地。其一级保护区范围为：东风渠取水口下游100米至取水口上游1000米、东干渠取水口下游50米节制闸上游侧至东干渠渠首闸上游侧渠道内的水域范围。东风渠段一级保护区水域边界沿两岸纵深至植草沟但不小于18米、不大于50米的陆域，东干渠段一级保护区水域边界沿两岸纵深50米，其中左岸不超过水厂围墙的陆域范围；二级保护区范围为：东风渠段一级保护区上边界沿东风渠向上游2000米渠道内的水域范围。东风渠段一级保护区水域边界沿两岸纵深50米，二级保护区水域边界沿两岸纵深至分水岭但不小于18米、不大于50米除一级保护区外的陆域范围；东干渠段一级保护区水域边界沿左岸纵深50米但不超过东安湖环湖路背湖侧除一级保护区外的陆域范围。准保护区范围为：二级保护区上边界沿东风渠向上游5000米渠道内的水域范围。准保护区水域边界沿两岸纵深至分水岭但不小于18米、不大于50米的陆域范围</w:t>
      </w:r>
      <w:r>
        <w:rPr>
          <w:rFonts w:hint="eastAsia"/>
          <w:color w:val="000000" w:themeColor="text1"/>
          <w:szCs w:val="24"/>
          <w14:textFill>
            <w14:solidFill>
              <w14:schemeClr w14:val="tx1"/>
            </w14:solidFill>
          </w14:textFill>
        </w:rPr>
        <w:t>。</w:t>
      </w:r>
    </w:p>
    <w:p>
      <w:pPr>
        <w:pStyle w:val="71"/>
        <w:spacing w:line="360" w:lineRule="auto"/>
        <w:jc w:val="both"/>
        <w:rPr>
          <w:color w:val="000000" w:themeColor="text1"/>
          <w:kern w:val="2"/>
          <w:szCs w:val="24"/>
          <w14:textFill>
            <w14:solidFill>
              <w14:schemeClr w14:val="tx1"/>
            </w14:solidFill>
          </w14:textFill>
        </w:rPr>
      </w:pPr>
      <w:r>
        <w:rPr>
          <w:rFonts w:hint="eastAsia"/>
          <w:color w:val="000000" w:themeColor="text1"/>
          <w:kern w:val="2"/>
          <w:szCs w:val="24"/>
          <w14:textFill>
            <w14:solidFill>
              <w14:schemeClr w14:val="tx1"/>
            </w14:solidFill>
          </w14:textFill>
        </w:rPr>
        <w:t>2、工程涉及饮用水源保护区情况</w:t>
      </w:r>
    </w:p>
    <w:p>
      <w:pPr>
        <w:snapToGrid w:val="0"/>
        <w:spacing w:line="360" w:lineRule="auto"/>
        <w:ind w:firstLine="480" w:firstLineChars="200"/>
        <w:rPr>
          <w:rFonts w:hint="default" w:eastAsia="宋体" w:cs="宋体"/>
          <w:color w:val="000000" w:themeColor="text1"/>
          <w:sz w:val="24"/>
          <w:lang w:val="en-US" w:eastAsia="zh-CN"/>
          <w14:textFill>
            <w14:solidFill>
              <w14:schemeClr w14:val="tx1"/>
            </w14:solidFill>
          </w14:textFill>
        </w:rPr>
      </w:pPr>
      <w:r>
        <w:rPr>
          <w:rFonts w:hint="eastAsia" w:cs="宋体"/>
          <w:color w:val="000000" w:themeColor="text1"/>
          <w:sz w:val="24"/>
          <w14:textFill>
            <w14:solidFill>
              <w14:schemeClr w14:val="tx1"/>
            </w14:solidFill>
          </w14:textFill>
        </w:rPr>
        <w:t>项目</w:t>
      </w:r>
      <w:r>
        <w:rPr>
          <w:rFonts w:hint="eastAsia" w:cs="宋体"/>
          <w:color w:val="000000" w:themeColor="text1"/>
          <w:sz w:val="24"/>
          <w:lang w:val="en-US" w:eastAsia="zh-CN"/>
          <w14:textFill>
            <w14:solidFill>
              <w14:schemeClr w14:val="tx1"/>
            </w14:solidFill>
          </w14:textFill>
        </w:rPr>
        <w:t>南五支渠、南六支渠位于东风渠下游，其中</w:t>
      </w:r>
      <w:r>
        <w:rPr>
          <w:rFonts w:hint="eastAsia" w:ascii="Times New Roman" w:hAnsi="Times New Roman" w:eastAsia="宋体" w:cs="Times New Roman"/>
          <w:color w:val="000000" w:themeColor="text1"/>
          <w:sz w:val="24"/>
          <w:lang w:val="en-US" w:eastAsia="zh-CN"/>
          <w14:textFill>
            <w14:solidFill>
              <w14:schemeClr w14:val="tx1"/>
            </w14:solidFill>
          </w14:textFill>
        </w:rPr>
        <w:t>南五支渠约11m，南六支渠约20m位于龙泉驿区东风渠、东干渠麻石桥集中式饮用水水源地准</w:t>
      </w:r>
      <w:r>
        <w:rPr>
          <w:rFonts w:hint="eastAsia" w:ascii="Times New Roman" w:hAnsi="Times New Roman" w:eastAsia="宋体" w:cs="Times New Roman"/>
          <w:color w:val="000000" w:themeColor="text1"/>
          <w:sz w:val="24"/>
          <w:lang w:val="en-GB" w:eastAsia="zh-CN"/>
          <w14:textFill>
            <w14:solidFill>
              <w14:schemeClr w14:val="tx1"/>
            </w14:solidFill>
          </w14:textFill>
        </w:rPr>
        <w:t>保护区</w:t>
      </w:r>
      <w:r>
        <w:rPr>
          <w:rFonts w:hint="eastAsia" w:ascii="Times New Roman" w:hAnsi="Times New Roman" w:eastAsia="宋体" w:cs="Times New Roman"/>
          <w:color w:val="000000" w:themeColor="text1"/>
          <w:sz w:val="24"/>
          <w:lang w:val="en-US" w:eastAsia="zh-CN"/>
          <w14:textFill>
            <w14:solidFill>
              <w14:schemeClr w14:val="tx1"/>
            </w14:solidFill>
          </w14:textFill>
        </w:rPr>
        <w:t>陆域范围内</w:t>
      </w:r>
      <w:r>
        <w:rPr>
          <w:rFonts w:hint="eastAsia" w:cs="宋体"/>
          <w:color w:val="000000" w:themeColor="text1"/>
          <w:sz w:val="24"/>
          <w14:textFill>
            <w14:solidFill>
              <w14:schemeClr w14:val="tx1"/>
            </w14:solidFill>
          </w14:textFill>
        </w:rPr>
        <w:t>，整治渠道仅涉及准保护区内的陆域部分</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lang w:val="en-US" w:eastAsia="zh-CN"/>
          <w14:textFill>
            <w14:solidFill>
              <w14:schemeClr w14:val="tx1"/>
            </w14:solidFill>
          </w14:textFill>
        </w:rPr>
        <w:t>在准保护区内占地面积约124m</w:t>
      </w:r>
      <w:r>
        <w:rPr>
          <w:rFonts w:hint="eastAsia" w:cs="宋体"/>
          <w:color w:val="000000" w:themeColor="text1"/>
          <w:sz w:val="24"/>
          <w:vertAlign w:val="superscript"/>
          <w:lang w:val="en-US" w:eastAsia="zh-CN"/>
          <w14:textFill>
            <w14:solidFill>
              <w14:schemeClr w14:val="tx1"/>
            </w14:solidFill>
          </w14:textFill>
        </w:rPr>
        <w:t>2</w:t>
      </w:r>
      <w:r>
        <w:rPr>
          <w:rFonts w:hint="eastAsia" w:cs="宋体"/>
          <w:color w:val="000000" w:themeColor="text1"/>
          <w:sz w:val="24"/>
          <w14:textFill>
            <w14:solidFill>
              <w14:schemeClr w14:val="tx1"/>
            </w14:solidFill>
          </w14:textFill>
        </w:rPr>
        <w:t>。南五支渠和南六支渠起点处采用进水闸进行断流、分段围堰导流的方式施工；项目拟在准保护区内进行开挖、衬砌、清淤等综合整治工程</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lang w:val="en-US" w:eastAsia="zh-CN"/>
          <w14:textFill>
            <w14:solidFill>
              <w14:schemeClr w14:val="tx1"/>
            </w14:solidFill>
          </w14:textFill>
        </w:rPr>
        <w:t>工程的建设不改变原有取水量。由于项目选择断水施工，施工期间，本项目渠道不再从东风渠内取水，工程建设不会影响</w:t>
      </w:r>
      <w:r>
        <w:rPr>
          <w:rFonts w:hint="eastAsia" w:ascii="Times New Roman" w:hAnsi="Times New Roman" w:eastAsia="宋体" w:cs="Times New Roman"/>
          <w:color w:val="000000" w:themeColor="text1"/>
          <w:sz w:val="24"/>
          <w:lang w:val="en-US" w:eastAsia="zh-CN"/>
          <w14:textFill>
            <w14:solidFill>
              <w14:schemeClr w14:val="tx1"/>
            </w14:solidFill>
          </w14:textFill>
        </w:rPr>
        <w:t>东风渠、东干渠麻石桥集中式饮用水水源地取水口水质。</w:t>
      </w:r>
    </w:p>
    <w:p>
      <w:pPr>
        <w:snapToGrid w:val="0"/>
        <w:spacing w:line="360" w:lineRule="auto"/>
        <w:rPr>
          <w:rFonts w:cs="宋体"/>
          <w:color w:val="000000" w:themeColor="text1"/>
          <w:sz w:val="24"/>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2353310</wp:posOffset>
                </wp:positionH>
                <wp:positionV relativeFrom="paragraph">
                  <wp:posOffset>2028190</wp:posOffset>
                </wp:positionV>
                <wp:extent cx="1185545" cy="374015"/>
                <wp:effectExtent l="0" t="0" r="0" b="0"/>
                <wp:wrapNone/>
                <wp:docPr id="72" name="矩形 72"/>
                <wp:cNvGraphicFramePr/>
                <a:graphic xmlns:a="http://schemas.openxmlformats.org/drawingml/2006/main">
                  <a:graphicData uri="http://schemas.microsoft.com/office/word/2010/wordprocessingShape">
                    <wps:wsp>
                      <wps:cNvSpPr/>
                      <wps:spPr>
                        <a:xfrm>
                          <a:off x="0" y="0"/>
                          <a:ext cx="1185545" cy="3740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ascii="黑体" w:hAnsi="黑体" w:eastAsia="黑体" w:cs="黑体"/>
                                <w:b/>
                                <w:bCs/>
                                <w:color w:val="FF0000"/>
                              </w:rPr>
                            </w:pPr>
                            <w:r>
                              <w:rPr>
                                <w:rFonts w:hint="eastAsia" w:ascii="黑体" w:hAnsi="黑体" w:eastAsia="黑体" w:cs="黑体"/>
                                <w:b/>
                                <w:bCs/>
                                <w:color w:val="FF0000"/>
                              </w:rPr>
                              <w:t>准保护区范围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3pt;margin-top:159.7pt;height:29.45pt;width:93.35pt;z-index:251687936;v-text-anchor:middle;mso-width-relative:page;mso-height-relative:page;" filled="f" stroked="f" coordsize="21600,21600" o:gfxdata="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t+XH7ZAAAACwEAAA8AAAAAAAAAAQAgAAAAIgAAAGRycy9kb3ducmV2LnhtbFBLAQIUABQA&#10;AAAIAIdO4kAmgk6TYQIAAK8EAAAOAAAAAAAAAAEAIAAAACgBAABkcnMvZTJvRG9jLnhtbFBLBQYA&#10;AAAABgAGAFkBAAD7BQAAAAA=&#10;">
                <v:fill on="f" focussize="0,0"/>
                <v:stroke on="f" weight="1pt" miterlimit="8" joinstyle="miter"/>
                <v:imagedata o:title=""/>
                <o:lock v:ext="edit" aspectratio="f"/>
                <v:textbox>
                  <w:txbxContent>
                    <w:p>
                      <w:pPr>
                        <w:jc w:val="both"/>
                        <w:rPr>
                          <w:rFonts w:ascii="黑体" w:hAnsi="黑体" w:eastAsia="黑体" w:cs="黑体"/>
                          <w:b/>
                          <w:bCs/>
                          <w:color w:val="FF0000"/>
                        </w:rPr>
                      </w:pPr>
                      <w:r>
                        <w:rPr>
                          <w:rFonts w:hint="eastAsia" w:ascii="黑体" w:hAnsi="黑体" w:eastAsia="黑体" w:cs="黑体"/>
                          <w:b/>
                          <w:bCs/>
                          <w:color w:val="FF0000"/>
                        </w:rPr>
                        <w:t>准保护区范围</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2925445</wp:posOffset>
                </wp:positionH>
                <wp:positionV relativeFrom="paragraph">
                  <wp:posOffset>3060700</wp:posOffset>
                </wp:positionV>
                <wp:extent cx="934720" cy="443230"/>
                <wp:effectExtent l="0" t="0" r="0" b="0"/>
                <wp:wrapNone/>
                <wp:docPr id="71" name="矩形 71"/>
                <wp:cNvGraphicFramePr/>
                <a:graphic xmlns:a="http://schemas.openxmlformats.org/drawingml/2006/main">
                  <a:graphicData uri="http://schemas.microsoft.com/office/word/2010/wordprocessingShape">
                    <wps:wsp>
                      <wps:cNvSpPr/>
                      <wps:spPr>
                        <a:xfrm>
                          <a:off x="0" y="0"/>
                          <a:ext cx="934720" cy="4432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ascii="黑体" w:hAnsi="黑体" w:eastAsia="黑体" w:cs="黑体"/>
                                <w:b/>
                                <w:bCs/>
                                <w:color w:val="FF0000"/>
                              </w:rPr>
                            </w:pPr>
                            <w:r>
                              <w:rPr>
                                <w:rFonts w:hint="eastAsia" w:ascii="黑体" w:hAnsi="黑体" w:eastAsia="黑体" w:cs="黑体"/>
                                <w:b/>
                                <w:bCs/>
                                <w:color w:val="FF0000"/>
                              </w:rPr>
                              <w:t>南六支渠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35pt;margin-top:241pt;height:34.9pt;width:73.6pt;z-index:251686912;v-text-anchor:middle;mso-width-relative:page;mso-height-relative:page;" filled="f" stroked="f" coordsize="21600,21600" o:gfxdata="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iiigvYAAAACwEAAA8AAAAAAAAAAQAgAAAAIgAAAGRycy9kb3ducmV2LnhtbFBLAQIUABQAAAAI&#10;AIdO4kA2G0jhXwIAAK4EAAAOAAAAAAAAAAEAIAAAACcBAABkcnMvZTJvRG9jLnhtbFBLBQYAAAAA&#10;BgAGAFkBAAD4BQAAAAA=&#10;">
                <v:fill on="f" focussize="0,0"/>
                <v:stroke on="f" weight="1pt" miterlimit="8" joinstyle="miter"/>
                <v:imagedata o:title=""/>
                <o:lock v:ext="edit" aspectratio="f"/>
                <v:textbox>
                  <w:txbxContent>
                    <w:p>
                      <w:pPr>
                        <w:jc w:val="both"/>
                        <w:rPr>
                          <w:rFonts w:ascii="黑体" w:hAnsi="黑体" w:eastAsia="黑体" w:cs="黑体"/>
                          <w:b/>
                          <w:bCs/>
                          <w:color w:val="FF0000"/>
                        </w:rPr>
                      </w:pPr>
                      <w:r>
                        <w:rPr>
                          <w:rFonts w:hint="eastAsia" w:ascii="黑体" w:hAnsi="黑体" w:eastAsia="黑体" w:cs="黑体"/>
                          <w:b/>
                          <w:bCs/>
                          <w:color w:val="FF0000"/>
                        </w:rPr>
                        <w:t>南六支渠</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2630170</wp:posOffset>
                </wp:positionH>
                <wp:positionV relativeFrom="paragraph">
                  <wp:posOffset>654050</wp:posOffset>
                </wp:positionV>
                <wp:extent cx="934720" cy="443230"/>
                <wp:effectExtent l="0" t="0" r="0" b="0"/>
                <wp:wrapNone/>
                <wp:docPr id="70" name="矩形 70"/>
                <wp:cNvGraphicFramePr/>
                <a:graphic xmlns:a="http://schemas.openxmlformats.org/drawingml/2006/main">
                  <a:graphicData uri="http://schemas.microsoft.com/office/word/2010/wordprocessingShape">
                    <wps:wsp>
                      <wps:cNvSpPr/>
                      <wps:spPr>
                        <a:xfrm>
                          <a:off x="0" y="0"/>
                          <a:ext cx="934720" cy="4432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ascii="黑体" w:hAnsi="黑体" w:eastAsia="黑体" w:cs="黑体"/>
                                <w:b/>
                                <w:bCs/>
                                <w:color w:val="FF0000"/>
                              </w:rPr>
                            </w:pPr>
                            <w:r>
                              <w:rPr>
                                <w:rFonts w:hint="eastAsia" w:ascii="黑体" w:hAnsi="黑体" w:eastAsia="黑体" w:cs="黑体"/>
                                <w:b/>
                                <w:bCs/>
                                <w:color w:val="FF0000"/>
                              </w:rPr>
                              <w:t>南五支渠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1pt;margin-top:51.5pt;height:34.9pt;width:73.6pt;z-index:251685888;v-text-anchor:middle;mso-width-relative:page;mso-height-relative:page;" filled="f" stroked="f" coordsize="21600,21600" o:gfxdata="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2hoIY9gAAAALAQAADwAAAAAAAAABACAAAAAiAAAAZHJzL2Rvd25yZXYueG1sUEsBAhQAFAAAAAgA&#10;h07iQKzDCpdeAgAArgQAAA4AAAAAAAAAAQAgAAAAJwEAAGRycy9lMm9Eb2MueG1sUEsFBgAAAAAG&#10;AAYAWQEAAPcFAAAAAA==&#10;">
                <v:fill on="f" focussize="0,0"/>
                <v:stroke on="f" weight="1pt" miterlimit="8" joinstyle="miter"/>
                <v:imagedata o:title=""/>
                <o:lock v:ext="edit" aspectratio="f"/>
                <v:textbox>
                  <w:txbxContent>
                    <w:p>
                      <w:pPr>
                        <w:jc w:val="both"/>
                        <w:rPr>
                          <w:rFonts w:ascii="黑体" w:hAnsi="黑体" w:eastAsia="黑体" w:cs="黑体"/>
                          <w:b/>
                          <w:bCs/>
                          <w:color w:val="FF0000"/>
                        </w:rPr>
                      </w:pPr>
                      <w:r>
                        <w:rPr>
                          <w:rFonts w:hint="eastAsia" w:ascii="黑体" w:hAnsi="黑体" w:eastAsia="黑体" w:cs="黑体"/>
                          <w:b/>
                          <w:bCs/>
                          <w:color w:val="FF0000"/>
                        </w:rPr>
                        <w:t>南五支渠</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391160</wp:posOffset>
                </wp:positionH>
                <wp:positionV relativeFrom="paragraph">
                  <wp:posOffset>3663315</wp:posOffset>
                </wp:positionV>
                <wp:extent cx="1968500" cy="134620"/>
                <wp:effectExtent l="635" t="6350" r="12065" b="49530"/>
                <wp:wrapNone/>
                <wp:docPr id="69" name="直接箭头连接符 69"/>
                <wp:cNvGraphicFramePr/>
                <a:graphic xmlns:a="http://schemas.openxmlformats.org/drawingml/2006/main">
                  <a:graphicData uri="http://schemas.microsoft.com/office/word/2010/wordprocessingShape">
                    <wps:wsp>
                      <wps:cNvCnPr/>
                      <wps:spPr>
                        <a:xfrm>
                          <a:off x="0" y="0"/>
                          <a:ext cx="1968500" cy="134620"/>
                        </a:xfrm>
                        <a:prstGeom prst="straightConnector1">
                          <a:avLst/>
                        </a:prstGeom>
                        <a:ln w="12700">
                          <a:solidFill>
                            <a:schemeClr val="bg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0.8pt;margin-top:288.45pt;height:10.6pt;width:155pt;z-index:251684864;mso-width-relative:page;mso-height-relative:page;" filled="f" stroked="t" coordsize="21600,21600" o:gfxdata="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rG&#10;S0/bAAAACgEAAA8AAAAAAAAAAQAgAAAAIgAAAGRycy9kb3ducmV2LnhtbFBLAQIUABQAAAAIAIdO&#10;4kB+ynIlIAIAABMEAAAOAAAAAAAAAAEAIAAAACoBAABkcnMvZTJvRG9jLnhtbFBLBQYAAAAABgAG&#10;AFkBAAC8BQAAAAA=&#10;">
                <v:fill on="f" focussize="0,0"/>
                <v:stroke weight="1pt" color="#FFFFFF [3212]" miterlimit="8" joinstyle="miter"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398780</wp:posOffset>
                </wp:positionH>
                <wp:positionV relativeFrom="paragraph">
                  <wp:posOffset>686435</wp:posOffset>
                </wp:positionV>
                <wp:extent cx="1198880" cy="2857500"/>
                <wp:effectExtent l="5715" t="0" r="14605" b="19050"/>
                <wp:wrapNone/>
                <wp:docPr id="68" name="直接箭头连接符 68"/>
                <wp:cNvGraphicFramePr/>
                <a:graphic xmlns:a="http://schemas.openxmlformats.org/drawingml/2006/main">
                  <a:graphicData uri="http://schemas.microsoft.com/office/word/2010/wordprocessingShape">
                    <wps:wsp>
                      <wps:cNvCnPr/>
                      <wps:spPr>
                        <a:xfrm flipV="1">
                          <a:off x="0" y="0"/>
                          <a:ext cx="1198880" cy="2857500"/>
                        </a:xfrm>
                        <a:prstGeom prst="straightConnector1">
                          <a:avLst/>
                        </a:prstGeom>
                        <a:ln w="12700">
                          <a:solidFill>
                            <a:schemeClr val="bg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1.4pt;margin-top:54.05pt;height:225pt;width:94.4pt;z-index:251683840;mso-width-relative:page;mso-height-relative:page;" filled="f" stroked="t" coordsize="21600,21600" o:gfxdata="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8oqL3YAAAACgEAAA8AAAAAAAAAAQAgAAAAIgAAAGRycy9kb3ducmV2LnhtbFBLAQIUABQA&#10;AAAIAIdO4kAC+CzJKQIAAB4EAAAOAAAAAAAAAAEAIAAAACcBAABkcnMvZTJvRG9jLnhtbFBLBQYA&#10;AAAABgAGAFkBAADCBQAAAAA=&#10;">
                <v:fill on="f" focussize="0,0"/>
                <v:stroke weight="1pt" color="#FFFFFF [3212]" miterlimit="8" joinstyle="miter"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231140</wp:posOffset>
                </wp:positionH>
                <wp:positionV relativeFrom="paragraph">
                  <wp:posOffset>3490595</wp:posOffset>
                </wp:positionV>
                <wp:extent cx="260350" cy="225425"/>
                <wp:effectExtent l="6350" t="6350" r="19050" b="15875"/>
                <wp:wrapNone/>
                <wp:docPr id="67" name="矩形 67"/>
                <wp:cNvGraphicFramePr/>
                <a:graphic xmlns:a="http://schemas.openxmlformats.org/drawingml/2006/main">
                  <a:graphicData uri="http://schemas.microsoft.com/office/word/2010/wordprocessingShape">
                    <wps:wsp>
                      <wps:cNvSpPr/>
                      <wps:spPr>
                        <a:xfrm>
                          <a:off x="0" y="0"/>
                          <a:ext cx="260350" cy="225425"/>
                        </a:xfrm>
                        <a:prstGeom prst="rect">
                          <a:avLst/>
                        </a:prstGeom>
                        <a:noFill/>
                        <a:ln w="12700">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pt;margin-top:274.85pt;height:17.75pt;width:20.5pt;z-index:251682816;v-text-anchor:middle;mso-width-relative:page;mso-height-relative:page;" filled="f" stroked="t" coordsize="21600,21600" o:gfxdata="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6Qi6nZAAAACQEAAA8AAAAAAAAAAQAgAAAAIgAAAGRycy9kb3ducmV2Lnht&#10;bFBLAQIUABQAAAAIAIdO4kCSmH1iagIAAMwEAAAOAAAAAAAAAAEAIAAAACgBAABkcnMvZTJvRG9j&#10;LnhtbFBLBQYAAAAABgAGAFkBAAAEBgAAAAA=&#10;">
                <v:fill on="f" focussize="0,0"/>
                <v:stroke weight="1pt" color="#FFFFFF [3212]" miterlimit="8" joinstyle="miter"/>
                <v:imagedata o:title=""/>
                <o:lock v:ext="edit" aspectratio="f"/>
              </v:rect>
            </w:pict>
          </mc:Fallback>
        </mc:AlternateContent>
      </w:r>
      <w:r>
        <w:rPr>
          <w:rFonts w:hint="eastAsia"/>
          <w:color w:val="000000" w:themeColor="text1"/>
          <w14:textFill>
            <w14:solidFill>
              <w14:schemeClr w14:val="tx1"/>
            </w14:solidFill>
          </w14:textFill>
        </w:rPr>
        <w:drawing>
          <wp:anchor distT="0" distB="0" distL="114300" distR="114300" simplePos="0" relativeHeight="251681792" behindDoc="0" locked="0" layoutInCell="1" allowOverlap="1">
            <wp:simplePos x="0" y="0"/>
            <wp:positionH relativeFrom="column">
              <wp:posOffset>-3175</wp:posOffset>
            </wp:positionH>
            <wp:positionV relativeFrom="paragraph">
              <wp:posOffset>3278505</wp:posOffset>
            </wp:positionV>
            <wp:extent cx="1420495" cy="1028700"/>
            <wp:effectExtent l="0" t="0" r="8255" b="0"/>
            <wp:wrapNone/>
            <wp:docPr id="66" name="图片 66" descr="171075056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710750563809"/>
                    <pic:cNvPicPr>
                      <a:picLocks noChangeAspect="1"/>
                    </pic:cNvPicPr>
                  </pic:nvPicPr>
                  <pic:blipFill>
                    <a:blip r:embed="rId64"/>
                    <a:stretch>
                      <a:fillRect/>
                    </a:stretch>
                  </pic:blipFill>
                  <pic:spPr>
                    <a:xfrm>
                      <a:off x="0" y="0"/>
                      <a:ext cx="1420495" cy="1028700"/>
                    </a:xfrm>
                    <a:prstGeom prst="rect">
                      <a:avLst/>
                    </a:prstGeom>
                  </pic:spPr>
                </pic:pic>
              </a:graphicData>
            </a:graphic>
          </wp:anchor>
        </w:drawing>
      </w:r>
      <w:r>
        <w:rPr>
          <w:rFonts w:hint="eastAsia"/>
          <w:color w:val="000000" w:themeColor="text1"/>
          <w14:textFill>
            <w14:solidFill>
              <w14:schemeClr w14:val="tx1"/>
            </w14:solidFill>
          </w14:textFill>
        </w:rPr>
        <w:drawing>
          <wp:inline distT="0" distB="0" distL="114300" distR="114300">
            <wp:extent cx="5247640" cy="4312920"/>
            <wp:effectExtent l="0" t="0" r="10160" b="11430"/>
            <wp:docPr id="65" name="图片 65" descr="171075066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710750664193"/>
                    <pic:cNvPicPr>
                      <a:picLocks noChangeAspect="1"/>
                    </pic:cNvPicPr>
                  </pic:nvPicPr>
                  <pic:blipFill>
                    <a:blip r:embed="rId65"/>
                    <a:stretch>
                      <a:fillRect/>
                    </a:stretch>
                  </pic:blipFill>
                  <pic:spPr>
                    <a:xfrm>
                      <a:off x="0" y="0"/>
                      <a:ext cx="5247640" cy="4312920"/>
                    </a:xfrm>
                    <a:prstGeom prst="rect">
                      <a:avLst/>
                    </a:prstGeom>
                  </pic:spPr>
                </pic:pic>
              </a:graphicData>
            </a:graphic>
          </wp:inline>
        </w:drawing>
      </w:r>
    </w:p>
    <w:p>
      <w:pPr>
        <w:pStyle w:val="71"/>
        <w:spacing w:line="360" w:lineRule="auto"/>
        <w:ind w:firstLine="0" w:firstLineChars="0"/>
        <w:jc w:val="center"/>
        <w:rPr>
          <w:rFonts w:eastAsia="黑体"/>
          <w:color w:val="000000" w:themeColor="text1"/>
          <w:szCs w:val="24"/>
          <w14:textFill>
            <w14:solidFill>
              <w14:schemeClr w14:val="tx1"/>
            </w14:solidFill>
          </w14:textFill>
        </w:rPr>
      </w:pPr>
      <w:r>
        <w:rPr>
          <w:rFonts w:hint="eastAsia" w:eastAsia="黑体"/>
          <w:color w:val="000000" w:themeColor="text1"/>
          <w:szCs w:val="24"/>
          <w14:textFill>
            <w14:solidFill>
              <w14:schemeClr w14:val="tx1"/>
            </w14:solidFill>
          </w14:textFill>
        </w:rPr>
        <w:t>图3.2-3工程与成都市龙泉驿区东风渠、东干渠麻石桥集中式饮用水水源地准保护区位置关系图</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3.2.7.3四川省成都市明蜀王陵（龙泉驿区）概况</w:t>
      </w:r>
    </w:p>
    <w:p>
      <w:pPr>
        <w:numPr>
          <w:ilvl w:val="0"/>
          <w:numId w:val="7"/>
        </w:numPr>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基本情况</w:t>
      </w:r>
    </w:p>
    <w:p>
      <w:pPr>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lang w:val="en"/>
          <w14:textFill>
            <w14:solidFill>
              <w14:schemeClr w14:val="tx1"/>
            </w14:solidFill>
          </w14:textFill>
        </w:rPr>
        <w:t>（</w:t>
      </w:r>
      <w:r>
        <w:rPr>
          <w:rFonts w:hint="eastAsia"/>
          <w:color w:val="000000" w:themeColor="text1"/>
          <w:kern w:val="0"/>
          <w:sz w:val="24"/>
          <w:szCs w:val="24"/>
          <w14:textFill>
            <w14:solidFill>
              <w14:schemeClr w14:val="tx1"/>
            </w14:solidFill>
          </w14:textFill>
        </w:rPr>
        <w:t>1</w:t>
      </w:r>
      <w:r>
        <w:rPr>
          <w:rFonts w:hint="eastAsia"/>
          <w:color w:val="000000" w:themeColor="text1"/>
          <w:kern w:val="0"/>
          <w:sz w:val="24"/>
          <w:szCs w:val="24"/>
          <w:lang w:val="en"/>
          <w14:textFill>
            <w14:solidFill>
              <w14:schemeClr w14:val="tx1"/>
            </w14:solidFill>
          </w14:textFill>
        </w:rPr>
        <w:t>）</w:t>
      </w:r>
      <w:r>
        <w:rPr>
          <w:rFonts w:hint="eastAsia"/>
          <w:color w:val="000000" w:themeColor="text1"/>
          <w:kern w:val="0"/>
          <w:sz w:val="24"/>
          <w:szCs w:val="24"/>
          <w14:textFill>
            <w14:solidFill>
              <w14:schemeClr w14:val="tx1"/>
            </w14:solidFill>
          </w14:textFill>
        </w:rPr>
        <w:t>保护范围</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明蜀王陵</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龙泉驿区</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保护范围总面积19.37公顷，分别由下列7个区域组成。</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僖王陵、昭王陵</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僖王陵陵园推测范围和昭王陵地宫外扩10米，面积约4.34公顷。</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僖王赵妃墓</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北至青龙湖水库</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一期</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园路，东至青龙湖水库</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一期</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园路，南至青龙湖北岸，西至园路及其延长线，面积1.99公顷。</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成王陵</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北至陵园范围外扩10米，东至青龙湖西岸，南至陵园范围外扩10米，西至陵园范围外扩10米，面积4.60公顷。</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成王次妃墓</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四至陵园范围外扩10米，面积1.69公顷。</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定王次妃墓、太监墓</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东至太监墓陵园东围墙外扩10米，南至太监墓陵园南围墙、定王次妃墓南围墙及围墙连线外扩10米，西至定王次妃墓陵园西围墙外扩10米，北至定王次妃墓陵园北围墙、太监墓陵园北围墙及围墙连线外扩10米，面积1.94公顷。</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惠王陵</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以墓葬封土中心为基点，封土中心至墓室中心为主轴，主轴南、北长297米，横轴东、西宽143米，面积4.25公顷。</w:t>
      </w:r>
    </w:p>
    <w:p>
      <w:pPr>
        <w:snapToGrid w:val="0"/>
        <w:spacing w:line="360" w:lineRule="auto"/>
        <w:ind w:firstLine="480" w:firstLineChars="200"/>
        <w:rPr>
          <w:color w:val="000000" w:themeColor="text1"/>
          <w:kern w:val="0"/>
          <w:sz w:val="24"/>
          <w:szCs w:val="24"/>
          <w:lang w:val="en"/>
          <w14:textFill>
            <w14:solidFill>
              <w14:schemeClr w14:val="tx1"/>
            </w14:solidFill>
          </w14:textFill>
        </w:rPr>
      </w:pPr>
      <w:r>
        <w:rPr>
          <w:color w:val="000000" w:themeColor="text1"/>
          <w:kern w:val="0"/>
          <w:sz w:val="24"/>
          <w:szCs w:val="24"/>
          <w:lang w:val="en"/>
          <w14:textFill>
            <w14:solidFill>
              <w14:schemeClr w14:val="tx1"/>
            </w14:solidFill>
          </w14:textFill>
        </w:rPr>
        <w:t>汶川懿简王陵</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北至M1北墙外10米</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东至M1东墙外10米延长线及M5北侧外10米延长线</w:t>
      </w:r>
      <w:r>
        <w:rPr>
          <w:rFonts w:hint="eastAsia"/>
          <w:color w:val="000000" w:themeColor="text1"/>
          <w:kern w:val="0"/>
          <w:sz w:val="24"/>
          <w:szCs w:val="24"/>
          <w:lang w:val="en"/>
          <w14:textFill>
            <w14:solidFill>
              <w14:schemeClr w14:val="tx1"/>
            </w14:solidFill>
          </w14:textFill>
        </w:rPr>
        <w:t>；</w:t>
      </w:r>
      <w:r>
        <w:rPr>
          <w:color w:val="000000" w:themeColor="text1"/>
          <w:kern w:val="0"/>
          <w:sz w:val="24"/>
          <w:szCs w:val="24"/>
          <w:lang w:val="en"/>
          <w14:textFill>
            <w14:solidFill>
              <w14:schemeClr w14:val="tx1"/>
            </w14:solidFill>
          </w14:textFill>
        </w:rPr>
        <w:t>南至M5南侧外10米及延长线:西至M2西墙、北墙外10米和M1西墙外10米延长线，面积0.56公顷。</w:t>
      </w:r>
    </w:p>
    <w:p>
      <w:pPr>
        <w:snapToGrid w:val="0"/>
        <w:spacing w:line="360" w:lineRule="auto"/>
        <w:ind w:left="420" w:left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（2）建设控制地带</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规划划定明蜀王陵</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龙泉驿区</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建设控制地带分为一类建筑控制地带和二类建设控制地带两个层次，总用地面积129.1顷。</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一类建设控制地带</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僖王陵、昭王陵、僖王赵妃墓、定王次妃墓、太监墓东至青龙湖水库</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一期</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园路</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南至青龙湖水库北岸</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西、北至正觉山北侧山脚和成洛大道，面积66.85公顷。</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成王陵、成王次妃墓东至青龙湖西岸和东风渠西岸沿线</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南至城市次干路:西至蜀王大道南段东沿北至规划商业用地和成洛大道，面积27.92公顷。</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惠王陵东至规划居住用地西边界</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南至规划城市支路:西至规划城市支路</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北至规划居住用地北边界延长线，面积9.78公顷。</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二类建设控制地</w:t>
      </w:r>
      <w:r>
        <w:rPr>
          <w:rFonts w:hint="eastAsia"/>
          <w:color w:val="000000" w:themeColor="text1"/>
          <w:kern w:val="0"/>
          <w:sz w:val="24"/>
          <w:szCs w:val="24"/>
          <w14:textFill>
            <w14:solidFill>
              <w14:schemeClr w14:val="tx1"/>
            </w14:solidFill>
          </w14:textFill>
        </w:rPr>
        <w:t>带</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僖王陵、昭王陵、僖王赵妃墓、定王次妃墓、太监墓东至规划展示道路</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南至正觉山北侧山脚:西至青龙湖水库</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一期</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园路</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北至成洛大道，面积14.20公顷。</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成王陵、成王次妃墓东至规划商业用地东沿</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南至规划商业用地南沿</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西至规划商业用地西沿</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北至成洛大道面积2.40公顷。</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惠王陵东至规划城市次干路，南、西、北分别至规划居住用地边界，面积2.19公顷。汶川懿简王陵东至天鹅西湖南路</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南至金梨路</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西至新建路</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北至四川科技职工大学围墙</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面积5.76公顷。</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2、</w:t>
      </w:r>
      <w:r>
        <w:rPr>
          <w:rFonts w:hint="eastAsia"/>
          <w:color w:val="000000" w:themeColor="text1"/>
          <w:sz w:val="24"/>
          <w:szCs w:val="24"/>
          <w14:textFill>
            <w14:solidFill>
              <w14:schemeClr w14:val="tx1"/>
            </w14:solidFill>
          </w14:textFill>
        </w:rPr>
        <w:t>工程涉及文物保护范围情况</w:t>
      </w:r>
    </w:p>
    <w:p>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s="宋体"/>
          <w:color w:val="000000" w:themeColor="text1"/>
          <w:sz w:val="24"/>
          <w14:textFill>
            <w14:solidFill>
              <w14:schemeClr w14:val="tx1"/>
            </w14:solidFill>
          </w14:textFill>
        </w:rPr>
        <w:t>项目南五支渠其西侧约742m为明蜀定王次妃墓，西侧约962m为信王赵妃墓。项目建设场地均不在明蜀王陵（龙泉驿区）保护范围和建设控制地带范围内，</w:t>
      </w:r>
      <w:r>
        <w:rPr>
          <w:rFonts w:hint="eastAsia" w:cs="宋体"/>
          <w:color w:val="000000" w:themeColor="text1"/>
          <w:sz w:val="24"/>
          <w:lang w:val="en-US" w:eastAsia="zh-CN"/>
          <w14:textFill>
            <w14:solidFill>
              <w14:schemeClr w14:val="tx1"/>
            </w14:solidFill>
          </w14:textFill>
        </w:rPr>
        <w:t>且</w:t>
      </w:r>
      <w:r>
        <w:rPr>
          <w:rFonts w:hint="eastAsia" w:cs="宋体"/>
          <w:color w:val="000000" w:themeColor="text1"/>
          <w:sz w:val="24"/>
          <w14:textFill>
            <w14:solidFill>
              <w14:schemeClr w14:val="tx1"/>
            </w14:solidFill>
          </w14:textFill>
        </w:rPr>
        <w:t>明蜀王陵（龙泉驿区）</w:t>
      </w:r>
      <w:r>
        <w:rPr>
          <w:rFonts w:hint="eastAsia" w:cs="宋体"/>
          <w:color w:val="000000" w:themeColor="text1"/>
          <w:sz w:val="24"/>
          <w:lang w:val="en-US" w:eastAsia="zh-CN"/>
          <w14:textFill>
            <w14:solidFill>
              <w14:schemeClr w14:val="tx1"/>
            </w14:solidFill>
          </w14:textFill>
        </w:rPr>
        <w:t>不在本项目大气环境、声环境评价范围内、不属于本项目保护目标，本项目的建设不会对其造成影响</w:t>
      </w:r>
      <w:r>
        <w:rPr>
          <w:rFonts w:hint="eastAsia"/>
          <w:color w:val="000000" w:themeColor="text1"/>
          <w:kern w:val="0"/>
          <w:sz w:val="24"/>
          <w:szCs w:val="24"/>
          <w14:textFill>
            <w14:solidFill>
              <w14:schemeClr w14:val="tx1"/>
            </w14:solidFill>
          </w14:textFill>
        </w:rPr>
        <w:t>。具体位置关系如下：</w:t>
      </w:r>
    </w:p>
    <w:p>
      <w:pPr>
        <w:adjustRightInd w:val="0"/>
        <w:snapToGrid w:val="0"/>
        <w:spacing w:line="360" w:lineRule="auto"/>
        <w:rPr>
          <w:color w:val="000000" w:themeColor="text1"/>
          <w:kern w:val="0"/>
          <w:sz w:val="24"/>
          <w:szCs w:val="24"/>
          <w:lang w:val="en"/>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3481705</wp:posOffset>
                </wp:positionH>
                <wp:positionV relativeFrom="paragraph">
                  <wp:posOffset>1259840</wp:posOffset>
                </wp:positionV>
                <wp:extent cx="934720" cy="443230"/>
                <wp:effectExtent l="0" t="0" r="0" b="0"/>
                <wp:wrapNone/>
                <wp:docPr id="135" name="矩形 135"/>
                <wp:cNvGraphicFramePr/>
                <a:graphic xmlns:a="http://schemas.openxmlformats.org/drawingml/2006/main">
                  <a:graphicData uri="http://schemas.microsoft.com/office/word/2010/wordprocessingShape">
                    <wps:wsp>
                      <wps:cNvSpPr/>
                      <wps:spPr>
                        <a:xfrm rot="420000">
                          <a:off x="0" y="0"/>
                          <a:ext cx="934720" cy="4432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ascii="黑体" w:hAnsi="黑体" w:eastAsia="黑体" w:cs="黑体"/>
                                <w:b/>
                                <w:bCs/>
                                <w:color w:val="FF0000"/>
                              </w:rPr>
                            </w:pPr>
                            <w:r>
                              <w:rPr>
                                <w:rFonts w:hint="eastAsia" w:ascii="黑体" w:hAnsi="黑体" w:eastAsia="黑体" w:cs="黑体"/>
                                <w:b/>
                                <w:bCs/>
                                <w:color w:val="FF0000"/>
                              </w:rPr>
                              <w:t>742m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15pt;margin-top:99.2pt;height:34.9pt;width:73.6pt;rotation:458752f;z-index:251674624;v-text-anchor:middle;mso-width-relative:page;mso-height-relative:page;" filled="f" stroked="f" coordsize="21600,21600" o:gfxdata="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18iQF2AAAAAsBAAAPAAAAAAAAAAEAIAAAACIAAABkcnMvZG93bnJldi54bWxQSwEC&#10;FAAUAAAACACHTuJAHoQlBWYCAAC9BAAADgAAAAAAAAABACAAAAAnAQAAZHJzL2Uyb0RvYy54bWxQ&#10;SwUGAAAAAAYABgBZAQAA/wUAAAAA&#10;">
                <v:fill on="f" focussize="0,0"/>
                <v:stroke on="f" weight="1pt" miterlimit="8" joinstyle="miter"/>
                <v:imagedata o:title=""/>
                <o:lock v:ext="edit" aspectratio="f"/>
                <v:textbox>
                  <w:txbxContent>
                    <w:p>
                      <w:pPr>
                        <w:jc w:val="both"/>
                        <w:rPr>
                          <w:rFonts w:ascii="黑体" w:hAnsi="黑体" w:eastAsia="黑体" w:cs="黑体"/>
                          <w:b/>
                          <w:bCs/>
                          <w:color w:val="FF0000"/>
                        </w:rPr>
                      </w:pPr>
                      <w:r>
                        <w:rPr>
                          <w:rFonts w:hint="eastAsia" w:ascii="黑体" w:hAnsi="黑体" w:eastAsia="黑体" w:cs="黑体"/>
                          <w:b/>
                          <w:bCs/>
                          <w:color w:val="FF0000"/>
                        </w:rPr>
                        <w:t>742m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2973070</wp:posOffset>
                </wp:positionH>
                <wp:positionV relativeFrom="paragraph">
                  <wp:posOffset>2117725</wp:posOffset>
                </wp:positionV>
                <wp:extent cx="934720" cy="443230"/>
                <wp:effectExtent l="0" t="0" r="0" b="0"/>
                <wp:wrapNone/>
                <wp:docPr id="134" name="矩形 134"/>
                <wp:cNvGraphicFramePr/>
                <a:graphic xmlns:a="http://schemas.openxmlformats.org/drawingml/2006/main">
                  <a:graphicData uri="http://schemas.microsoft.com/office/word/2010/wordprocessingShape">
                    <wps:wsp>
                      <wps:cNvSpPr/>
                      <wps:spPr>
                        <a:xfrm rot="180000">
                          <a:off x="0" y="0"/>
                          <a:ext cx="934720" cy="4432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ascii="黑体" w:hAnsi="黑体" w:eastAsia="黑体" w:cs="黑体"/>
                                <w:b/>
                                <w:bCs/>
                                <w:color w:val="FF0000"/>
                              </w:rPr>
                            </w:pPr>
                            <w:r>
                              <w:rPr>
                                <w:rFonts w:hint="eastAsia" w:ascii="黑体" w:hAnsi="黑体" w:eastAsia="黑体" w:cs="黑体"/>
                                <w:b/>
                                <w:bCs/>
                                <w:color w:val="FF0000"/>
                              </w:rPr>
                              <w:t>962m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1pt;margin-top:166.75pt;height:34.9pt;width:73.6pt;rotation:196608f;z-index:251673600;v-text-anchor:middle;mso-width-relative:page;mso-height-relative:page;" filled="f" stroked="f" coordsize="21600,21600" o:gfxdata="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kVT4TbAAAACwEAAA8AAAAAAAAAAQAgAAAAIgAAAGRycy9kb3ducmV2LnhtbFBL&#10;AQIUABQAAAAIAIdO4kDtGtWpZQIAAL0EAAAOAAAAAAAAAAEAIAAAACoBAABkcnMvZTJvRG9jLnht&#10;bFBLBQYAAAAABgAGAFkBAAABBgAAAAA=&#10;">
                <v:fill on="f" focussize="0,0"/>
                <v:stroke on="f" weight="1pt" miterlimit="8" joinstyle="miter"/>
                <v:imagedata o:title=""/>
                <o:lock v:ext="edit" aspectratio="f"/>
                <v:textbox>
                  <w:txbxContent>
                    <w:p>
                      <w:pPr>
                        <w:jc w:val="both"/>
                        <w:rPr>
                          <w:rFonts w:ascii="黑体" w:hAnsi="黑体" w:eastAsia="黑体" w:cs="黑体"/>
                          <w:b/>
                          <w:bCs/>
                          <w:color w:val="FF0000"/>
                        </w:rPr>
                      </w:pPr>
                      <w:r>
                        <w:rPr>
                          <w:rFonts w:hint="eastAsia" w:ascii="黑体" w:hAnsi="黑体" w:eastAsia="黑体" w:cs="黑体"/>
                          <w:b/>
                          <w:bCs/>
                          <w:color w:val="FF0000"/>
                        </w:rPr>
                        <w:t>962m</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2741295</wp:posOffset>
                </wp:positionH>
                <wp:positionV relativeFrom="paragraph">
                  <wp:posOffset>2127250</wp:posOffset>
                </wp:positionV>
                <wp:extent cx="1143635" cy="89535"/>
                <wp:effectExtent l="0" t="31750" r="18415" b="50165"/>
                <wp:wrapNone/>
                <wp:docPr id="133" name="直接箭头连接符 133"/>
                <wp:cNvGraphicFramePr/>
                <a:graphic xmlns:a="http://schemas.openxmlformats.org/drawingml/2006/main">
                  <a:graphicData uri="http://schemas.microsoft.com/office/word/2010/wordprocessingShape">
                    <wps:wsp>
                      <wps:cNvCnPr/>
                      <wps:spPr>
                        <a:xfrm>
                          <a:off x="0" y="0"/>
                          <a:ext cx="1143635" cy="89535"/>
                        </a:xfrm>
                        <a:prstGeom prst="straightConnector1">
                          <a:avLst/>
                        </a:prstGeom>
                        <a:ln>
                          <a:solidFill>
                            <a:schemeClr val="bg1"/>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5.85pt;margin-top:167.5pt;height:7.05pt;width:90.05pt;z-index:251672576;mso-width-relative:page;mso-height-relative:page;" filled="f" stroked="t" coordsize="21600,21600" o:gfxdata="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AysD&#10;2wAAAAsBAAAPAAAAAAAAAAEAIAAAACIAAABkcnMvZG93bnJldi54bWxQSwECFAAUAAAACACHTuJA&#10;ygRrjh4CAAAqBAAADgAAAAAAAAABACAAAAAqAQAAZHJzL2Uyb0RvYy54bWxQSwUGAAAAAAYABgBZ&#10;AQAAugUAAAAA&#10;">
                <v:fill on="f" focussize="0,0"/>
                <v:stroke weight="1pt" color="#FFFFFF [3212]" miterlimit="8" joinstyle="miter" startarrow="block" endarrow="block"/>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3098800</wp:posOffset>
                </wp:positionH>
                <wp:positionV relativeFrom="paragraph">
                  <wp:posOffset>1365250</wp:posOffset>
                </wp:positionV>
                <wp:extent cx="883285" cy="242570"/>
                <wp:effectExtent l="0" t="16510" r="12065" b="26670"/>
                <wp:wrapNone/>
                <wp:docPr id="132" name="直接箭头连接符 132"/>
                <wp:cNvGraphicFramePr/>
                <a:graphic xmlns:a="http://schemas.openxmlformats.org/drawingml/2006/main">
                  <a:graphicData uri="http://schemas.microsoft.com/office/word/2010/wordprocessingShape">
                    <wps:wsp>
                      <wps:cNvCnPr/>
                      <wps:spPr>
                        <a:xfrm>
                          <a:off x="4345940" y="4704080"/>
                          <a:ext cx="883285" cy="242570"/>
                        </a:xfrm>
                        <a:prstGeom prst="straightConnector1">
                          <a:avLst/>
                        </a:prstGeom>
                        <a:ln>
                          <a:solidFill>
                            <a:schemeClr val="bg1"/>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4pt;margin-top:107.5pt;height:19.1pt;width:69.55pt;z-index:251671552;mso-width-relative:page;mso-height-relative:page;" filled="f" stroked="t" coordsize="21600,21600" o:gfxdata="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xqZNTcAAAACwEAAA8AAAAAAAAAAQAgAAAAIgAAAGRycy9kb3ducmV2LnhtbFBL&#10;AQIUABQAAAAIAIdO4kAIL/HfKwIAADYEAAAOAAAAAAAAAAEAIAAAACsBAABkcnMvZTJvRG9jLnht&#10;bFBLBQYAAAAABgAGAFkBAADIBQAAAAA=&#10;">
                <v:fill on="f" focussize="0,0"/>
                <v:stroke weight="1pt" color="#FFFFFF [3212]" miterlimit="8" joinstyle="miter" startarrow="block" endarrow="block"/>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127635</wp:posOffset>
                </wp:positionH>
                <wp:positionV relativeFrom="paragraph">
                  <wp:posOffset>3423920</wp:posOffset>
                </wp:positionV>
                <wp:extent cx="238125" cy="76200"/>
                <wp:effectExtent l="6350" t="6350" r="22225" b="12700"/>
                <wp:wrapNone/>
                <wp:docPr id="139" name="矩形 139"/>
                <wp:cNvGraphicFramePr/>
                <a:graphic xmlns:a="http://schemas.openxmlformats.org/drawingml/2006/main">
                  <a:graphicData uri="http://schemas.microsoft.com/office/word/2010/wordprocessingShape">
                    <wps:wsp>
                      <wps:cNvSpPr/>
                      <wps:spPr>
                        <a:xfrm>
                          <a:off x="0" y="0"/>
                          <a:ext cx="238125" cy="76200"/>
                        </a:xfrm>
                        <a:prstGeom prst="rect">
                          <a:avLst/>
                        </a:prstGeom>
                        <a:noFill/>
                        <a:ln>
                          <a:solidFill>
                            <a:srgbClr val="171BC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5pt;margin-top:269.6pt;height:6pt;width:18.75pt;z-index:251678720;v-text-anchor:middle;mso-width-relative:page;mso-height-relative:page;" filled="f" stroked="t" coordsize="21600,21600" o:gfxdata="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LD1TtkAAAAJAQAADwAAAAAAAAABACAAAAAiAAAAZHJzL2Rvd25yZXYu&#10;eG1sUEsBAhQAFAAAAAgAh07iQHTpy15sAgAAzQQAAA4AAAAAAAAAAQAgAAAAKAEAAGRycy9lMm9E&#10;b2MueG1sUEsFBgAAAAAGAAYAWQEAAAYGAAAAAA==&#10;">
                <v:fill on="f" focussize="0,0"/>
                <v:stroke weight="1pt" color="#171BCF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111760</wp:posOffset>
                </wp:positionH>
                <wp:positionV relativeFrom="paragraph">
                  <wp:posOffset>3262630</wp:posOffset>
                </wp:positionV>
                <wp:extent cx="238125" cy="76200"/>
                <wp:effectExtent l="6350" t="6350" r="22225" b="12700"/>
                <wp:wrapNone/>
                <wp:docPr id="138" name="矩形 138"/>
                <wp:cNvGraphicFramePr/>
                <a:graphic xmlns:a="http://schemas.openxmlformats.org/drawingml/2006/main">
                  <a:graphicData uri="http://schemas.microsoft.com/office/word/2010/wordprocessingShape">
                    <wps:wsp>
                      <wps:cNvSpPr/>
                      <wps:spPr>
                        <a:xfrm>
                          <a:off x="0" y="0"/>
                          <a:ext cx="238125" cy="76200"/>
                        </a:xfrm>
                        <a:prstGeom prst="rect">
                          <a:avLst/>
                        </a:prstGeom>
                        <a:noFill/>
                        <a:ln>
                          <a:solidFill>
                            <a:srgbClr val="E90EEA"/>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pt;margin-top:256.9pt;height:6pt;width:18.75pt;z-index:251677696;v-text-anchor:middle;mso-width-relative:page;mso-height-relative:page;" filled="f" stroked="t" coordsize="21600,21600" o:gfxdata="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mD0ftgAAAAJAQAADwAAAAAAAAABACAAAAAiAAAAZHJzL2Rvd25yZXYu&#10;eG1sUEsBAhQAFAAAAAgAh07iQPalpI5tAgAAzQQAAA4AAAAAAAAAAQAgAAAAJwEAAGRycy9lMm9E&#10;b2MueG1sUEsFBgAAAAAGAAYAWQEAAAYGAAAAAA==&#10;">
                <v:fill on="f" focussize="0,0"/>
                <v:stroke weight="1pt" color="#E90EEA [2404]"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74930</wp:posOffset>
                </wp:positionH>
                <wp:positionV relativeFrom="paragraph">
                  <wp:posOffset>3134995</wp:posOffset>
                </wp:positionV>
                <wp:extent cx="280035" cy="8255"/>
                <wp:effectExtent l="0" t="0" r="0" b="0"/>
                <wp:wrapNone/>
                <wp:docPr id="137" name="直接连接符 137"/>
                <wp:cNvGraphicFramePr/>
                <a:graphic xmlns:a="http://schemas.openxmlformats.org/drawingml/2006/main">
                  <a:graphicData uri="http://schemas.microsoft.com/office/word/2010/wordprocessingShape">
                    <wps:wsp>
                      <wps:cNvCnPr/>
                      <wps:spPr>
                        <a:xfrm>
                          <a:off x="1078230" y="6656070"/>
                          <a:ext cx="280035" cy="8255"/>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9pt;margin-top:246.85pt;height:0.65pt;width:22.05pt;z-index:251676672;mso-width-relative:page;mso-height-relative:page;" filled="f" stroked="t" coordsize="21600,21600" o:gfxdata="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OdMY9tUAAAAJAQAADwAAAAAAAAABACAAAAAiAAAAZHJzL2Rvd25yZXYueG1sUEsB&#10;AhQAFAAAAAgAh07iQLsB/7L4AQAAxAMAAA4AAAAAAAAAAQAgAAAAJAEAAGRycy9lMm9Eb2MueG1s&#10;UEsFBgAAAAAGAAYAWQEAAI4FAAAAAA==&#10;">
                <v:fill on="f" focussize="0,0"/>
                <v:stroke weight="1.5pt" color="#FF000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8255</wp:posOffset>
                </wp:positionH>
                <wp:positionV relativeFrom="paragraph">
                  <wp:posOffset>2948940</wp:posOffset>
                </wp:positionV>
                <wp:extent cx="1381125" cy="866140"/>
                <wp:effectExtent l="6350" t="6350" r="22225" b="22860"/>
                <wp:wrapNone/>
                <wp:docPr id="136" name="矩形 136"/>
                <wp:cNvGraphicFramePr/>
                <a:graphic xmlns:a="http://schemas.openxmlformats.org/drawingml/2006/main">
                  <a:graphicData uri="http://schemas.microsoft.com/office/word/2010/wordprocessingShape">
                    <wps:wsp>
                      <wps:cNvSpPr/>
                      <wps:spPr>
                        <a:xfrm>
                          <a:off x="1011555" y="6478905"/>
                          <a:ext cx="1381125" cy="86614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：保护范围</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：二类建设用地控制地带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65pt;margin-top:232.2pt;height:68.2pt;width:108.75pt;z-index:251675648;v-text-anchor:middle;mso-width-relative:page;mso-height-relative:page;" fillcolor="#FFFFFF [3212]" filled="t" stroked="t" coordsize="21600,21600" o:gfxdata="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Dvib1QAAAAkBAAAPAAAAAAAAAAEA&#10;IAAAACIAAABkcnMvZG93bnJldi54bWxQSwECFAAUAAAACACHTuJALAyQMIQCAAAPBQAADgAAAAAA&#10;AAABACAAAAAkAQAAZHJzL2Uyb0RvYy54bWxQSwUGAAAAAAYABgBZAQAAGgYAAAAA&#10;">
                <v:fill on="t" focussize="0,0"/>
                <v:stroke weight="1pt" color="#000000 [3213]" miterlimit="8" joinstyle="miter"/>
                <v:imagedata o:title=""/>
                <o:lock v:ext="edit" aspectratio="f"/>
                <v:textbox>
                  <w:txbxContent>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：保护范围</w:t>
                      </w:r>
                    </w:p>
                    <w:p>
                      <w:pPr>
                        <w:ind w:firstLine="420" w:firstLine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：二类建设用地控制地带</w:t>
                      </w:r>
                    </w:p>
                  </w:txbxContent>
                </v:textbox>
              </v:rect>
            </w:pict>
          </mc:Fallback>
        </mc:AlternateContent>
      </w:r>
      <w:r>
        <w:rPr>
          <w:color w:val="000000" w:themeColor="text1"/>
          <w:kern w:val="0"/>
          <w:sz w:val="24"/>
          <w:szCs w:val="24"/>
          <w14:textFill>
            <w14:solidFill>
              <w14:schemeClr w14:val="tx1"/>
            </w14:solidFill>
          </w14:textFill>
        </w:rPr>
        <w:drawing>
          <wp:inline distT="0" distB="0" distL="114300" distR="114300">
            <wp:extent cx="5417185" cy="3818255"/>
            <wp:effectExtent l="0" t="0" r="12065" b="10795"/>
            <wp:docPr id="131" name="图片 131" descr="171248789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712487894537"/>
                    <pic:cNvPicPr>
                      <a:picLocks noChangeAspect="1"/>
                    </pic:cNvPicPr>
                  </pic:nvPicPr>
                  <pic:blipFill>
                    <a:blip r:embed="rId66"/>
                    <a:stretch>
                      <a:fillRect/>
                    </a:stretch>
                  </pic:blipFill>
                  <pic:spPr>
                    <a:xfrm>
                      <a:off x="0" y="0"/>
                      <a:ext cx="5417185" cy="3818255"/>
                    </a:xfrm>
                    <a:prstGeom prst="rect">
                      <a:avLst/>
                    </a:prstGeom>
                  </pic:spPr>
                </pic:pic>
              </a:graphicData>
            </a:graphic>
          </wp:inline>
        </w:drawing>
      </w:r>
    </w:p>
    <w:p>
      <w:pPr>
        <w:pStyle w:val="71"/>
        <w:spacing w:line="360" w:lineRule="auto"/>
        <w:ind w:firstLine="0" w:firstLineChars="0"/>
        <w:jc w:val="center"/>
        <w:rPr>
          <w:rFonts w:eastAsia="黑体"/>
          <w:color w:val="000000" w:themeColor="text1"/>
          <w:szCs w:val="24"/>
          <w14:textFill>
            <w14:solidFill>
              <w14:schemeClr w14:val="tx1"/>
            </w14:solidFill>
          </w14:textFill>
        </w:rPr>
      </w:pPr>
      <w:r>
        <w:rPr>
          <w:rFonts w:hint="eastAsia" w:eastAsia="黑体"/>
          <w:color w:val="000000" w:themeColor="text1"/>
          <w:szCs w:val="24"/>
          <w14:textFill>
            <w14:solidFill>
              <w14:schemeClr w14:val="tx1"/>
            </w14:solidFill>
          </w14:textFill>
        </w:rPr>
        <w:t>图3.2-4工程与四川省成都市明蜀王陵（龙泉驿区）位置关系图</w:t>
      </w:r>
    </w:p>
    <w:p>
      <w:pPr>
        <w:pStyle w:val="2"/>
        <w:tabs>
          <w:tab w:val="left" w:pos="4492"/>
          <w:tab w:val="left" w:pos="4493"/>
        </w:tabs>
        <w:spacing w:before="0" w:line="360" w:lineRule="auto"/>
        <w:ind w:left="0"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eastAsia="宋体" w:cs="Times New Roman"/>
          <w:color w:val="000000" w:themeColor="text1"/>
          <w:kern w:val="0"/>
          <w:sz w:val="24"/>
          <w:szCs w:val="24"/>
          <w:lang w:val="en"/>
          <w14:textFill>
            <w14:solidFill>
              <w14:schemeClr w14:val="tx1"/>
            </w14:solidFill>
          </w14:textFill>
        </w:rPr>
        <w:br w:type="page"/>
      </w:r>
      <w:bookmarkStart w:id="461" w:name="_Toc24081"/>
      <w:r>
        <w:rPr>
          <w:rFonts w:ascii="Times New Roman" w:hAnsi="Times New Roman" w:cs="Times New Roman"/>
          <w:color w:val="000000" w:themeColor="text1"/>
          <w14:textFill>
            <w14:solidFill>
              <w14:schemeClr w14:val="tx1"/>
            </w14:solidFill>
          </w14:textFill>
        </w:rPr>
        <w:t>4环境影响</w:t>
      </w:r>
      <w:r>
        <w:rPr>
          <w:rFonts w:hint="eastAsia" w:ascii="Times New Roman" w:hAnsi="Times New Roman" w:cs="Times New Roman"/>
          <w:color w:val="000000" w:themeColor="text1"/>
          <w14:textFill>
            <w14:solidFill>
              <w14:schemeClr w14:val="tx1"/>
            </w14:solidFill>
          </w14:textFill>
        </w:rPr>
        <w:t>预测</w:t>
      </w:r>
      <w:r>
        <w:rPr>
          <w:rFonts w:ascii="Times New Roman" w:hAnsi="Times New Roman" w:cs="Times New Roman"/>
          <w:color w:val="000000" w:themeColor="text1"/>
          <w14:textFill>
            <w14:solidFill>
              <w14:schemeClr w14:val="tx1"/>
            </w14:solidFill>
          </w14:textFill>
        </w:rPr>
        <w:t>与评价</w:t>
      </w:r>
      <w:bookmarkEnd w:id="456"/>
      <w:bookmarkEnd w:id="457"/>
      <w:bookmarkEnd w:id="458"/>
      <w:bookmarkEnd w:id="459"/>
      <w:bookmarkEnd w:id="460"/>
      <w:bookmarkEnd w:id="461"/>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62" w:name="_Toc2956"/>
      <w:bookmarkStart w:id="463" w:name="_Toc70496300"/>
      <w:bookmarkStart w:id="464" w:name="_Toc30552"/>
      <w:r>
        <w:rPr>
          <w:rFonts w:eastAsia="黑体"/>
          <w:b/>
          <w:bCs/>
          <w:color w:val="000000" w:themeColor="text1"/>
          <w:kern w:val="0"/>
          <w:sz w:val="32"/>
          <w:szCs w:val="32"/>
          <w14:textFill>
            <w14:solidFill>
              <w14:schemeClr w14:val="tx1"/>
            </w14:solidFill>
          </w14:textFill>
        </w:rPr>
        <w:t>4.1水文情势的影响分析</w:t>
      </w:r>
      <w:bookmarkEnd w:id="462"/>
      <w:bookmarkEnd w:id="463"/>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65" w:name="_Toc70496301"/>
      <w:bookmarkStart w:id="466" w:name="_Toc29492"/>
      <w:r>
        <w:rPr>
          <w:rFonts w:eastAsia="黑体"/>
          <w:b/>
          <w:color w:val="000000" w:themeColor="text1"/>
          <w:kern w:val="0"/>
          <w:sz w:val="28"/>
          <w:szCs w:val="24"/>
          <w14:textFill>
            <w14:solidFill>
              <w14:schemeClr w14:val="tx1"/>
            </w14:solidFill>
          </w14:textFill>
        </w:rPr>
        <w:t>4.1.1水文情势情况</w:t>
      </w:r>
      <w:bookmarkEnd w:id="465"/>
      <w:r>
        <w:rPr>
          <w:rFonts w:hint="eastAsia" w:eastAsia="黑体"/>
          <w:b/>
          <w:color w:val="000000" w:themeColor="text1"/>
          <w:kern w:val="0"/>
          <w:sz w:val="28"/>
          <w:szCs w:val="24"/>
          <w14:textFill>
            <w14:solidFill>
              <w14:schemeClr w14:val="tx1"/>
            </w14:solidFill>
          </w14:textFill>
        </w:rPr>
        <w:t>介绍</w:t>
      </w:r>
      <w:bookmarkEnd w:id="466"/>
    </w:p>
    <w:p>
      <w:pPr>
        <w:pStyle w:val="71"/>
        <w:spacing w:line="360" w:lineRule="auto"/>
        <w:ind w:firstLine="482"/>
        <w:jc w:val="both"/>
        <w:rPr>
          <w:b/>
          <w:color w:val="000000" w:themeColor="text1"/>
          <w14:textFill>
            <w14:solidFill>
              <w14:schemeClr w14:val="tx1"/>
            </w14:solidFill>
          </w14:textFill>
        </w:rPr>
      </w:pPr>
      <w:r>
        <w:rPr>
          <w:b/>
          <w:color w:val="000000" w:themeColor="text1"/>
          <w14:textFill>
            <w14:solidFill>
              <w14:schemeClr w14:val="tx1"/>
            </w14:solidFill>
          </w14:textFill>
        </w:rPr>
        <w:t>1、流域径流特性</w:t>
      </w:r>
    </w:p>
    <w:p>
      <w:pPr>
        <w:widowControl/>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成都市中心城区地处四川盆地底部，径流以大气降水补给为主，地下水补给为辅，属于混合补给类型。径流的年内年际变化及地区分布与降水的变化趋势基本一致，具有年内分配不均、年际变化大、空间分布不均等特点。径流深大致从西北平原区向东南丘陵区逐渐递减，西北部平原区径流深在</w:t>
      </w:r>
      <w:r>
        <w:rPr>
          <w:color w:val="000000" w:themeColor="text1"/>
          <w:kern w:val="0"/>
          <w:sz w:val="24"/>
          <w:szCs w:val="20"/>
          <w14:textFill>
            <w14:solidFill>
              <w14:schemeClr w14:val="tx1"/>
            </w14:solidFill>
          </w14:textFill>
        </w:rPr>
        <w:t>350~450mm</w:t>
      </w:r>
      <w:r>
        <w:rPr>
          <w:rFonts w:hint="eastAsia"/>
          <w:color w:val="000000" w:themeColor="text1"/>
          <w:kern w:val="0"/>
          <w:sz w:val="24"/>
          <w:szCs w:val="20"/>
          <w14:textFill>
            <w14:solidFill>
              <w14:schemeClr w14:val="tx1"/>
            </w14:solidFill>
          </w14:textFill>
        </w:rPr>
        <w:t>。地表径流地区分布不均，其多年平均径流深地区分布规律为西北平原地区大于东部台地区，具有西北高东南低的特点。</w:t>
      </w:r>
    </w:p>
    <w:p>
      <w:pPr>
        <w:widowControl/>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成都市中心城区属于成都平原水网区。平原水网主要指北起绵竹，南止彭山，东至龙泉山，西至龙门山边缘之间地区的径流。区内由于地势平坦、坡度小、河网密布、沟渠纵横、耕地成片，灌排两便，土壤透水性好，故地表水和地下水互相联系、互相转化的关系十分突出，因此成都平原水网区产、汇流及补给情况复杂。区内</w:t>
      </w:r>
      <w:r>
        <w:rPr>
          <w:color w:val="000000" w:themeColor="text1"/>
          <w:kern w:val="0"/>
          <w:sz w:val="24"/>
          <w:szCs w:val="20"/>
          <w14:textFill>
            <w14:solidFill>
              <w14:schemeClr w14:val="tx1"/>
            </w14:solidFill>
          </w14:textFill>
        </w:rPr>
        <w:t>6~9</w:t>
      </w:r>
      <w:r>
        <w:rPr>
          <w:rFonts w:hint="eastAsia"/>
          <w:color w:val="000000" w:themeColor="text1"/>
          <w:kern w:val="0"/>
          <w:sz w:val="24"/>
          <w:szCs w:val="20"/>
          <w14:textFill>
            <w14:solidFill>
              <w14:schemeClr w14:val="tx1"/>
            </w14:solidFill>
          </w14:textFill>
        </w:rPr>
        <w:t>月产水量集中，约占多年来水量的</w:t>
      </w:r>
      <w:r>
        <w:rPr>
          <w:color w:val="000000" w:themeColor="text1"/>
          <w:kern w:val="0"/>
          <w:sz w:val="24"/>
          <w:szCs w:val="20"/>
          <w14:textFill>
            <w14:solidFill>
              <w14:schemeClr w14:val="tx1"/>
            </w14:solidFill>
          </w14:textFill>
        </w:rPr>
        <w:t>55%~70%</w:t>
      </w:r>
      <w:r>
        <w:rPr>
          <w:rFonts w:hint="eastAsia"/>
          <w:color w:val="000000" w:themeColor="text1"/>
          <w:kern w:val="0"/>
          <w:sz w:val="24"/>
          <w:szCs w:val="20"/>
          <w14:textFill>
            <w14:solidFill>
              <w14:schemeClr w14:val="tx1"/>
            </w14:solidFill>
          </w14:textFill>
        </w:rPr>
        <w:t>。地表、地下水的补给关系为</w:t>
      </w:r>
      <w:r>
        <w:rPr>
          <w:color w:val="000000" w:themeColor="text1"/>
          <w:kern w:val="0"/>
          <w:sz w:val="24"/>
          <w:szCs w:val="20"/>
          <w14:textFill>
            <w14:solidFill>
              <w14:schemeClr w14:val="tx1"/>
            </w14:solidFill>
          </w14:textFill>
        </w:rPr>
        <w:t>1~6</w:t>
      </w:r>
      <w:r>
        <w:rPr>
          <w:rFonts w:hint="eastAsia"/>
          <w:color w:val="000000" w:themeColor="text1"/>
          <w:kern w:val="0"/>
          <w:sz w:val="24"/>
          <w:szCs w:val="20"/>
          <w14:textFill>
            <w14:solidFill>
              <w14:schemeClr w14:val="tx1"/>
            </w14:solidFill>
          </w14:textFill>
        </w:rPr>
        <w:t>月地表或上游来水补给平原水网地下水，</w:t>
      </w:r>
      <w:r>
        <w:rPr>
          <w:color w:val="000000" w:themeColor="text1"/>
          <w:kern w:val="0"/>
          <w:sz w:val="24"/>
          <w:szCs w:val="20"/>
          <w14:textFill>
            <w14:solidFill>
              <w14:schemeClr w14:val="tx1"/>
            </w14:solidFill>
          </w14:textFill>
        </w:rPr>
        <w:t>7~12</w:t>
      </w:r>
      <w:r>
        <w:rPr>
          <w:rFonts w:hint="eastAsia"/>
          <w:color w:val="000000" w:themeColor="text1"/>
          <w:kern w:val="0"/>
          <w:sz w:val="24"/>
          <w:szCs w:val="20"/>
          <w14:textFill>
            <w14:solidFill>
              <w14:schemeClr w14:val="tx1"/>
            </w14:solidFill>
          </w14:textFill>
        </w:rPr>
        <w:t>月则相反。由于平原区径流量，已汇集于都江堰灌区灌溉渠系之中，故不能单独使用；地下水作灌区内补充水源，供城市工业、生活、农村人畜用水，以及平原直灌区尾部旱片死角地。</w:t>
      </w:r>
    </w:p>
    <w:p>
      <w:pPr>
        <w:widowControl/>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本项目属于渠道项目，工程区无实测资料，根据《四川省水文手册》和《成都市水资源综合规划》，工程河段流域多年平均径流深为</w:t>
      </w:r>
      <w:r>
        <w:rPr>
          <w:color w:val="000000" w:themeColor="text1"/>
          <w:kern w:val="0"/>
          <w:sz w:val="24"/>
          <w:szCs w:val="20"/>
          <w14:textFill>
            <w14:solidFill>
              <w14:schemeClr w14:val="tx1"/>
            </w14:solidFill>
          </w14:textFill>
        </w:rPr>
        <w:t>420mm</w:t>
      </w:r>
      <w:r>
        <w:rPr>
          <w:rFonts w:hint="eastAsia"/>
          <w:color w:val="000000" w:themeColor="text1"/>
          <w:kern w:val="0"/>
          <w:sz w:val="24"/>
          <w:szCs w:val="20"/>
          <w14:textFill>
            <w14:solidFill>
              <w14:schemeClr w14:val="tx1"/>
            </w14:solidFill>
          </w14:textFill>
        </w:rPr>
        <w:t>。</w:t>
      </w:r>
    </w:p>
    <w:p>
      <w:pPr>
        <w:pStyle w:val="71"/>
        <w:spacing w:line="360" w:lineRule="auto"/>
        <w:ind w:firstLine="482"/>
        <w:jc w:val="both"/>
        <w:rPr>
          <w:b/>
          <w:color w:val="000000" w:themeColor="text1"/>
          <w14:textFill>
            <w14:solidFill>
              <w14:schemeClr w14:val="tx1"/>
            </w14:solidFill>
          </w14:textFill>
        </w:rPr>
      </w:pPr>
      <w:r>
        <w:rPr>
          <w:b/>
          <w:color w:val="000000" w:themeColor="text1"/>
          <w14:textFill>
            <w14:solidFill>
              <w14:schemeClr w14:val="tx1"/>
            </w14:solidFill>
          </w14:textFill>
        </w:rPr>
        <w:t>2、泥沙情势</w:t>
      </w:r>
    </w:p>
    <w:p>
      <w:pPr>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（1）产沙概况</w:t>
      </w:r>
    </w:p>
    <w:p>
      <w:pPr>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泥沙主要来源于暴雨对地面的冲刷，设计流域均为平原丘陵区河流，区内人口稀少，植被条件较好，但岩层较破碎，土质松散，在大雨的冲刷下，表层沙粒极易被雨水带至河中，成为泥沙的主要来源。此外，修桥筑路等人类活动，加大了河流泥沙的来量。总体上河流泥沙量偏小。</w:t>
      </w:r>
    </w:p>
    <w:p>
      <w:pPr>
        <w:pStyle w:val="71"/>
        <w:spacing w:line="360" w:lineRule="auto"/>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（2）泥沙特性</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设计流域缺少实测泥沙资料，根据《四川省水文手册》悬移质输沙模数等值线图推求拟建工程控制断面处多年平均悬移质输沙量</w:t>
      </w:r>
      <w:r>
        <w:rPr>
          <w:color w:val="000000" w:themeColor="text1"/>
          <w:sz w:val="24"/>
          <w:szCs w:val="24"/>
          <w14:textFill>
            <w14:solidFill>
              <w14:schemeClr w14:val="tx1"/>
            </w14:solidFill>
          </w14:textFill>
        </w:rPr>
        <w:t>700t/km</w:t>
      </w:r>
      <w:r>
        <w:rPr>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，推移质按悬移质量的</w:t>
      </w:r>
      <w:r>
        <w:rPr>
          <w:color w:val="000000" w:themeColor="text1"/>
          <w:sz w:val="24"/>
          <w:szCs w:val="24"/>
          <w14:textFill>
            <w14:solidFill>
              <w14:schemeClr w14:val="tx1"/>
            </w14:solidFill>
          </w14:textFill>
        </w:rPr>
        <w:t>10%</w:t>
      </w:r>
      <w:r>
        <w:rPr>
          <w:rFonts w:hint="eastAsia"/>
          <w:color w:val="000000" w:themeColor="text1"/>
          <w:sz w:val="24"/>
          <w:szCs w:val="24"/>
          <w14:textFill>
            <w14:solidFill>
              <w14:schemeClr w14:val="tx1"/>
            </w14:solidFill>
          </w14:textFill>
        </w:rPr>
        <w:t>估算。工程控制断面多年平均输沙量成果见下表：</w:t>
      </w:r>
    </w:p>
    <w:p>
      <w:pPr>
        <w:pStyle w:val="71"/>
        <w:spacing w:line="240" w:lineRule="auto"/>
        <w:ind w:firstLine="0" w:firstLineChars="0"/>
        <w:jc w:val="center"/>
        <w:rPr>
          <w:rFonts w:eastAsia="黑体"/>
          <w:b/>
          <w:color w:val="000000" w:themeColor="text1"/>
          <w:szCs w:val="24"/>
          <w14:textFill>
            <w14:solidFill>
              <w14:schemeClr w14:val="tx1"/>
            </w14:solidFill>
          </w14:textFill>
        </w:rPr>
      </w:pPr>
      <w:r>
        <w:rPr>
          <w:rFonts w:eastAsia="黑体"/>
          <w:color w:val="000000" w:themeColor="text1"/>
          <w:szCs w:val="24"/>
          <w14:textFill>
            <w14:solidFill>
              <w14:schemeClr w14:val="tx1"/>
            </w14:solidFill>
          </w14:textFill>
        </w:rPr>
        <w:t>表</w:t>
      </w:r>
      <w:r>
        <w:rPr>
          <w:rFonts w:hint="eastAsia" w:eastAsia="黑体"/>
          <w:color w:val="000000" w:themeColor="text1"/>
          <w:szCs w:val="24"/>
          <w14:textFill>
            <w14:solidFill>
              <w14:schemeClr w14:val="tx1"/>
            </w14:solidFill>
          </w14:textFill>
        </w:rPr>
        <w:t>4.1</w:t>
      </w:r>
      <w:r>
        <w:rPr>
          <w:rFonts w:eastAsia="黑体"/>
          <w:color w:val="000000" w:themeColor="text1"/>
          <w:szCs w:val="24"/>
          <w14:textFill>
            <w14:solidFill>
              <w14:schemeClr w14:val="tx1"/>
            </w14:solidFill>
          </w14:textFill>
        </w:rPr>
        <w:t>-</w:t>
      </w:r>
      <w:r>
        <w:rPr>
          <w:rFonts w:hint="eastAsia" w:eastAsia="黑体"/>
          <w:color w:val="000000" w:themeColor="text1"/>
          <w:szCs w:val="24"/>
          <w14:textFill>
            <w14:solidFill>
              <w14:schemeClr w14:val="tx1"/>
            </w14:solidFill>
          </w14:textFill>
        </w:rPr>
        <w:t>1工程控制断面多年平均输沙量成果</w:t>
      </w:r>
      <w:r>
        <w:rPr>
          <w:rFonts w:eastAsia="黑体"/>
          <w:color w:val="000000" w:themeColor="text1"/>
          <w:szCs w:val="24"/>
          <w14:textFill>
            <w14:solidFill>
              <w14:schemeClr w14:val="tx1"/>
            </w14:solidFill>
          </w14:textFill>
        </w:rPr>
        <w:t>表</w:t>
      </w:r>
    </w:p>
    <w:tbl>
      <w:tblPr>
        <w:tblStyle w:val="38"/>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51"/>
        <w:gridCol w:w="1372"/>
        <w:gridCol w:w="1258"/>
        <w:gridCol w:w="1528"/>
        <w:gridCol w:w="1503"/>
        <w:gridCol w:w="7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13" w:hRule="exact"/>
        </w:trPr>
        <w:tc>
          <w:tcPr>
            <w:tcW w:w="111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河段名称</w:t>
            </w:r>
          </w:p>
        </w:tc>
        <w:tc>
          <w:tcPr>
            <w:tcW w:w="826"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控制断面积</w:t>
            </w:r>
          </w:p>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km</w:t>
            </w:r>
            <w:r>
              <w:rPr>
                <w:rFonts w:hint="eastAsia"/>
                <w:b/>
                <w:bCs/>
                <w:color w:val="000000" w:themeColor="text1"/>
                <w:vertAlign w:val="superscript"/>
                <w14:textFill>
                  <w14:solidFill>
                    <w14:schemeClr w14:val="tx1"/>
                  </w14:solidFill>
                </w14:textFill>
              </w:rPr>
              <w:t>2</w:t>
            </w:r>
            <w:r>
              <w:rPr>
                <w:rFonts w:hint="default" w:ascii="宋体" w:hAnsi="宋体" w:cs="宋体"/>
                <w:b/>
                <w:bCs/>
                <w:color w:val="000000" w:themeColor="text1"/>
                <w14:textFill>
                  <w14:solidFill>
                    <w14:schemeClr w14:val="tx1"/>
                  </w14:solidFill>
                </w14:textFill>
              </w:rPr>
              <w:t>）</w:t>
            </w:r>
          </w:p>
        </w:tc>
        <w:tc>
          <w:tcPr>
            <w:tcW w:w="757"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输沙模数</w:t>
            </w:r>
          </w:p>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t/km</w:t>
            </w:r>
            <w:r>
              <w:rPr>
                <w:rFonts w:hint="eastAsia"/>
                <w:b/>
                <w:bCs/>
                <w:color w:val="000000" w:themeColor="text1"/>
                <w:vertAlign w:val="superscript"/>
                <w14:textFill>
                  <w14:solidFill>
                    <w14:schemeClr w14:val="tx1"/>
                  </w14:solidFill>
                </w14:textFill>
              </w:rPr>
              <w:t>2</w:t>
            </w:r>
            <w:r>
              <w:rPr>
                <w:rFonts w:hint="default" w:ascii="宋体" w:hAnsi="宋体" w:cs="宋体"/>
                <w:b/>
                <w:bCs/>
                <w:color w:val="000000" w:themeColor="text1"/>
                <w14:textFill>
                  <w14:solidFill>
                    <w14:schemeClr w14:val="tx1"/>
                  </w14:solidFill>
                </w14:textFill>
              </w:rPr>
              <w:t>）</w:t>
            </w:r>
          </w:p>
        </w:tc>
        <w:tc>
          <w:tcPr>
            <w:tcW w:w="92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多年平均悬移质输沙量（</w:t>
            </w:r>
            <w:r>
              <w:rPr>
                <w:rFonts w:hint="default" w:eastAsia="Times New Roman"/>
                <w:b/>
                <w:bCs/>
                <w:color w:val="000000" w:themeColor="text1"/>
                <w14:textFill>
                  <w14:solidFill>
                    <w14:schemeClr w14:val="tx1"/>
                  </w14:solidFill>
                </w14:textFill>
              </w:rPr>
              <w:t>t</w:t>
            </w:r>
            <w:r>
              <w:rPr>
                <w:rFonts w:hint="default" w:ascii="宋体" w:hAnsi="宋体" w:cs="宋体"/>
                <w:b/>
                <w:bCs/>
                <w:color w:val="000000" w:themeColor="text1"/>
                <w14:textFill>
                  <w14:solidFill>
                    <w14:schemeClr w14:val="tx1"/>
                  </w14:solidFill>
                </w14:textFill>
              </w:rPr>
              <w:t>）</w:t>
            </w:r>
          </w:p>
        </w:tc>
        <w:tc>
          <w:tcPr>
            <w:tcW w:w="90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多年平均推移质输沙量（</w:t>
            </w:r>
            <w:r>
              <w:rPr>
                <w:rFonts w:hint="default" w:eastAsia="Times New Roman"/>
                <w:b/>
                <w:bCs/>
                <w:color w:val="000000" w:themeColor="text1"/>
                <w14:textFill>
                  <w14:solidFill>
                    <w14:schemeClr w14:val="tx1"/>
                  </w14:solidFill>
                </w14:textFill>
              </w:rPr>
              <w:t>t</w:t>
            </w:r>
            <w:r>
              <w:rPr>
                <w:rFonts w:hint="default" w:ascii="宋体" w:hAnsi="宋体" w:cs="宋体"/>
                <w:b/>
                <w:bCs/>
                <w:color w:val="000000" w:themeColor="text1"/>
                <w14:textFill>
                  <w14:solidFill>
                    <w14:schemeClr w14:val="tx1"/>
                  </w14:solidFill>
                </w14:textFill>
              </w:rPr>
              <w:t>）</w:t>
            </w:r>
          </w:p>
        </w:tc>
        <w:tc>
          <w:tcPr>
            <w:tcW w:w="47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合计</w:t>
            </w:r>
          </w:p>
          <w:p>
            <w:pPr>
              <w:pStyle w:val="60"/>
              <w:keepNext w:val="0"/>
              <w:keepLines w:val="0"/>
              <w:suppressLineNumbers w:val="0"/>
              <w:adjustRightInd w:val="0"/>
              <w:snapToGrid w:val="0"/>
              <w:spacing w:before="0" w:beforeAutospacing="0" w:after="0" w:afterAutospacing="0"/>
              <w:ind w:left="0" w:right="0"/>
              <w:rPr>
                <w:rFonts w:hint="default" w:ascii="宋体" w:hAnsi="宋体" w:cs="宋体"/>
                <w:b/>
                <w:bCs/>
                <w:color w:val="000000" w:themeColor="text1"/>
                <w14:textFill>
                  <w14:solidFill>
                    <w14:schemeClr w14:val="tx1"/>
                  </w14:solidFill>
                </w14:textFill>
              </w:rPr>
            </w:pPr>
            <w:r>
              <w:rPr>
                <w:rFonts w:hint="default" w:ascii="宋体" w:hAnsi="宋体" w:cs="宋体"/>
                <w:b/>
                <w:bCs/>
                <w:color w:val="000000" w:themeColor="text1"/>
                <w14:textFill>
                  <w14:solidFill>
                    <w14:schemeClr w14:val="tx1"/>
                  </w14:solidFill>
                </w14:textFill>
              </w:rPr>
              <w:t>（</w:t>
            </w:r>
            <w:r>
              <w:rPr>
                <w:rFonts w:hint="default" w:eastAsia="Times New Roman"/>
                <w:b/>
                <w:bCs/>
                <w:color w:val="000000" w:themeColor="text1"/>
                <w14:textFill>
                  <w14:solidFill>
                    <w14:schemeClr w14:val="tx1"/>
                  </w14:solidFill>
                </w14:textFill>
              </w:rPr>
              <w:t>t</w:t>
            </w:r>
            <w:r>
              <w:rPr>
                <w:rFonts w:hint="default" w:ascii="宋体" w:hAnsi="宋体" w:cs="宋体"/>
                <w:b/>
                <w:bCs/>
                <w:color w:val="000000" w:themeColor="text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exact"/>
        </w:trPr>
        <w:tc>
          <w:tcPr>
            <w:tcW w:w="111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董家堰补水渠（上）</w:t>
            </w:r>
          </w:p>
        </w:tc>
        <w:tc>
          <w:tcPr>
            <w:tcW w:w="826"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0.29</w:t>
            </w:r>
          </w:p>
        </w:tc>
        <w:tc>
          <w:tcPr>
            <w:tcW w:w="757"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700</w:t>
            </w:r>
          </w:p>
        </w:tc>
        <w:tc>
          <w:tcPr>
            <w:tcW w:w="92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203</w:t>
            </w:r>
          </w:p>
        </w:tc>
        <w:tc>
          <w:tcPr>
            <w:tcW w:w="90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20.3</w:t>
            </w:r>
          </w:p>
        </w:tc>
        <w:tc>
          <w:tcPr>
            <w:tcW w:w="47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223.3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exact"/>
        </w:trPr>
        <w:tc>
          <w:tcPr>
            <w:tcW w:w="111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董家堰补水渠（下）</w:t>
            </w:r>
          </w:p>
        </w:tc>
        <w:tc>
          <w:tcPr>
            <w:tcW w:w="826"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0.69</w:t>
            </w:r>
          </w:p>
        </w:tc>
        <w:tc>
          <w:tcPr>
            <w:tcW w:w="757"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700</w:t>
            </w:r>
          </w:p>
        </w:tc>
        <w:tc>
          <w:tcPr>
            <w:tcW w:w="92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483</w:t>
            </w:r>
          </w:p>
        </w:tc>
        <w:tc>
          <w:tcPr>
            <w:tcW w:w="90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48.3</w:t>
            </w:r>
          </w:p>
        </w:tc>
        <w:tc>
          <w:tcPr>
            <w:tcW w:w="47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531.3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exact"/>
        </w:trPr>
        <w:tc>
          <w:tcPr>
            <w:tcW w:w="111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南五支渠</w:t>
            </w:r>
          </w:p>
        </w:tc>
        <w:tc>
          <w:tcPr>
            <w:tcW w:w="826"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0.24</w:t>
            </w:r>
          </w:p>
        </w:tc>
        <w:tc>
          <w:tcPr>
            <w:tcW w:w="757"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700</w:t>
            </w:r>
          </w:p>
        </w:tc>
        <w:tc>
          <w:tcPr>
            <w:tcW w:w="92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168</w:t>
            </w:r>
          </w:p>
        </w:tc>
        <w:tc>
          <w:tcPr>
            <w:tcW w:w="90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16.8</w:t>
            </w:r>
          </w:p>
        </w:tc>
        <w:tc>
          <w:tcPr>
            <w:tcW w:w="47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184.8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2" w:hRule="exact"/>
        </w:trPr>
        <w:tc>
          <w:tcPr>
            <w:tcW w:w="1114"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ascii="宋体" w:hAnsi="宋体" w:cs="宋体"/>
                <w:color w:val="000000" w:themeColor="text1"/>
                <w14:textFill>
                  <w14:solidFill>
                    <w14:schemeClr w14:val="tx1"/>
                  </w14:solidFill>
                </w14:textFill>
              </w:rPr>
            </w:pPr>
            <w:r>
              <w:rPr>
                <w:rFonts w:hint="default" w:ascii="宋体" w:hAnsi="宋体" w:cs="宋体"/>
                <w:color w:val="000000" w:themeColor="text1"/>
                <w14:textFill>
                  <w14:solidFill>
                    <w14:schemeClr w14:val="tx1"/>
                  </w14:solidFill>
                </w14:textFill>
              </w:rPr>
              <w:t>南六支渠</w:t>
            </w:r>
          </w:p>
        </w:tc>
        <w:tc>
          <w:tcPr>
            <w:tcW w:w="826"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0.10</w:t>
            </w:r>
          </w:p>
        </w:tc>
        <w:tc>
          <w:tcPr>
            <w:tcW w:w="757"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700</w:t>
            </w:r>
          </w:p>
        </w:tc>
        <w:tc>
          <w:tcPr>
            <w:tcW w:w="920"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90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7.0</w:t>
            </w:r>
          </w:p>
        </w:tc>
        <w:tc>
          <w:tcPr>
            <w:tcW w:w="475" w:type="pct"/>
            <w:tcBorders>
              <w:tl2br w:val="nil"/>
              <w:tr2bl w:val="nil"/>
            </w:tcBorders>
            <w:vAlign w:val="center"/>
          </w:tcPr>
          <w:p>
            <w:pPr>
              <w:pStyle w:val="60"/>
              <w:keepNext w:val="0"/>
              <w:keepLines w:val="0"/>
              <w:suppressLineNumbers w:val="0"/>
              <w:adjustRightInd w:val="0"/>
              <w:snapToGrid w:val="0"/>
              <w:spacing w:before="0" w:beforeAutospacing="0" w:after="0" w:afterAutospacing="0"/>
              <w:ind w:left="0" w:right="0"/>
              <w:rPr>
                <w:rFonts w:hint="default" w:eastAsia="Times New Roman"/>
                <w:color w:val="000000" w:themeColor="text1"/>
                <w14:textFill>
                  <w14:solidFill>
                    <w14:schemeClr w14:val="tx1"/>
                  </w14:solidFill>
                </w14:textFill>
              </w:rPr>
            </w:pPr>
            <w:r>
              <w:rPr>
                <w:rFonts w:hint="default"/>
                <w:color w:val="000000" w:themeColor="text1"/>
                <w14:textFill>
                  <w14:solidFill>
                    <w14:schemeClr w14:val="tx1"/>
                  </w14:solidFill>
                </w14:textFill>
              </w:rPr>
              <w:t>77.0</w:t>
            </w:r>
          </w:p>
        </w:tc>
      </w:tr>
    </w:tbl>
    <w:p>
      <w:pPr>
        <w:pStyle w:val="71"/>
        <w:spacing w:line="360" w:lineRule="auto"/>
        <w:ind w:firstLine="482"/>
        <w:jc w:val="both"/>
        <w:rPr>
          <w:b/>
          <w:color w:val="000000" w:themeColor="text1"/>
          <w14:textFill>
            <w14:solidFill>
              <w14:schemeClr w14:val="tx1"/>
            </w14:solidFill>
          </w14:textFill>
        </w:rPr>
      </w:pPr>
      <w:r>
        <w:rPr>
          <w:rFonts w:hint="eastAsia"/>
          <w:b/>
          <w:color w:val="000000" w:themeColor="text1"/>
          <w14:textFill>
            <w14:solidFill>
              <w14:schemeClr w14:val="tx1"/>
            </w14:solidFill>
          </w14:textFill>
        </w:rPr>
        <w:t>3</w:t>
      </w:r>
      <w:r>
        <w:rPr>
          <w:b/>
          <w:color w:val="000000" w:themeColor="text1"/>
          <w14:textFill>
            <w14:solidFill>
              <w14:schemeClr w14:val="tx1"/>
            </w14:solidFill>
          </w14:textFill>
        </w:rPr>
        <w:t>、水位流量关系曲线</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本项目有四条渠道均为灌溉排涝渠道，一条为灌溉输水渠，渠道设计时不考虑洪水。因此，设计未进行实施渠道的水位流量关系计算。</w:t>
      </w:r>
    </w:p>
    <w:p>
      <w:pPr>
        <w:pStyle w:val="71"/>
        <w:spacing w:line="360" w:lineRule="auto"/>
        <w:ind w:firstLine="482"/>
        <w:jc w:val="both"/>
        <w:rPr>
          <w:b/>
          <w:color w:val="000000" w:themeColor="text1"/>
          <w14:textFill>
            <w14:solidFill>
              <w14:schemeClr w14:val="tx1"/>
            </w14:solidFill>
          </w14:textFill>
        </w:rPr>
      </w:pPr>
      <w:r>
        <w:rPr>
          <w:rFonts w:hint="eastAsia"/>
          <w:b/>
          <w:color w:val="000000" w:themeColor="text1"/>
          <w14:textFill>
            <w14:solidFill>
              <w14:schemeClr w14:val="tx1"/>
            </w14:solidFill>
          </w14:textFill>
        </w:rPr>
        <w:t>4、渠系建筑物洪水</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本次实施的四条渠道为灌溉排涝渠道，一条为灌溉输水渠道，渠道设计时不考虑洪水。因此，设计未进行实施渠道的洪水计算。</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67" w:name="_Toc70496302"/>
      <w:bookmarkStart w:id="468" w:name="_Toc30176"/>
      <w:r>
        <w:rPr>
          <w:rFonts w:eastAsia="黑体"/>
          <w:b/>
          <w:color w:val="000000" w:themeColor="text1"/>
          <w:kern w:val="0"/>
          <w:sz w:val="28"/>
          <w:szCs w:val="24"/>
          <w14:textFill>
            <w14:solidFill>
              <w14:schemeClr w14:val="tx1"/>
            </w14:solidFill>
          </w14:textFill>
        </w:rPr>
        <w:t>4.1.2</w:t>
      </w:r>
      <w:r>
        <w:rPr>
          <w:rFonts w:hint="eastAsia" w:eastAsia="黑体"/>
          <w:b/>
          <w:color w:val="000000" w:themeColor="text1"/>
          <w:kern w:val="0"/>
          <w:sz w:val="28"/>
          <w:szCs w:val="24"/>
          <w14:textFill>
            <w14:solidFill>
              <w14:schemeClr w14:val="tx1"/>
            </w14:solidFill>
          </w14:textFill>
        </w:rPr>
        <w:t>施工期</w:t>
      </w:r>
      <w:r>
        <w:rPr>
          <w:rFonts w:eastAsia="黑体"/>
          <w:b/>
          <w:color w:val="000000" w:themeColor="text1"/>
          <w:kern w:val="0"/>
          <w:sz w:val="28"/>
          <w:szCs w:val="24"/>
          <w14:textFill>
            <w14:solidFill>
              <w14:schemeClr w14:val="tx1"/>
            </w14:solidFill>
          </w14:textFill>
        </w:rPr>
        <w:t>水文情势影响分析</w:t>
      </w:r>
      <w:bookmarkEnd w:id="467"/>
      <w:bookmarkEnd w:id="468"/>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bCs/>
          <w:color w:val="000000" w:themeColor="text1"/>
          <w:sz w:val="24"/>
          <w14:textFill>
            <w14:solidFill>
              <w14:schemeClr w14:val="tx1"/>
            </w14:solidFill>
          </w14:textFill>
        </w:rPr>
        <w:t>本工程主要建设内容分为灌排工程和</w:t>
      </w:r>
      <w:r>
        <w:rPr>
          <w:bCs/>
          <w:color w:val="000000" w:themeColor="text1"/>
          <w:sz w:val="24"/>
          <w14:textFill>
            <w14:solidFill>
              <w14:schemeClr w14:val="tx1"/>
            </w14:solidFill>
          </w14:textFill>
        </w:rPr>
        <w:t>渠系建筑物工程</w:t>
      </w:r>
      <w:r>
        <w:rPr>
          <w:rFonts w:hint="eastAsia"/>
          <w:bCs/>
          <w:color w:val="000000" w:themeColor="text1"/>
          <w:sz w:val="24"/>
          <w14:textFill>
            <w14:solidFill>
              <w14:schemeClr w14:val="tx1"/>
            </w14:solidFill>
          </w14:textFill>
        </w:rPr>
        <w:t>。项目渠道施工</w:t>
      </w:r>
      <w:r>
        <w:rPr>
          <w:bCs/>
          <w:color w:val="000000" w:themeColor="text1"/>
          <w:sz w:val="24"/>
          <w14:textFill>
            <w14:solidFill>
              <w14:schemeClr w14:val="tx1"/>
            </w14:solidFill>
          </w14:textFill>
        </w:rPr>
        <w:t>利用非灌溉期</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期间不再从上游引水，对临时积水采用水泵抽排方式</w:t>
      </w:r>
      <w:r>
        <w:rPr>
          <w:rFonts w:hint="eastAsia"/>
          <w:bCs/>
          <w:color w:val="000000" w:themeColor="text1"/>
          <w:sz w:val="24"/>
          <w14:textFill>
            <w14:solidFill>
              <w14:schemeClr w14:val="tx1"/>
            </w14:solidFill>
          </w14:textFill>
        </w:rPr>
        <w:t>排水。</w:t>
      </w:r>
      <w:r>
        <w:rPr>
          <w:bCs/>
          <w:color w:val="000000" w:themeColor="text1"/>
          <w:sz w:val="24"/>
          <w14:textFill>
            <w14:solidFill>
              <w14:schemeClr w14:val="tx1"/>
            </w14:solidFill>
          </w14:textFill>
        </w:rPr>
        <w:t>渠系建筑物利用非汛期非灌溉时段施</w:t>
      </w:r>
      <w:r>
        <w:rPr>
          <w:rFonts w:hint="eastAsia"/>
          <w:color w:val="000000" w:themeColor="text1"/>
          <w:kern w:val="0"/>
          <w:sz w:val="24"/>
          <w14:textFill>
            <w14:solidFill>
              <w14:schemeClr w14:val="tx1"/>
            </w14:solidFill>
          </w14:textFill>
        </w:rPr>
        <w:t>工，对所在渠道水位较高的渠系建筑物上下游填筑围堰，利用水泵定期抽排基坑积水、渗水的方式实现干地施工。</w:t>
      </w:r>
    </w:p>
    <w:p>
      <w:pPr>
        <w:spacing w:line="360" w:lineRule="auto"/>
        <w:ind w:firstLine="480" w:firstLineChars="200"/>
        <w:contextualSpacing/>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项目选在</w:t>
      </w:r>
      <w:r>
        <w:rPr>
          <w:bCs/>
          <w:color w:val="000000" w:themeColor="text1"/>
          <w:sz w:val="24"/>
          <w14:textFill>
            <w14:solidFill>
              <w14:schemeClr w14:val="tx1"/>
            </w14:solidFill>
          </w14:textFill>
        </w:rPr>
        <w:t>非汛期</w:t>
      </w:r>
      <w:r>
        <w:rPr>
          <w:rFonts w:hint="eastAsia"/>
          <w:bCs/>
          <w:color w:val="000000" w:themeColor="text1"/>
          <w:sz w:val="24"/>
          <w14:textFill>
            <w14:solidFill>
              <w14:schemeClr w14:val="tx1"/>
            </w14:solidFill>
          </w14:textFill>
        </w:rPr>
        <w:t>和</w:t>
      </w:r>
      <w:r>
        <w:rPr>
          <w:bCs/>
          <w:color w:val="000000" w:themeColor="text1"/>
          <w:sz w:val="24"/>
          <w14:textFill>
            <w14:solidFill>
              <w14:schemeClr w14:val="tx1"/>
            </w14:solidFill>
          </w14:textFill>
        </w:rPr>
        <w:t>非灌溉</w:t>
      </w:r>
      <w:r>
        <w:rPr>
          <w:rFonts w:hint="eastAsia"/>
          <w:bCs/>
          <w:color w:val="000000" w:themeColor="text1"/>
          <w:sz w:val="24"/>
          <w14:textFill>
            <w14:solidFill>
              <w14:schemeClr w14:val="tx1"/>
            </w14:solidFill>
          </w14:textFill>
        </w:rPr>
        <w:t>期施工，所涉及渠道均为灌溉渠或灌溉排涝渠，不涉及排洪；南五支渠、南六支渠下游涉及半截河、西河，北支一渠（上）下游涉及半叉河、董家堰补水渠（上、下）下游涉及小西江河，断水</w:t>
      </w:r>
      <w:r>
        <w:rPr>
          <w:color w:val="000000" w:themeColor="text1"/>
          <w:sz w:val="24"/>
          <w14:textFill>
            <w14:solidFill>
              <w14:schemeClr w14:val="tx1"/>
            </w14:solidFill>
          </w14:textFill>
        </w:rPr>
        <w:t>施工</w:t>
      </w:r>
      <w:r>
        <w:rPr>
          <w:rFonts w:hint="eastAsia"/>
          <w:color w:val="000000" w:themeColor="text1"/>
          <w:sz w:val="24"/>
          <w14:textFill>
            <w14:solidFill>
              <w14:schemeClr w14:val="tx1"/>
            </w14:solidFill>
          </w14:textFill>
        </w:rPr>
        <w:t>期间可能</w:t>
      </w:r>
      <w:r>
        <w:rPr>
          <w:color w:val="000000" w:themeColor="text1"/>
          <w:sz w:val="24"/>
          <w14:textFill>
            <w14:solidFill>
              <w14:schemeClr w14:val="tx1"/>
            </w14:solidFill>
          </w14:textFill>
        </w:rPr>
        <w:t>会引起</w:t>
      </w:r>
      <w:r>
        <w:rPr>
          <w:rFonts w:hint="eastAsia"/>
          <w:color w:val="000000" w:themeColor="text1"/>
          <w:sz w:val="24"/>
          <w14:textFill>
            <w14:solidFill>
              <w14:schemeClr w14:val="tx1"/>
            </w14:solidFill>
          </w14:textFill>
        </w:rPr>
        <w:t>部分渠道下游河流</w:t>
      </w:r>
      <w:r>
        <w:rPr>
          <w:color w:val="000000" w:themeColor="text1"/>
          <w:sz w:val="24"/>
          <w14:textFill>
            <w14:solidFill>
              <w14:schemeClr w14:val="tx1"/>
            </w14:solidFill>
          </w14:textFill>
        </w:rPr>
        <w:t>水面面积、水位、水深、流速发生微小变化，</w:t>
      </w:r>
      <w:r>
        <w:rPr>
          <w:rFonts w:hint="eastAsia"/>
          <w:color w:val="000000" w:themeColor="text1"/>
          <w:sz w:val="24"/>
          <w14:textFill>
            <w14:solidFill>
              <w14:schemeClr w14:val="tx1"/>
            </w14:solidFill>
          </w14:textFill>
        </w:rPr>
        <w:t>主要</w:t>
      </w:r>
      <w:r>
        <w:rPr>
          <w:color w:val="000000" w:themeColor="text1"/>
          <w:sz w:val="24"/>
          <w14:textFill>
            <w14:solidFill>
              <w14:schemeClr w14:val="tx1"/>
            </w14:solidFill>
          </w14:textFill>
        </w:rPr>
        <w:t>导致水面面积减小，水位局部变高，局部水深变深，流速减缓；其他水量、水温、水面宽、冲淤变化等不会发生变化。</w:t>
      </w:r>
      <w:r>
        <w:rPr>
          <w:rFonts w:hint="eastAsia"/>
          <w:bCs/>
          <w:color w:val="000000" w:themeColor="text1"/>
          <w:sz w:val="24"/>
          <w14:textFill>
            <w14:solidFill>
              <w14:schemeClr w14:val="tx1"/>
            </w14:solidFill>
          </w14:textFill>
        </w:rPr>
        <w:t>但项目涉及渠道仅为下游河道来水支流，</w:t>
      </w:r>
      <w:r>
        <w:rPr>
          <w:color w:val="000000" w:themeColor="text1"/>
          <w:sz w:val="24"/>
          <w14:textFill>
            <w14:solidFill>
              <w14:schemeClr w14:val="tx1"/>
            </w14:solidFill>
          </w14:textFill>
        </w:rPr>
        <w:t>因为本工程主要为</w:t>
      </w:r>
      <w:r>
        <w:rPr>
          <w:rFonts w:hint="eastAsia"/>
          <w:color w:val="000000" w:themeColor="text1"/>
          <w:sz w:val="24"/>
          <w:lang w:val="en-US" w:eastAsia="zh-CN"/>
          <w14:textFill>
            <w14:solidFill>
              <w14:schemeClr w14:val="tx1"/>
            </w14:solidFill>
          </w14:textFill>
        </w:rPr>
        <w:t>已有渠道</w:t>
      </w:r>
      <w:r>
        <w:rPr>
          <w:color w:val="000000" w:themeColor="text1"/>
          <w:sz w:val="24"/>
          <w14:textFill>
            <w14:solidFill>
              <w14:schemeClr w14:val="tx1"/>
            </w14:solidFill>
          </w14:textFill>
        </w:rPr>
        <w:t>整治等内容，</w:t>
      </w:r>
      <w:r>
        <w:rPr>
          <w:rFonts w:hint="eastAsia"/>
          <w:color w:val="000000" w:themeColor="text1"/>
          <w:sz w:val="24"/>
          <w14:textFill>
            <w14:solidFill>
              <w14:schemeClr w14:val="tx1"/>
            </w14:solidFill>
          </w14:textFill>
        </w:rPr>
        <w:t>且</w:t>
      </w:r>
      <w:r>
        <w:rPr>
          <w:color w:val="000000" w:themeColor="text1"/>
          <w:sz w:val="24"/>
          <w14:textFill>
            <w14:solidFill>
              <w14:schemeClr w14:val="tx1"/>
            </w14:solidFill>
          </w14:textFill>
        </w:rPr>
        <w:t>施工期较短，</w:t>
      </w:r>
      <w:r>
        <w:rPr>
          <w:rFonts w:hint="eastAsia"/>
          <w:color w:val="000000" w:themeColor="text1"/>
          <w:sz w:val="24"/>
          <w14:textFill>
            <w14:solidFill>
              <w14:schemeClr w14:val="tx1"/>
            </w14:solidFill>
          </w14:textFill>
        </w:rPr>
        <w:t>故项目</w:t>
      </w:r>
      <w:r>
        <w:rPr>
          <w:color w:val="000000" w:themeColor="text1"/>
          <w:sz w:val="24"/>
          <w14:textFill>
            <w14:solidFill>
              <w14:schemeClr w14:val="tx1"/>
            </w14:solidFill>
          </w14:textFill>
        </w:rPr>
        <w:t>施工</w:t>
      </w:r>
      <w:r>
        <w:rPr>
          <w:rFonts w:hint="eastAsia"/>
          <w:color w:val="000000" w:themeColor="text1"/>
          <w:sz w:val="24"/>
          <w14:textFill>
            <w14:solidFill>
              <w14:schemeClr w14:val="tx1"/>
            </w14:solidFill>
          </w14:textFill>
        </w:rPr>
        <w:t>过程</w:t>
      </w:r>
      <w:r>
        <w:rPr>
          <w:color w:val="000000" w:themeColor="text1"/>
          <w:sz w:val="24"/>
          <w14:textFill>
            <w14:solidFill>
              <w14:schemeClr w14:val="tx1"/>
            </w14:solidFill>
          </w14:textFill>
        </w:rPr>
        <w:t>对</w:t>
      </w:r>
      <w:r>
        <w:rPr>
          <w:rFonts w:hint="eastAsia"/>
          <w:color w:val="000000" w:themeColor="text1"/>
          <w:sz w:val="24"/>
          <w14:textFill>
            <w14:solidFill>
              <w14:schemeClr w14:val="tx1"/>
            </w14:solidFill>
          </w14:textFill>
        </w:rPr>
        <w:t>工程渠段及下游渠道、河流</w:t>
      </w:r>
      <w:r>
        <w:rPr>
          <w:color w:val="000000" w:themeColor="text1"/>
          <w:sz w:val="24"/>
          <w14:textFill>
            <w14:solidFill>
              <w14:schemeClr w14:val="tx1"/>
            </w14:solidFill>
          </w14:textFill>
        </w:rPr>
        <w:t>水文情势</w:t>
      </w:r>
      <w:r>
        <w:rPr>
          <w:rFonts w:hint="eastAsia"/>
          <w:color w:val="000000" w:themeColor="text1"/>
          <w:sz w:val="24"/>
          <w14:textFill>
            <w14:solidFill>
              <w14:schemeClr w14:val="tx1"/>
            </w14:solidFill>
          </w14:textFill>
        </w:rPr>
        <w:t>的</w:t>
      </w:r>
      <w:r>
        <w:rPr>
          <w:color w:val="000000" w:themeColor="text1"/>
          <w:sz w:val="24"/>
          <w14:textFill>
            <w14:solidFill>
              <w14:schemeClr w14:val="tx1"/>
            </w14:solidFill>
          </w14:textFill>
        </w:rPr>
        <w:t>影响很小。</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69" w:name="_Toc25379"/>
      <w:r>
        <w:rPr>
          <w:rFonts w:eastAsia="黑体"/>
          <w:b/>
          <w:color w:val="000000" w:themeColor="text1"/>
          <w:kern w:val="0"/>
          <w:sz w:val="28"/>
          <w:szCs w:val="24"/>
          <w14:textFill>
            <w14:solidFill>
              <w14:schemeClr w14:val="tx1"/>
            </w14:solidFill>
          </w14:textFill>
        </w:rPr>
        <w:t>4.1.</w:t>
      </w:r>
      <w:r>
        <w:rPr>
          <w:rFonts w:hint="eastAsia" w:eastAsia="黑体"/>
          <w:b/>
          <w:color w:val="000000" w:themeColor="text1"/>
          <w:kern w:val="0"/>
          <w:sz w:val="28"/>
          <w:szCs w:val="24"/>
          <w14:textFill>
            <w14:solidFill>
              <w14:schemeClr w14:val="tx1"/>
            </w14:solidFill>
          </w14:textFill>
        </w:rPr>
        <w:t>3运营期</w:t>
      </w:r>
      <w:r>
        <w:rPr>
          <w:rFonts w:eastAsia="黑体"/>
          <w:b/>
          <w:color w:val="000000" w:themeColor="text1"/>
          <w:kern w:val="0"/>
          <w:sz w:val="28"/>
          <w:szCs w:val="24"/>
          <w14:textFill>
            <w14:solidFill>
              <w14:schemeClr w14:val="tx1"/>
            </w14:solidFill>
          </w14:textFill>
        </w:rPr>
        <w:t>水文情势影响分析</w:t>
      </w:r>
      <w:bookmarkEnd w:id="469"/>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1、本项目对现有渠道进行整治，不改变渠道线路。项目建成后，渠道恢复灌溉和排水功能，</w:t>
      </w:r>
      <w:r>
        <w:rPr>
          <w:rFonts w:hint="eastAsia" w:cs="宋体"/>
          <w:color w:val="000000" w:themeColor="text1"/>
          <w:sz w:val="24"/>
          <w14:textFill>
            <w14:solidFill>
              <w14:schemeClr w14:val="tx1"/>
            </w14:solidFill>
          </w14:textFill>
        </w:rPr>
        <w:t>各渠道的规模与原设计规模基本一致；</w:t>
      </w:r>
      <w:r>
        <w:rPr>
          <w:rFonts w:hint="eastAsia"/>
          <w:color w:val="000000" w:themeColor="text1"/>
          <w:kern w:val="0"/>
          <w:sz w:val="24"/>
          <w14:textFill>
            <w14:solidFill>
              <w14:schemeClr w14:val="tx1"/>
            </w14:solidFill>
          </w14:textFill>
        </w:rPr>
        <w:t>渠道下游的水量，流量都将恢复自然流态；</w:t>
      </w:r>
      <w:r>
        <w:rPr>
          <w:rFonts w:hint="eastAsia" w:cs="宋体"/>
          <w:color w:val="000000" w:themeColor="text1"/>
          <w:sz w:val="24"/>
          <w14:textFill>
            <w14:solidFill>
              <w14:schemeClr w14:val="tx1"/>
            </w14:solidFill>
          </w14:textFill>
        </w:rPr>
        <w:t>渠道整治后，各渠道的水位、流量、流速</w:t>
      </w:r>
      <w:r>
        <w:rPr>
          <w:rFonts w:hint="eastAsia"/>
          <w:color w:val="000000" w:themeColor="text1"/>
          <w:kern w:val="0"/>
          <w:sz w:val="24"/>
          <w:szCs w:val="20"/>
          <w14:textFill>
            <w14:solidFill>
              <w14:schemeClr w14:val="tx1"/>
            </w14:solidFill>
          </w14:textFill>
        </w:rPr>
        <w:t>变化均不会产生变化，运营期对水文情势不会产生影响</w:t>
      </w:r>
      <w:r>
        <w:rPr>
          <w:rFonts w:hint="eastAsia"/>
          <w:color w:val="000000" w:themeColor="text1"/>
          <w:kern w:val="0"/>
          <w:sz w:val="24"/>
          <w14:textFill>
            <w14:solidFill>
              <w14:schemeClr w14:val="tx1"/>
            </w14:solidFill>
          </w14:textFill>
        </w:rPr>
        <w:t>。</w:t>
      </w:r>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2、对水位的影响</w:t>
      </w:r>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本项目仅对现有渠道进行整改，工程建设完成后不会改变现有渠道水位。</w:t>
      </w:r>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3、对下游径流的影响</w:t>
      </w:r>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本项目末端连接已有渠道，且距离下游河道较远，不会对下游河道径流产生影响。</w:t>
      </w:r>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4、对水温的影响</w:t>
      </w:r>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本项目仅对渠道进行清淤、衬砌等整治工程，项目的建设对水温无影响。</w:t>
      </w:r>
    </w:p>
    <w:p>
      <w:pPr>
        <w:widowControl/>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综上所述，本项目的建设对</w:t>
      </w:r>
      <w:r>
        <w:rPr>
          <w:rFonts w:hint="eastAsia"/>
          <w:color w:val="000000" w:themeColor="text1"/>
          <w:kern w:val="0"/>
          <w:sz w:val="24"/>
          <w:lang w:val="en-US" w:eastAsia="zh-CN"/>
          <w14:textFill>
            <w14:solidFill>
              <w14:schemeClr w14:val="tx1"/>
            </w14:solidFill>
          </w14:textFill>
        </w:rPr>
        <w:t>排涝、</w:t>
      </w:r>
      <w:r>
        <w:rPr>
          <w:rFonts w:hint="eastAsia"/>
          <w:color w:val="000000" w:themeColor="text1"/>
          <w:kern w:val="0"/>
          <w:sz w:val="24"/>
          <w14:textFill>
            <w14:solidFill>
              <w14:schemeClr w14:val="tx1"/>
            </w14:solidFill>
          </w14:textFill>
        </w:rPr>
        <w:t>泥沙情势均有正效益，对渠道水位、水温几乎无影响。</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70" w:name="_Toc5362"/>
      <w:bookmarkStart w:id="471" w:name="_Toc70496303"/>
      <w:r>
        <w:rPr>
          <w:rFonts w:eastAsia="黑体"/>
          <w:b/>
          <w:bCs/>
          <w:color w:val="000000" w:themeColor="text1"/>
          <w:kern w:val="0"/>
          <w:sz w:val="32"/>
          <w:szCs w:val="32"/>
          <w14:textFill>
            <w14:solidFill>
              <w14:schemeClr w14:val="tx1"/>
            </w14:solidFill>
          </w14:textFill>
        </w:rPr>
        <w:t>4.</w:t>
      </w:r>
      <w:bookmarkEnd w:id="464"/>
      <w:r>
        <w:rPr>
          <w:rFonts w:eastAsia="黑体"/>
          <w:b/>
          <w:bCs/>
          <w:color w:val="000000" w:themeColor="text1"/>
          <w:kern w:val="0"/>
          <w:sz w:val="32"/>
          <w:szCs w:val="32"/>
          <w14:textFill>
            <w14:solidFill>
              <w14:schemeClr w14:val="tx1"/>
            </w14:solidFill>
          </w14:textFill>
        </w:rPr>
        <w:t>2施工期水环境影响预测与评价</w:t>
      </w:r>
      <w:bookmarkEnd w:id="470"/>
      <w:bookmarkEnd w:id="471"/>
    </w:p>
    <w:p>
      <w:pPr>
        <w:autoSpaceDE/>
        <w:autoSpaceDN/>
        <w:spacing w:line="360" w:lineRule="auto"/>
        <w:ind w:firstLine="480" w:firstLineChars="200"/>
        <w:jc w:val="both"/>
        <w:textAlignment w:val="baseline"/>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根据施工组织设计，本工程砂石料外购成品，混凝土采用商混，在施工中产生的生产废水主要包括运输车辆、施工机械冲洗废水和围堰渗水、临时堆土场淋沥水、降雨汇水等引起的基坑排水等。</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72" w:name="_Toc18026"/>
      <w:r>
        <w:rPr>
          <w:rFonts w:eastAsia="黑体"/>
          <w:b/>
          <w:color w:val="000000" w:themeColor="text1"/>
          <w:kern w:val="0"/>
          <w:sz w:val="28"/>
          <w:szCs w:val="24"/>
          <w14:textFill>
            <w14:solidFill>
              <w14:schemeClr w14:val="tx1"/>
            </w14:solidFill>
          </w14:textFill>
        </w:rPr>
        <w:t>4.</w:t>
      </w:r>
      <w:r>
        <w:rPr>
          <w:rFonts w:hint="eastAsia" w:eastAsia="黑体"/>
          <w:b/>
          <w:color w:val="000000" w:themeColor="text1"/>
          <w:kern w:val="0"/>
          <w:sz w:val="28"/>
          <w:szCs w:val="24"/>
          <w14:textFill>
            <w14:solidFill>
              <w14:schemeClr w14:val="tx1"/>
            </w14:solidFill>
          </w14:textFill>
        </w:rPr>
        <w:t>2</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1施工废水的</w:t>
      </w:r>
      <w:r>
        <w:rPr>
          <w:rFonts w:eastAsia="黑体"/>
          <w:b/>
          <w:color w:val="000000" w:themeColor="text1"/>
          <w:kern w:val="0"/>
          <w:sz w:val="28"/>
          <w:szCs w:val="24"/>
          <w14:textFill>
            <w14:solidFill>
              <w14:schemeClr w14:val="tx1"/>
            </w14:solidFill>
          </w14:textFill>
        </w:rPr>
        <w:t>影响</w:t>
      </w:r>
      <w:bookmarkEnd w:id="472"/>
    </w:p>
    <w:p>
      <w:pPr>
        <w:tabs>
          <w:tab w:val="left" w:pos="840"/>
          <w:tab w:val="right" w:leader="dot" w:pos="8820"/>
        </w:tabs>
        <w:autoSpaceDE/>
        <w:autoSpaceDN/>
        <w:snapToGrid w:val="0"/>
        <w:spacing w:line="360" w:lineRule="auto"/>
        <w:ind w:firstLine="482" w:firstLineChars="200"/>
        <w:jc w:val="both"/>
        <w:textAlignment w:val="center"/>
        <w:rPr>
          <w:b/>
          <w:bCs/>
          <w:color w:val="000000" w:themeColor="text1"/>
          <w:kern w:val="0"/>
          <w:sz w:val="24"/>
          <w:szCs w:val="24"/>
          <w:lang w:val="zh-CN"/>
          <w14:textFill>
            <w14:solidFill>
              <w14:schemeClr w14:val="tx1"/>
            </w14:solidFill>
          </w14:textFill>
        </w:rPr>
      </w:pPr>
      <w:r>
        <w:rPr>
          <w:rFonts w:hint="eastAsia"/>
          <w:b/>
          <w:bCs/>
          <w:color w:val="000000" w:themeColor="text1"/>
          <w:kern w:val="0"/>
          <w:sz w:val="24"/>
          <w:szCs w:val="24"/>
          <w14:textFill>
            <w14:solidFill>
              <w14:schemeClr w14:val="tx1"/>
            </w14:solidFill>
          </w14:textFill>
        </w:rPr>
        <w:t>1、</w:t>
      </w:r>
      <w:r>
        <w:rPr>
          <w:rFonts w:hint="eastAsia"/>
          <w:b/>
          <w:bCs/>
          <w:color w:val="000000" w:themeColor="text1"/>
          <w:kern w:val="0"/>
          <w:sz w:val="24"/>
          <w:szCs w:val="24"/>
          <w:lang w:val="zh-CN"/>
          <w14:textFill>
            <w14:solidFill>
              <w14:schemeClr w14:val="tx1"/>
            </w14:solidFill>
          </w14:textFill>
        </w:rPr>
        <w:t>施工机械和车辆</w:t>
      </w:r>
      <w:r>
        <w:rPr>
          <w:rFonts w:hint="eastAsia"/>
          <w:b/>
          <w:bCs/>
          <w:color w:val="000000" w:themeColor="text1"/>
          <w:kern w:val="0"/>
          <w:sz w:val="24"/>
          <w:szCs w:val="24"/>
          <w14:textFill>
            <w14:solidFill>
              <w14:schemeClr w14:val="tx1"/>
            </w14:solidFill>
          </w14:textFill>
        </w:rPr>
        <w:t>清洗</w:t>
      </w:r>
      <w:r>
        <w:rPr>
          <w:rFonts w:hint="eastAsia"/>
          <w:b/>
          <w:bCs/>
          <w:color w:val="000000" w:themeColor="text1"/>
          <w:kern w:val="0"/>
          <w:sz w:val="24"/>
          <w:szCs w:val="24"/>
          <w:lang w:val="zh-CN"/>
          <w14:textFill>
            <w14:solidFill>
              <w14:schemeClr w14:val="tx1"/>
            </w14:solidFill>
          </w14:textFill>
        </w:rPr>
        <w:t>废水</w:t>
      </w:r>
    </w:p>
    <w:p>
      <w:pPr>
        <w:snapToGrid w:val="0"/>
        <w:spacing w:line="360" w:lineRule="auto"/>
        <w:ind w:firstLine="480" w:firstLineChars="200"/>
        <w:jc w:val="both"/>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本项目施工现场不考虑机械大修，施工机械的维修、保养均在附近汽修店进行，施工区内不设置机修场地，只设置机械停放区进行施工机械和车辆的清洗，施工机械雨天置于施工场地内。本项目施工现场不考虑机械大修，施工机械的维修、保养均在附近汽修店进行，施工区内不设置机修场地。施工机械雨天置于施工场地内，工程施工期机械和汽车维护站废水主要来自于机械、汽车的冲洗废水，参照《环境影响评价技术手册水利水电工程》，汽车冲洗设计用水量为</w:t>
      </w:r>
      <w:r>
        <w:rPr>
          <w:rFonts w:cs="宋体"/>
          <w:color w:val="000000" w:themeColor="text1"/>
          <w:sz w:val="24"/>
          <w14:textFill>
            <w14:solidFill>
              <w14:schemeClr w14:val="tx1"/>
            </w14:solidFill>
          </w14:textFill>
        </w:rPr>
        <w:t>0.5m</w:t>
      </w:r>
      <w:r>
        <w:rPr>
          <w:rFonts w:cs="宋体"/>
          <w:color w:val="000000" w:themeColor="text1"/>
          <w:sz w:val="24"/>
          <w:vertAlign w:val="superscript"/>
          <w14:textFill>
            <w14:solidFill>
              <w14:schemeClr w14:val="tx1"/>
            </w14:solidFill>
          </w14:textFill>
        </w:rPr>
        <w:t>3</w:t>
      </w:r>
      <w:r>
        <w:rPr>
          <w:rFonts w:cs="宋体"/>
          <w:color w:val="000000" w:themeColor="text1"/>
          <w:sz w:val="24"/>
          <w14:textFill>
            <w14:solidFill>
              <w14:schemeClr w14:val="tx1"/>
            </w14:solidFill>
          </w14:textFill>
        </w:rPr>
        <w:t>/</w:t>
      </w:r>
      <w:r>
        <w:rPr>
          <w:rFonts w:hint="eastAsia" w:cs="宋体"/>
          <w:color w:val="000000" w:themeColor="text1"/>
          <w:sz w:val="24"/>
          <w14:textFill>
            <w14:solidFill>
              <w14:schemeClr w14:val="tx1"/>
            </w14:solidFill>
          </w14:textFill>
        </w:rPr>
        <w:t>辆</w:t>
      </w:r>
      <w:r>
        <w:rPr>
          <w:rFonts w:cs="宋体"/>
          <w:color w:val="000000" w:themeColor="text1"/>
          <w:sz w:val="24"/>
          <w14:textFill>
            <w14:solidFill>
              <w14:schemeClr w14:val="tx1"/>
            </w14:solidFill>
          </w14:textFill>
        </w:rPr>
        <w:t>·</w:t>
      </w:r>
      <w:r>
        <w:rPr>
          <w:rFonts w:hint="eastAsia" w:cs="宋体"/>
          <w:color w:val="000000" w:themeColor="text1"/>
          <w:sz w:val="24"/>
          <w14:textFill>
            <w14:solidFill>
              <w14:schemeClr w14:val="tx1"/>
            </w14:solidFill>
          </w14:textFill>
        </w:rPr>
        <w:t>次，施工高峰期工区内按每天5台计，日最大用水量约</w:t>
      </w:r>
      <w:r>
        <w:rPr>
          <w:rFonts w:cs="宋体"/>
          <w:color w:val="000000" w:themeColor="text1"/>
          <w:sz w:val="24"/>
          <w14:textFill>
            <w14:solidFill>
              <w14:schemeClr w14:val="tx1"/>
            </w14:solidFill>
          </w14:textFill>
        </w:rPr>
        <w:t>2.</w:t>
      </w:r>
      <w:r>
        <w:rPr>
          <w:rFonts w:hint="eastAsia" w:cs="宋体"/>
          <w:color w:val="000000" w:themeColor="text1"/>
          <w:sz w:val="24"/>
          <w14:textFill>
            <w14:solidFill>
              <w14:schemeClr w14:val="tx1"/>
            </w14:solidFill>
          </w14:textFill>
        </w:rPr>
        <w:t>5</w:t>
      </w:r>
      <w:r>
        <w:rPr>
          <w:rFonts w:cs="宋体"/>
          <w:color w:val="000000" w:themeColor="text1"/>
          <w:sz w:val="24"/>
          <w14:textFill>
            <w14:solidFill>
              <w14:schemeClr w14:val="tx1"/>
            </w14:solidFill>
          </w14:textFill>
        </w:rPr>
        <w:t>m</w:t>
      </w:r>
      <w:r>
        <w:rPr>
          <w:rFonts w:cs="宋体"/>
          <w:color w:val="000000" w:themeColor="text1"/>
          <w:sz w:val="24"/>
          <w:vertAlign w:val="superscript"/>
          <w14:textFill>
            <w14:solidFill>
              <w14:schemeClr w14:val="tx1"/>
            </w14:solidFill>
          </w14:textFill>
        </w:rPr>
        <w:t>3</w:t>
      </w:r>
      <w:r>
        <w:rPr>
          <w:rFonts w:cs="宋体"/>
          <w:color w:val="000000" w:themeColor="text1"/>
          <w:sz w:val="24"/>
          <w14:textFill>
            <w14:solidFill>
              <w14:schemeClr w14:val="tx1"/>
            </w14:solidFill>
          </w14:textFill>
        </w:rPr>
        <w:t>/d</w:t>
      </w:r>
      <w:r>
        <w:rPr>
          <w:rFonts w:hint="eastAsia" w:cs="宋体"/>
          <w:color w:val="000000" w:themeColor="text1"/>
          <w:sz w:val="24"/>
          <w14:textFill>
            <w14:solidFill>
              <w14:schemeClr w14:val="tx1"/>
            </w14:solidFill>
          </w14:textFill>
        </w:rPr>
        <w:t>，产污率取</w:t>
      </w:r>
      <w:r>
        <w:rPr>
          <w:rFonts w:cs="宋体"/>
          <w:color w:val="000000" w:themeColor="text1"/>
          <w:sz w:val="24"/>
          <w14:textFill>
            <w14:solidFill>
              <w14:schemeClr w14:val="tx1"/>
            </w14:solidFill>
          </w14:textFill>
        </w:rPr>
        <w:t>90%</w:t>
      </w:r>
      <w:r>
        <w:rPr>
          <w:rFonts w:hint="eastAsia" w:cs="宋体"/>
          <w:color w:val="000000" w:themeColor="text1"/>
          <w:sz w:val="24"/>
          <w14:textFill>
            <w14:solidFill>
              <w14:schemeClr w14:val="tx1"/>
            </w14:solidFill>
          </w14:textFill>
        </w:rPr>
        <w:t>，则废水量为2.25</w:t>
      </w:r>
      <w:r>
        <w:rPr>
          <w:rFonts w:cs="宋体"/>
          <w:color w:val="000000" w:themeColor="text1"/>
          <w:sz w:val="24"/>
          <w14:textFill>
            <w14:solidFill>
              <w14:schemeClr w14:val="tx1"/>
            </w14:solidFill>
          </w14:textFill>
        </w:rPr>
        <w:t>m</w:t>
      </w:r>
      <w:r>
        <w:rPr>
          <w:rFonts w:cs="宋体"/>
          <w:color w:val="000000" w:themeColor="text1"/>
          <w:sz w:val="24"/>
          <w:vertAlign w:val="superscript"/>
          <w14:textFill>
            <w14:solidFill>
              <w14:schemeClr w14:val="tx1"/>
            </w14:solidFill>
          </w14:textFill>
        </w:rPr>
        <w:t>3</w:t>
      </w:r>
      <w:r>
        <w:rPr>
          <w:rFonts w:cs="宋体"/>
          <w:color w:val="000000" w:themeColor="text1"/>
          <w:sz w:val="24"/>
          <w14:textFill>
            <w14:solidFill>
              <w14:schemeClr w14:val="tx1"/>
            </w14:solidFill>
          </w14:textFill>
        </w:rPr>
        <w:t>/d</w:t>
      </w:r>
      <w:r>
        <w:rPr>
          <w:rFonts w:hint="eastAsia" w:cs="宋体"/>
          <w:color w:val="000000" w:themeColor="text1"/>
          <w:sz w:val="24"/>
          <w14:textFill>
            <w14:solidFill>
              <w14:schemeClr w14:val="tx1"/>
            </w14:solidFill>
          </w14:textFill>
        </w:rPr>
        <w:t>。参照《水电水利工程施工环境保护技术规程》（</w:t>
      </w:r>
      <w:r>
        <w:rPr>
          <w:rFonts w:cs="宋体"/>
          <w:color w:val="000000" w:themeColor="text1"/>
          <w:sz w:val="24"/>
          <w14:textFill>
            <w14:solidFill>
              <w14:schemeClr w14:val="tx1"/>
            </w14:solidFill>
          </w14:textFill>
        </w:rPr>
        <w:t>DL/T5260-2010</w:t>
      </w:r>
      <w:r>
        <w:rPr>
          <w:rFonts w:hint="eastAsia" w:cs="宋体"/>
          <w:color w:val="000000" w:themeColor="text1"/>
          <w:sz w:val="24"/>
          <w14:textFill>
            <w14:solidFill>
              <w14:schemeClr w14:val="tx1"/>
            </w14:solidFill>
          </w14:textFill>
        </w:rPr>
        <w:t>），施工机械和运输车辆冲洗废水主要污染物为悬浮物，浓度</w:t>
      </w:r>
      <w:r>
        <w:rPr>
          <w:rFonts w:cs="宋体"/>
          <w:color w:val="000000" w:themeColor="text1"/>
          <w:sz w:val="24"/>
          <w14:textFill>
            <w14:solidFill>
              <w14:schemeClr w14:val="tx1"/>
            </w14:solidFill>
          </w14:textFill>
        </w:rPr>
        <w:t>500</w:t>
      </w:r>
      <w:r>
        <w:rPr>
          <w:rFonts w:hint="eastAsia" w:cs="宋体"/>
          <w:color w:val="000000" w:themeColor="text1"/>
          <w:sz w:val="24"/>
          <w14:textFill>
            <w14:solidFill>
              <w14:schemeClr w14:val="tx1"/>
            </w14:solidFill>
          </w14:textFill>
        </w:rPr>
        <w:t>～</w:t>
      </w:r>
      <w:r>
        <w:rPr>
          <w:rFonts w:cs="宋体"/>
          <w:color w:val="000000" w:themeColor="text1"/>
          <w:sz w:val="24"/>
          <w14:textFill>
            <w14:solidFill>
              <w14:schemeClr w14:val="tx1"/>
            </w14:solidFill>
          </w14:textFill>
        </w:rPr>
        <w:t>4000mg/L</w:t>
      </w:r>
      <w:r>
        <w:rPr>
          <w:rFonts w:hint="eastAsia" w:cs="宋体"/>
          <w:color w:val="000000" w:themeColor="text1"/>
          <w:sz w:val="24"/>
          <w14:textFill>
            <w14:solidFill>
              <w14:schemeClr w14:val="tx1"/>
            </w14:solidFill>
          </w14:textFill>
        </w:rPr>
        <w:t>。</w:t>
      </w:r>
    </w:p>
    <w:p>
      <w:pPr>
        <w:autoSpaceDE/>
        <w:autoSpaceDN/>
        <w:spacing w:line="360" w:lineRule="auto"/>
        <w:ind w:firstLine="480" w:firstLineChars="200"/>
        <w:jc w:val="both"/>
        <w:textAlignment w:val="baseline"/>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施工期产生的</w:t>
      </w:r>
      <w:r>
        <w:rPr>
          <w:rFonts w:hint="eastAsia"/>
          <w:color w:val="000000" w:themeColor="text1"/>
          <w:kern w:val="0"/>
          <w:sz w:val="24"/>
          <w:szCs w:val="20"/>
          <w14:textFill>
            <w14:solidFill>
              <w14:schemeClr w14:val="tx1"/>
            </w14:solidFill>
          </w14:textFill>
        </w:rPr>
        <w:t>施工机械及运输车</w:t>
      </w:r>
      <w:r>
        <w:rPr>
          <w:color w:val="000000" w:themeColor="text1"/>
          <w:kern w:val="0"/>
          <w:sz w:val="24"/>
          <w:szCs w:val="20"/>
          <w14:textFill>
            <w14:solidFill>
              <w14:schemeClr w14:val="tx1"/>
            </w14:solidFill>
          </w14:textFill>
        </w:rPr>
        <w:t>辆清洗废水，排入临时沉淀池进行沉淀，沉淀处理后回用于场地浇洒降尘，经沉淀处理后，废水对环境影响较小。</w:t>
      </w:r>
    </w:p>
    <w:p>
      <w:pPr>
        <w:autoSpaceDE/>
        <w:autoSpaceDN/>
        <w:spacing w:line="360" w:lineRule="auto"/>
        <w:ind w:firstLine="480" w:firstLineChars="200"/>
        <w:jc w:val="both"/>
        <w:textAlignment w:val="baseline"/>
        <w:rPr>
          <w:snapToGrid w:val="0"/>
          <w:color w:val="000000" w:themeColor="text1"/>
          <w:kern w:val="0"/>
          <w:sz w:val="24"/>
          <w:szCs w:val="20"/>
          <w14:textFill>
            <w14:solidFill>
              <w14:schemeClr w14:val="tx1"/>
            </w14:solidFill>
          </w14:textFill>
        </w:rPr>
      </w:pPr>
      <w:r>
        <w:rPr>
          <w:snapToGrid w:val="0"/>
          <w:color w:val="000000" w:themeColor="text1"/>
          <w:kern w:val="0"/>
          <w:sz w:val="24"/>
          <w:szCs w:val="20"/>
          <w14:textFill>
            <w14:solidFill>
              <w14:schemeClr w14:val="tx1"/>
            </w14:solidFill>
          </w14:textFill>
        </w:rPr>
        <w:t>此外，施工单位需加强对运输车辆的安全运输管理和机械养护监督，杜绝事故隐患和燃油、机油的跑、冒、滴、漏现象，</w:t>
      </w:r>
      <w:r>
        <w:rPr>
          <w:color w:val="000000" w:themeColor="text1"/>
          <w:kern w:val="0"/>
          <w:sz w:val="24"/>
          <w:szCs w:val="20"/>
          <w14:textFill>
            <w14:solidFill>
              <w14:schemeClr w14:val="tx1"/>
            </w14:solidFill>
          </w14:textFill>
        </w:rPr>
        <w:t>防止燃油、机油等污染水质对</w:t>
      </w:r>
      <w:r>
        <w:rPr>
          <w:rFonts w:hint="eastAsia"/>
          <w:color w:val="000000" w:themeColor="text1"/>
          <w:kern w:val="0"/>
          <w:sz w:val="24"/>
          <w:szCs w:val="20"/>
          <w14:textFill>
            <w14:solidFill>
              <w14:schemeClr w14:val="tx1"/>
            </w14:solidFill>
          </w14:textFill>
        </w:rPr>
        <w:t>区域内地表</w:t>
      </w:r>
      <w:r>
        <w:rPr>
          <w:color w:val="000000" w:themeColor="text1"/>
          <w:kern w:val="0"/>
          <w:sz w:val="24"/>
          <w:szCs w:val="20"/>
          <w14:textFill>
            <w14:solidFill>
              <w14:schemeClr w14:val="tx1"/>
            </w14:solidFill>
          </w14:textFill>
        </w:rPr>
        <w:t>水质产生不利影响</w:t>
      </w:r>
      <w:r>
        <w:rPr>
          <w:snapToGrid w:val="0"/>
          <w:color w:val="000000" w:themeColor="text1"/>
          <w:kern w:val="0"/>
          <w:sz w:val="24"/>
          <w:szCs w:val="20"/>
          <w14:textFill>
            <w14:solidFill>
              <w14:schemeClr w14:val="tx1"/>
            </w14:solidFill>
          </w14:textFill>
        </w:rPr>
        <w:t>；严禁施工机械直接向水体排放含油污水。</w:t>
      </w:r>
    </w:p>
    <w:p>
      <w:pPr>
        <w:snapToGrid w:val="0"/>
        <w:spacing w:line="360" w:lineRule="auto"/>
        <w:ind w:firstLine="482" w:firstLineChars="200"/>
        <w:rPr>
          <w:rFonts w:cs="宋体"/>
          <w:b/>
          <w:bCs/>
          <w:color w:val="000000" w:themeColor="text1"/>
          <w:sz w:val="24"/>
          <w14:textFill>
            <w14:solidFill>
              <w14:schemeClr w14:val="tx1"/>
            </w14:solidFill>
          </w14:textFill>
        </w:rPr>
      </w:pPr>
      <w:r>
        <w:rPr>
          <w:rFonts w:hint="eastAsia" w:cs="宋体"/>
          <w:b/>
          <w:bCs/>
          <w:color w:val="000000" w:themeColor="text1"/>
          <w:sz w:val="24"/>
          <w14:textFill>
            <w14:solidFill>
              <w14:schemeClr w14:val="tx1"/>
            </w14:solidFill>
          </w14:textFill>
        </w:rPr>
        <w:t>2、混凝土养护废水</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混凝土浇筑后为提高混凝土质量，通常需进行养护，本项目使用清水养护，项目养护废水较少直接在地表蒸发，不会对周围地表水产生影响。</w:t>
      </w:r>
    </w:p>
    <w:p>
      <w:pPr>
        <w:snapToGrid w:val="0"/>
        <w:spacing w:line="360" w:lineRule="auto"/>
        <w:ind w:firstLine="482" w:firstLineChars="200"/>
        <w:rPr>
          <w:rFonts w:cs="宋体"/>
          <w:b/>
          <w:bCs/>
          <w:color w:val="000000" w:themeColor="text1"/>
          <w:sz w:val="24"/>
          <w14:textFill>
            <w14:solidFill>
              <w14:schemeClr w14:val="tx1"/>
            </w14:solidFill>
          </w14:textFill>
        </w:rPr>
      </w:pPr>
      <w:r>
        <w:rPr>
          <w:rFonts w:hint="eastAsia" w:cs="宋体"/>
          <w:b/>
          <w:bCs/>
          <w:color w:val="000000" w:themeColor="text1"/>
          <w:sz w:val="24"/>
          <w14:textFill>
            <w14:solidFill>
              <w14:schemeClr w14:val="tx1"/>
            </w14:solidFill>
          </w14:textFill>
        </w:rPr>
        <w:t>3、基坑排水</w:t>
      </w:r>
    </w:p>
    <w:p>
      <w:pPr>
        <w:autoSpaceDE/>
        <w:autoSpaceDN/>
        <w:spacing w:line="360" w:lineRule="auto"/>
        <w:ind w:firstLine="480" w:firstLineChars="200"/>
        <w:jc w:val="both"/>
        <w:textAlignment w:val="baseline"/>
        <w:rPr>
          <w:snapToGrid w:val="0"/>
          <w:color w:val="000000" w:themeColor="text1"/>
          <w:kern w:val="0"/>
          <w:sz w:val="24"/>
          <w:szCs w:val="20"/>
          <w14:textFill>
            <w14:solidFill>
              <w14:schemeClr w14:val="tx1"/>
            </w14:solidFill>
          </w14:textFill>
        </w:rPr>
      </w:pPr>
      <w:r>
        <w:rPr>
          <w:rFonts w:hint="eastAsia"/>
          <w:snapToGrid w:val="0"/>
          <w:color w:val="000000" w:themeColor="text1"/>
          <w:kern w:val="0"/>
          <w:sz w:val="24"/>
          <w:szCs w:val="20"/>
          <w14:textFill>
            <w14:solidFill>
              <w14:schemeClr w14:val="tx1"/>
            </w14:solidFill>
          </w14:textFill>
        </w:rPr>
        <w:t>本工程施工导流时采取设置围堰的方式，会产生一定量的基坑水。基坑排水，分为基坑开挖前的初期排水和基坑开挖及建筑物施工过程中的经常性排水。</w:t>
      </w:r>
    </w:p>
    <w:p>
      <w:pPr>
        <w:autoSpaceDE/>
        <w:autoSpaceDN/>
        <w:spacing w:line="360" w:lineRule="auto"/>
        <w:ind w:firstLine="480" w:firstLineChars="200"/>
        <w:jc w:val="both"/>
        <w:textAlignment w:val="baseline"/>
        <w:rPr>
          <w:snapToGrid w:val="0"/>
          <w:color w:val="000000" w:themeColor="text1"/>
          <w:kern w:val="0"/>
          <w:sz w:val="24"/>
          <w:szCs w:val="20"/>
          <w14:textFill>
            <w14:solidFill>
              <w14:schemeClr w14:val="tx1"/>
            </w14:solidFill>
          </w14:textFill>
        </w:rPr>
      </w:pPr>
      <w:r>
        <w:rPr>
          <w:rFonts w:hint="eastAsia"/>
          <w:snapToGrid w:val="0"/>
          <w:color w:val="000000" w:themeColor="text1"/>
          <w:kern w:val="0"/>
          <w:sz w:val="24"/>
          <w:szCs w:val="20"/>
          <w14:textFill>
            <w14:solidFill>
              <w14:schemeClr w14:val="tx1"/>
            </w14:solidFill>
          </w14:textFill>
        </w:rPr>
        <w:t>初期排水主要为围堰闭气后进行基坑初期排水，包括基坑积水、基础和堰体渗水、围堰接头漏水等。由于非汛期施工，河道流量较小，初期排水的排水量不大。</w:t>
      </w:r>
    </w:p>
    <w:p>
      <w:pPr>
        <w:autoSpaceDE/>
        <w:autoSpaceDN/>
        <w:spacing w:line="360" w:lineRule="auto"/>
        <w:ind w:firstLine="480" w:firstLineChars="200"/>
        <w:jc w:val="both"/>
        <w:textAlignment w:val="baseline"/>
        <w:rPr>
          <w:snapToGrid w:val="0"/>
          <w:color w:val="000000" w:themeColor="text1"/>
          <w:kern w:val="0"/>
          <w:sz w:val="24"/>
          <w:szCs w:val="20"/>
          <w14:textFill>
            <w14:solidFill>
              <w14:schemeClr w14:val="tx1"/>
            </w14:solidFill>
          </w14:textFill>
        </w:rPr>
      </w:pPr>
      <w:r>
        <w:rPr>
          <w:rFonts w:hint="eastAsia"/>
          <w:snapToGrid w:val="0"/>
          <w:color w:val="000000" w:themeColor="text1"/>
          <w:kern w:val="0"/>
          <w:sz w:val="24"/>
          <w:szCs w:val="20"/>
          <w14:textFill>
            <w14:solidFill>
              <w14:schemeClr w14:val="tx1"/>
            </w14:solidFill>
          </w14:textFill>
        </w:rPr>
        <w:t>经常性排水包括基础和围堰渗水、降雨汇水、施工弃水等，为保证基础能在干地施工，应采取相应的排水措施。可在基坑内挖排水沟和集水井，排水明沟沿底部周边布置集水井设在四角，配备水泵抽排。基坑水的主要特点是悬浮物浓度较高，直接排入河流后将引起河流局部SS超标。基坑排水对象是地下渗水和雨水，水质相对较好。经沉淀处理后的基坑废水，悬浮物含量大幅度降低，由于废水排放量不大，基坑废水排放对水体的影响不明显。</w:t>
      </w:r>
    </w:p>
    <w:p>
      <w:pPr>
        <w:snapToGrid w:val="0"/>
        <w:spacing w:line="360" w:lineRule="auto"/>
        <w:ind w:firstLine="482" w:firstLineChars="200"/>
        <w:rPr>
          <w:rFonts w:cs="宋体"/>
          <w:b/>
          <w:bCs/>
          <w:color w:val="000000" w:themeColor="text1"/>
          <w:sz w:val="24"/>
          <w14:textFill>
            <w14:solidFill>
              <w14:schemeClr w14:val="tx1"/>
            </w14:solidFill>
          </w14:textFill>
        </w:rPr>
      </w:pPr>
      <w:r>
        <w:rPr>
          <w:rFonts w:hint="eastAsia" w:cs="宋体"/>
          <w:b/>
          <w:bCs/>
          <w:color w:val="000000" w:themeColor="text1"/>
          <w:sz w:val="24"/>
          <w14:textFill>
            <w14:solidFill>
              <w14:schemeClr w14:val="tx1"/>
            </w14:solidFill>
          </w14:textFill>
        </w:rPr>
        <w:t>4、临时堆土场淋沥水</w:t>
      </w:r>
    </w:p>
    <w:p>
      <w:pPr>
        <w:autoSpaceDE/>
        <w:autoSpaceDN/>
        <w:spacing w:line="360" w:lineRule="auto"/>
        <w:ind w:firstLine="480" w:firstLineChars="200"/>
        <w:jc w:val="both"/>
        <w:rPr>
          <w:color w:val="000000" w:themeColor="text1"/>
          <w:kern w:val="0"/>
          <w:sz w:val="24"/>
          <w:szCs w:val="22"/>
          <w14:textFill>
            <w14:solidFill>
              <w14:schemeClr w14:val="tx1"/>
            </w14:solidFill>
          </w14:textFill>
        </w:rPr>
      </w:pPr>
      <w:r>
        <w:rPr>
          <w:color w:val="000000" w:themeColor="text1"/>
          <w:kern w:val="0"/>
          <w:sz w:val="24"/>
          <w:szCs w:val="22"/>
          <w14:textFill>
            <w14:solidFill>
              <w14:schemeClr w14:val="tx1"/>
            </w14:solidFill>
          </w14:textFill>
        </w:rPr>
        <w:t>本项目在</w:t>
      </w:r>
      <w:r>
        <w:rPr>
          <w:rFonts w:hint="eastAsia"/>
          <w:color w:val="000000" w:themeColor="text1"/>
          <w:kern w:val="0"/>
          <w:sz w:val="24"/>
          <w:szCs w:val="22"/>
          <w14:textFill>
            <w14:solidFill>
              <w14:schemeClr w14:val="tx1"/>
            </w14:solidFill>
          </w14:textFill>
        </w:rPr>
        <w:t>开挖</w:t>
      </w:r>
      <w:r>
        <w:rPr>
          <w:color w:val="000000" w:themeColor="text1"/>
          <w:kern w:val="0"/>
          <w:sz w:val="24"/>
          <w:szCs w:val="22"/>
          <w14:textFill>
            <w14:solidFill>
              <w14:schemeClr w14:val="tx1"/>
            </w14:solidFill>
          </w14:textFill>
        </w:rPr>
        <w:t>料堆放过程中，会产生少量堆放淋沥废水。项目</w:t>
      </w:r>
      <w:r>
        <w:rPr>
          <w:rFonts w:hint="eastAsia"/>
          <w:color w:val="000000" w:themeColor="text1"/>
          <w:kern w:val="0"/>
          <w:sz w:val="24"/>
          <w:szCs w:val="22"/>
          <w14:textFill>
            <w14:solidFill>
              <w14:schemeClr w14:val="tx1"/>
            </w14:solidFill>
          </w14:textFill>
        </w:rPr>
        <w:t>拟在临时堆土场周边分别设置导流沟及沉淀池（5m</w:t>
      </w:r>
      <w:r>
        <w:rPr>
          <w:rFonts w:hint="eastAsia"/>
          <w:color w:val="000000" w:themeColor="text1"/>
          <w:kern w:val="0"/>
          <w:sz w:val="24"/>
          <w:szCs w:val="22"/>
          <w:vertAlign w:val="superscript"/>
          <w14:textFill>
            <w14:solidFill>
              <w14:schemeClr w14:val="tx1"/>
            </w14:solidFill>
          </w14:textFill>
        </w:rPr>
        <w:t>3</w:t>
      </w:r>
      <w:r>
        <w:rPr>
          <w:rFonts w:hint="eastAsia"/>
          <w:color w:val="000000" w:themeColor="text1"/>
          <w:kern w:val="0"/>
          <w:sz w:val="24"/>
          <w:szCs w:val="22"/>
          <w14:textFill>
            <w14:solidFill>
              <w14:schemeClr w14:val="tx1"/>
            </w14:solidFill>
          </w14:textFill>
        </w:rPr>
        <w:t>），</w:t>
      </w:r>
      <w:r>
        <w:rPr>
          <w:color w:val="000000" w:themeColor="text1"/>
          <w:kern w:val="0"/>
          <w:sz w:val="24"/>
          <w:szCs w:val="22"/>
          <w14:textFill>
            <w14:solidFill>
              <w14:schemeClr w14:val="tx1"/>
            </w14:solidFill>
          </w14:textFill>
        </w:rPr>
        <w:t>产生的淋沥废水经导流沟收集后，排入沉淀池沉淀后循环利用，用于洒水降尘，不外排</w:t>
      </w:r>
      <w:r>
        <w:rPr>
          <w:rFonts w:hint="eastAsia"/>
          <w:color w:val="000000" w:themeColor="text1"/>
          <w:kern w:val="0"/>
          <w:sz w:val="24"/>
          <w:szCs w:val="22"/>
          <w14:textFill>
            <w14:solidFill>
              <w14:schemeClr w14:val="tx1"/>
            </w14:solidFill>
          </w14:textFill>
        </w:rPr>
        <w:t>，</w:t>
      </w:r>
      <w:r>
        <w:rPr>
          <w:color w:val="000000" w:themeColor="text1"/>
          <w:kern w:val="0"/>
          <w:sz w:val="24"/>
          <w:szCs w:val="22"/>
          <w14:textFill>
            <w14:solidFill>
              <w14:schemeClr w14:val="tx1"/>
            </w14:solidFill>
          </w14:textFill>
        </w:rPr>
        <w:t>对周围</w:t>
      </w:r>
      <w:r>
        <w:rPr>
          <w:rFonts w:hint="eastAsia"/>
          <w:color w:val="000000" w:themeColor="text1"/>
          <w:kern w:val="0"/>
          <w:sz w:val="24"/>
          <w:szCs w:val="22"/>
          <w14:textFill>
            <w14:solidFill>
              <w14:schemeClr w14:val="tx1"/>
            </w14:solidFill>
          </w14:textFill>
        </w:rPr>
        <w:t>地表水不会造成影响</w:t>
      </w:r>
      <w:r>
        <w:rPr>
          <w:color w:val="000000" w:themeColor="text1"/>
          <w:kern w:val="0"/>
          <w:sz w:val="24"/>
          <w:szCs w:val="22"/>
          <w14:textFill>
            <w14:solidFill>
              <w14:schemeClr w14:val="tx1"/>
            </w14:solidFill>
          </w14:textFill>
        </w:rPr>
        <w:t>。</w:t>
      </w:r>
    </w:p>
    <w:p>
      <w:pPr>
        <w:snapToGrid w:val="0"/>
        <w:spacing w:line="360" w:lineRule="auto"/>
        <w:ind w:firstLine="482" w:firstLineChars="200"/>
        <w:rPr>
          <w:rFonts w:cs="宋体"/>
          <w:b/>
          <w:bCs/>
          <w:color w:val="000000" w:themeColor="text1"/>
          <w:sz w:val="24"/>
          <w14:textFill>
            <w14:solidFill>
              <w14:schemeClr w14:val="tx1"/>
            </w14:solidFill>
          </w14:textFill>
        </w:rPr>
      </w:pPr>
      <w:r>
        <w:rPr>
          <w:rFonts w:hint="eastAsia" w:cs="宋体"/>
          <w:b/>
          <w:bCs/>
          <w:color w:val="000000" w:themeColor="text1"/>
          <w:sz w:val="24"/>
          <w14:textFill>
            <w14:solidFill>
              <w14:schemeClr w14:val="tx1"/>
            </w14:solidFill>
          </w14:textFill>
        </w:rPr>
        <w:t>5、生活污水</w:t>
      </w:r>
    </w:p>
    <w:p>
      <w:pPr>
        <w:autoSpaceDE/>
        <w:autoSpaceDN/>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生活污水主要来源于食堂、厕所等施工期生活设施，生活污水中的污染物有人体排泄物、食物残渣等有机污染物、氯化物、磷酸盐、阴离子洗涤剂以及大量细菌病毒等。生活污水如果不经过严格处理排放，不仅将污染周围的地表水、地下水，还将滋生蚊蝇、传播细菌，威胁施工人群健康，破坏生态和生活环境。</w:t>
      </w:r>
    </w:p>
    <w:p>
      <w:pPr>
        <w:snapToGrid w:val="0"/>
        <w:spacing w:line="360" w:lineRule="auto"/>
        <w:ind w:firstLine="480" w:firstLineChars="200"/>
        <w:rPr>
          <w:rFonts w:cs="宋体"/>
          <w:color w:val="000000" w:themeColor="text1"/>
          <w:sz w:val="24"/>
          <w14:textFill>
            <w14:solidFill>
              <w14:schemeClr w14:val="tx1"/>
            </w14:solidFill>
          </w14:textFill>
        </w:rPr>
      </w:pPr>
      <w:r>
        <w:rPr>
          <w:rFonts w:hint="eastAsia" w:cs="宋体"/>
          <w:color w:val="000000" w:themeColor="text1"/>
          <w:sz w:val="24"/>
          <w14:textFill>
            <w14:solidFill>
              <w14:schemeClr w14:val="tx1"/>
            </w14:solidFill>
          </w14:textFill>
        </w:rPr>
        <w:t>本项目不设施工营地，生活污水主要来自施工人员，污染物主要有SS、COD、BOD</w:t>
      </w:r>
      <w:r>
        <w:rPr>
          <w:rFonts w:hint="eastAsia" w:cs="宋体"/>
          <w:color w:val="000000" w:themeColor="text1"/>
          <w:sz w:val="24"/>
          <w:vertAlign w:val="subscript"/>
          <w14:textFill>
            <w14:solidFill>
              <w14:schemeClr w14:val="tx1"/>
            </w14:solidFill>
          </w14:textFill>
        </w:rPr>
        <w:t>5</w:t>
      </w:r>
      <w:r>
        <w:rPr>
          <w:rFonts w:hint="eastAsia" w:cs="宋体"/>
          <w:color w:val="000000" w:themeColor="text1"/>
          <w:sz w:val="24"/>
          <w14:textFill>
            <w14:solidFill>
              <w14:schemeClr w14:val="tx1"/>
            </w14:solidFill>
          </w14:textFill>
        </w:rPr>
        <w:t>、NH</w:t>
      </w:r>
      <w:r>
        <w:rPr>
          <w:rFonts w:hint="eastAsia" w:cs="宋体"/>
          <w:color w:val="000000" w:themeColor="text1"/>
          <w:sz w:val="24"/>
          <w:vertAlign w:val="subscript"/>
          <w14:textFill>
            <w14:solidFill>
              <w14:schemeClr w14:val="tx1"/>
            </w14:solidFill>
          </w14:textFill>
        </w:rPr>
        <w:t>3</w:t>
      </w:r>
      <w:r>
        <w:rPr>
          <w:rFonts w:hint="eastAsia" w:cs="宋体"/>
          <w:color w:val="000000" w:themeColor="text1"/>
          <w:sz w:val="24"/>
          <w14:textFill>
            <w14:solidFill>
              <w14:schemeClr w14:val="tx1"/>
            </w14:solidFill>
          </w14:textFill>
        </w:rPr>
        <w:t>-N等，本项目施工人员约40人，取生活用水标准为0.1m</w:t>
      </w:r>
      <w:r>
        <w:rPr>
          <w:rFonts w:hint="eastAsia" w:cs="宋体"/>
          <w:color w:val="000000" w:themeColor="text1"/>
          <w:sz w:val="24"/>
          <w:vertAlign w:val="superscript"/>
          <w14:textFill>
            <w14:solidFill>
              <w14:schemeClr w14:val="tx1"/>
            </w14:solidFill>
          </w14:textFill>
        </w:rPr>
        <w:t>3</w:t>
      </w:r>
      <w:r>
        <w:rPr>
          <w:rFonts w:hint="eastAsia" w:cs="宋体"/>
          <w:color w:val="000000" w:themeColor="text1"/>
          <w:sz w:val="24"/>
          <w14:textFill>
            <w14:solidFill>
              <w14:schemeClr w14:val="tx1"/>
            </w14:solidFill>
          </w14:textFill>
        </w:rPr>
        <w:t>/（人</w:t>
      </w:r>
      <w:r>
        <w:rPr>
          <w:color w:val="000000" w:themeColor="text1"/>
          <w:sz w:val="24"/>
          <w14:textFill>
            <w14:solidFill>
              <w14:schemeClr w14:val="tx1"/>
            </w14:solidFill>
          </w14:textFill>
        </w:rPr>
        <w:t>·</w:t>
      </w:r>
      <w:r>
        <w:rPr>
          <w:rFonts w:hint="eastAsia" w:cs="宋体"/>
          <w:color w:val="000000" w:themeColor="text1"/>
          <w:sz w:val="24"/>
          <w14:textFill>
            <w14:solidFill>
              <w14:schemeClr w14:val="tx1"/>
            </w14:solidFill>
          </w14:textFill>
        </w:rPr>
        <w:t>天），则每天将排放4m</w:t>
      </w:r>
      <w:r>
        <w:rPr>
          <w:rFonts w:hint="eastAsia" w:cs="宋体"/>
          <w:color w:val="000000" w:themeColor="text1"/>
          <w:sz w:val="24"/>
          <w:vertAlign w:val="superscript"/>
          <w14:textFill>
            <w14:solidFill>
              <w14:schemeClr w14:val="tx1"/>
            </w14:solidFill>
          </w14:textFill>
        </w:rPr>
        <w:t>3</w:t>
      </w:r>
      <w:r>
        <w:rPr>
          <w:rFonts w:hint="eastAsia" w:cs="宋体"/>
          <w:color w:val="000000" w:themeColor="text1"/>
          <w:sz w:val="24"/>
          <w14:textFill>
            <w14:solidFill>
              <w14:schemeClr w14:val="tx1"/>
            </w14:solidFill>
          </w14:textFill>
        </w:rPr>
        <w:t>生活污水，本项目租用沿线民房作为施工营地，生活污水进入民房现有的生活</w:t>
      </w:r>
      <w:r>
        <w:rPr>
          <w:rFonts w:hint="eastAsia" w:cs="宋体"/>
          <w:color w:val="000000" w:themeColor="text1"/>
          <w:sz w:val="24"/>
          <w:lang w:val="en-US" w:eastAsia="zh-CN"/>
          <w14:textFill>
            <w14:solidFill>
              <w14:schemeClr w14:val="tx1"/>
            </w14:solidFill>
          </w14:textFill>
        </w:rPr>
        <w:t>污水处理</w:t>
      </w:r>
      <w:r>
        <w:rPr>
          <w:rFonts w:hint="eastAsia" w:cs="宋体"/>
          <w:color w:val="000000" w:themeColor="text1"/>
          <w:sz w:val="24"/>
          <w14:textFill>
            <w14:solidFill>
              <w14:schemeClr w14:val="tx1"/>
            </w14:solidFill>
          </w14:textFill>
        </w:rPr>
        <w:t>设施，最终进入市政污水管网，经污水处理厂处理后外排，不会进入周边地表水，对周围地表水环境不会造成影响。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73" w:name="_Toc583"/>
      <w:r>
        <w:rPr>
          <w:rFonts w:eastAsia="黑体"/>
          <w:b/>
          <w:color w:val="000000" w:themeColor="text1"/>
          <w:kern w:val="0"/>
          <w:sz w:val="28"/>
          <w:szCs w:val="24"/>
          <w14:textFill>
            <w14:solidFill>
              <w14:schemeClr w14:val="tx1"/>
            </w14:solidFill>
          </w14:textFill>
        </w:rPr>
        <w:t>4.</w:t>
      </w:r>
      <w:r>
        <w:rPr>
          <w:rFonts w:hint="eastAsia" w:eastAsia="黑体"/>
          <w:b/>
          <w:color w:val="000000" w:themeColor="text1"/>
          <w:kern w:val="0"/>
          <w:sz w:val="28"/>
          <w:szCs w:val="24"/>
          <w14:textFill>
            <w14:solidFill>
              <w14:schemeClr w14:val="tx1"/>
            </w14:solidFill>
          </w14:textFill>
        </w:rPr>
        <w:t>2</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2工程扰动对渠道水质的</w:t>
      </w:r>
      <w:r>
        <w:rPr>
          <w:rFonts w:eastAsia="黑体"/>
          <w:b/>
          <w:color w:val="000000" w:themeColor="text1"/>
          <w:kern w:val="0"/>
          <w:sz w:val="28"/>
          <w:szCs w:val="24"/>
          <w14:textFill>
            <w14:solidFill>
              <w14:schemeClr w14:val="tx1"/>
            </w14:solidFill>
          </w14:textFill>
        </w:rPr>
        <w:t>影响</w:t>
      </w:r>
      <w:bookmarkEnd w:id="473"/>
    </w:p>
    <w:p>
      <w:pPr>
        <w:pStyle w:val="14"/>
        <w:adjustRightInd w:val="0"/>
        <w:snapToGrid w:val="0"/>
        <w:spacing w:line="360" w:lineRule="auto"/>
        <w:ind w:firstLine="480" w:firstLineChars="200"/>
        <w:rPr>
          <w:color w:val="000000" w:themeColor="text1"/>
          <w14:textFill>
            <w14:solidFill>
              <w14:schemeClr w14:val="tx1"/>
            </w14:solidFill>
          </w14:textFill>
        </w:rPr>
      </w:pPr>
      <w:r>
        <w:rPr>
          <w:rFonts w:hint="eastAsia" w:cs="宋体"/>
          <w:color w:val="000000" w:themeColor="text1"/>
          <w:szCs w:val="21"/>
          <w14:textFill>
            <w14:solidFill>
              <w14:schemeClr w14:val="tx1"/>
            </w14:solidFill>
          </w14:textFill>
        </w:rPr>
        <w:t>根据施工组织设计，项目选择在</w:t>
      </w:r>
      <w:r>
        <w:rPr>
          <w:rFonts w:cs="宋体"/>
          <w:color w:val="000000" w:themeColor="text1"/>
          <w:szCs w:val="21"/>
          <w14:textFill>
            <w14:solidFill>
              <w14:schemeClr w14:val="tx1"/>
            </w14:solidFill>
          </w14:textFill>
        </w:rPr>
        <w:t>非汛期</w:t>
      </w:r>
      <w:r>
        <w:rPr>
          <w:rFonts w:hint="eastAsia" w:cs="宋体"/>
          <w:color w:val="000000" w:themeColor="text1"/>
          <w:szCs w:val="21"/>
          <w14:textFill>
            <w14:solidFill>
              <w14:schemeClr w14:val="tx1"/>
            </w14:solidFill>
          </w14:textFill>
        </w:rPr>
        <w:t>非灌溉期进行施工，灌排工程工程施工期间不再从上游引水，对渠道临时积水采用水泵抽排方式以实现干地施工；</w:t>
      </w:r>
      <w:r>
        <w:rPr>
          <w:rFonts w:cs="宋体"/>
          <w:color w:val="000000" w:themeColor="text1"/>
          <w:szCs w:val="21"/>
          <w14:textFill>
            <w14:solidFill>
              <w14:schemeClr w14:val="tx1"/>
            </w14:solidFill>
          </w14:textFill>
        </w:rPr>
        <w:t>渠系建筑物工程对所在渠道水位较高的渠系建筑物上下游填筑围堰，利用水泵定期抽排基坑积水、渗水的方式实现干地施工</w:t>
      </w:r>
      <w:r>
        <w:rPr>
          <w:rFonts w:hint="eastAsia" w:cs="宋体"/>
          <w:color w:val="000000" w:themeColor="text1"/>
          <w:szCs w:val="21"/>
          <w14:textFill>
            <w14:solidFill>
              <w14:schemeClr w14:val="tx1"/>
            </w14:solidFill>
          </w14:textFill>
        </w:rPr>
        <w:t>。因此，项目</w:t>
      </w:r>
      <w:r>
        <w:rPr>
          <w:rFonts w:hint="eastAsia" w:ascii="宋体" w:hAnsi="宋体" w:cs="宋体"/>
          <w:color w:val="000000" w:themeColor="text1"/>
          <w:kern w:val="0"/>
          <w:lang w:bidi="ar"/>
          <w14:textFill>
            <w14:solidFill>
              <w14:schemeClr w14:val="tx1"/>
            </w14:solidFill>
          </w14:textFill>
        </w:rPr>
        <w:t>施工期对渠道水质基本无</w:t>
      </w:r>
      <w:r>
        <w:rPr>
          <w:rFonts w:hint="eastAsia" w:cs="宋体"/>
          <w:color w:val="000000" w:themeColor="text1"/>
          <w:szCs w:val="21"/>
          <w14:textFill>
            <w14:solidFill>
              <w14:schemeClr w14:val="tx1"/>
            </w14:solidFill>
          </w14:textFill>
        </w:rPr>
        <w:t>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74" w:name="_Toc12056"/>
      <w:r>
        <w:rPr>
          <w:rFonts w:eastAsia="黑体"/>
          <w:b/>
          <w:color w:val="000000" w:themeColor="text1"/>
          <w:kern w:val="0"/>
          <w:sz w:val="28"/>
          <w:szCs w:val="24"/>
          <w14:textFill>
            <w14:solidFill>
              <w14:schemeClr w14:val="tx1"/>
            </w14:solidFill>
          </w14:textFill>
        </w:rPr>
        <w:t>4.</w:t>
      </w:r>
      <w:r>
        <w:rPr>
          <w:rFonts w:hint="eastAsia" w:eastAsia="黑体"/>
          <w:b/>
          <w:color w:val="000000" w:themeColor="text1"/>
          <w:kern w:val="0"/>
          <w:sz w:val="28"/>
          <w:szCs w:val="24"/>
          <w14:textFill>
            <w14:solidFill>
              <w14:schemeClr w14:val="tx1"/>
            </w14:solidFill>
          </w14:textFill>
        </w:rPr>
        <w:t>2</w:t>
      </w:r>
      <w:r>
        <w:rPr>
          <w:rFonts w:eastAsia="黑体"/>
          <w:b/>
          <w:color w:val="000000" w:themeColor="text1"/>
          <w:kern w:val="0"/>
          <w:sz w:val="28"/>
          <w:szCs w:val="24"/>
          <w14:textFill>
            <w14:solidFill>
              <w14:schemeClr w14:val="tx1"/>
            </w14:solidFill>
          </w14:textFill>
        </w:rPr>
        <w:t>.</w:t>
      </w:r>
      <w:r>
        <w:rPr>
          <w:rFonts w:hint="eastAsia" w:eastAsia="黑体"/>
          <w:b/>
          <w:color w:val="000000" w:themeColor="text1"/>
          <w:kern w:val="0"/>
          <w:sz w:val="28"/>
          <w:szCs w:val="24"/>
          <w14:textFill>
            <w14:solidFill>
              <w14:schemeClr w14:val="tx1"/>
            </w14:solidFill>
          </w14:textFill>
        </w:rPr>
        <w:t>3对地下水的</w:t>
      </w:r>
      <w:r>
        <w:rPr>
          <w:rFonts w:eastAsia="黑体"/>
          <w:b/>
          <w:color w:val="000000" w:themeColor="text1"/>
          <w:kern w:val="0"/>
          <w:sz w:val="28"/>
          <w:szCs w:val="24"/>
          <w14:textFill>
            <w14:solidFill>
              <w14:schemeClr w14:val="tx1"/>
            </w14:solidFill>
          </w14:textFill>
        </w:rPr>
        <w:t>影响</w:t>
      </w:r>
      <w:bookmarkEnd w:id="474"/>
    </w:p>
    <w:p>
      <w:pPr>
        <w:snapToGrid w:val="0"/>
        <w:spacing w:line="360" w:lineRule="auto"/>
        <w:ind w:firstLine="480" w:firstLineChars="200"/>
        <w:rPr>
          <w:rFonts w:cs="宋体"/>
          <w:color w:val="000000" w:themeColor="text1"/>
          <w:sz w:val="24"/>
          <w14:textFill>
            <w14:solidFill>
              <w14:schemeClr w14:val="tx1"/>
            </w14:solidFill>
          </w14:textFill>
        </w:rPr>
      </w:pPr>
      <w:r>
        <w:rPr>
          <w:rFonts w:cs="宋体"/>
          <w:color w:val="000000" w:themeColor="text1"/>
          <w:sz w:val="24"/>
          <w14:textFill>
            <w14:solidFill>
              <w14:schemeClr w14:val="tx1"/>
            </w14:solidFill>
          </w14:textFill>
        </w:rPr>
        <w:t>本工程施工期间可能对地下水水质和水位造成一定的不利影响，可能对地下水造成不利影响的施工工序主要为浅层地表开挖</w:t>
      </w:r>
      <w:r>
        <w:rPr>
          <w:rFonts w:hint="eastAsia" w:cs="宋体"/>
          <w:color w:val="000000" w:themeColor="text1"/>
          <w:sz w:val="24"/>
          <w14:textFill>
            <w14:solidFill>
              <w14:schemeClr w14:val="tx1"/>
            </w14:solidFill>
          </w14:textFill>
        </w:rPr>
        <w:t>以及</w:t>
      </w:r>
      <w:r>
        <w:rPr>
          <w:rFonts w:cs="宋体"/>
          <w:color w:val="000000" w:themeColor="text1"/>
          <w:sz w:val="24"/>
          <w14:textFill>
            <w14:solidFill>
              <w14:schemeClr w14:val="tx1"/>
            </w14:solidFill>
          </w14:textFill>
        </w:rPr>
        <w:t>废水、固体废弃物等</w:t>
      </w:r>
      <w:r>
        <w:rPr>
          <w:rFonts w:hint="eastAsia" w:cs="宋体"/>
          <w:color w:val="000000" w:themeColor="text1"/>
          <w:sz w:val="24"/>
          <w14:textFill>
            <w14:solidFill>
              <w14:schemeClr w14:val="tx1"/>
            </w14:solidFill>
          </w14:textFill>
        </w:rPr>
        <w:t>泄露</w:t>
      </w:r>
      <w:r>
        <w:rPr>
          <w:rFonts w:cs="宋体"/>
          <w:color w:val="000000" w:themeColor="text1"/>
          <w:sz w:val="24"/>
          <w14:textFill>
            <w14:solidFill>
              <w14:schemeClr w14:val="tx1"/>
            </w14:solidFill>
          </w14:textFill>
        </w:rPr>
        <w:t>。根据工程地质调查的情况，本区域地下水位埋深较浅，施工期局部挖方段周边地下水水位会有所下降</w:t>
      </w:r>
      <w:r>
        <w:rPr>
          <w:rFonts w:hint="eastAsia" w:cs="宋体"/>
          <w:color w:val="000000" w:themeColor="text1"/>
          <w:sz w:val="24"/>
          <w14:textFill>
            <w14:solidFill>
              <w14:schemeClr w14:val="tx1"/>
            </w14:solidFill>
          </w14:textFill>
        </w:rPr>
        <w:t>；</w:t>
      </w:r>
      <w:r>
        <w:rPr>
          <w:rFonts w:cs="宋体"/>
          <w:color w:val="000000" w:themeColor="text1"/>
          <w:sz w:val="24"/>
          <w14:textFill>
            <w14:solidFill>
              <w14:schemeClr w14:val="tx1"/>
            </w14:solidFill>
          </w14:textFill>
        </w:rPr>
        <w:t>开挖对土壤造成扰动，泥土进入水体也会对水质带来悬浮物增加的短暂影响，但根据区域地下水相关资料及水文地质条件，本区域地下水主要接受大气降水和侧向补给，由于本工程为线型工程</w:t>
      </w:r>
      <w:r>
        <w:rPr>
          <w:rFonts w:hint="eastAsia" w:cs="宋体"/>
          <w:color w:val="000000" w:themeColor="text1"/>
          <w:sz w:val="24"/>
          <w14:textFill>
            <w14:solidFill>
              <w14:schemeClr w14:val="tx1"/>
            </w14:solidFill>
          </w14:textFill>
        </w:rPr>
        <w:t>，</w:t>
      </w:r>
      <w:r>
        <w:rPr>
          <w:rFonts w:cs="宋体"/>
          <w:color w:val="000000" w:themeColor="text1"/>
          <w:sz w:val="24"/>
          <w14:textFill>
            <w14:solidFill>
              <w14:schemeClr w14:val="tx1"/>
            </w14:solidFill>
          </w14:textFill>
        </w:rPr>
        <w:t>开挖破坏范围有限，施工时限短，且工程区分布有大量农田，陆域浅层地表开挖造成沿线地下水漏失的可能性不大。</w:t>
      </w:r>
    </w:p>
    <w:p>
      <w:pPr>
        <w:snapToGrid w:val="0"/>
        <w:spacing w:line="360" w:lineRule="auto"/>
        <w:ind w:firstLine="480" w:firstLineChars="200"/>
        <w:rPr>
          <w:rFonts w:cs="宋体"/>
          <w:color w:val="000000" w:themeColor="text1"/>
          <w:sz w:val="24"/>
          <w14:textFill>
            <w14:solidFill>
              <w14:schemeClr w14:val="tx1"/>
            </w14:solidFill>
          </w14:textFill>
        </w:rPr>
      </w:pPr>
      <w:r>
        <w:rPr>
          <w:rFonts w:cs="宋体"/>
          <w:color w:val="000000" w:themeColor="text1"/>
          <w:sz w:val="24"/>
          <w14:textFill>
            <w14:solidFill>
              <w14:schemeClr w14:val="tx1"/>
            </w14:solidFill>
          </w14:textFill>
        </w:rPr>
        <w:t>施工场地产生的废水、固体废弃物及机械车辆运行过程中产生的废油若不及时收集，妥善处理，可能会对地表土壤造成污染，进而污染浅层地下水水质。</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75" w:name="_Toc21466"/>
      <w:bookmarkStart w:id="476" w:name="_Toc70496305"/>
      <w:r>
        <w:rPr>
          <w:rFonts w:eastAsia="黑体"/>
          <w:b/>
          <w:bCs/>
          <w:color w:val="000000" w:themeColor="text1"/>
          <w:kern w:val="0"/>
          <w:sz w:val="32"/>
          <w:szCs w:val="32"/>
          <w14:textFill>
            <w14:solidFill>
              <w14:schemeClr w14:val="tx1"/>
            </w14:solidFill>
          </w14:textFill>
        </w:rPr>
        <w:t>4.3营运期水环境影响预测与评价</w:t>
      </w:r>
      <w:bookmarkEnd w:id="475"/>
      <w:bookmarkEnd w:id="476"/>
    </w:p>
    <w:p>
      <w:pPr>
        <w:autoSpaceDE/>
        <w:autoSpaceDN/>
        <w:spacing w:line="360" w:lineRule="auto"/>
        <w:ind w:firstLine="482" w:firstLineChars="200"/>
        <w:jc w:val="both"/>
        <w:textAlignment w:val="baseline"/>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1、生活污水</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工程运营期工程本身不产生污染物，不产生生活污水，故运行期管理人员生活污水不会对地表水体和土壤等造成不利影响。</w:t>
      </w:r>
    </w:p>
    <w:p>
      <w:pPr>
        <w:autoSpaceDE/>
        <w:autoSpaceDN/>
        <w:spacing w:line="360" w:lineRule="auto"/>
        <w:ind w:firstLine="482" w:firstLineChars="200"/>
        <w:jc w:val="both"/>
        <w:textAlignment w:val="baseline"/>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2、渠系地表水</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本工程实施后，渠道清淤和渠道整治总体将对渠系内水环境带来一定的有利影响。因此，本次渠道整治后，对渠道内水体的水环境质量影响以有利为主，主要体现在以下两个方面：</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w:t>
      </w:r>
      <w:r>
        <w:rPr>
          <w:rFonts w:cs="宋体"/>
          <w:color w:val="000000" w:themeColor="text1"/>
          <w:szCs w:val="21"/>
          <w14:textFill>
            <w14:solidFill>
              <w14:schemeClr w14:val="tx1"/>
            </w14:solidFill>
          </w14:textFill>
        </w:rPr>
        <w:t>1</w:t>
      </w:r>
      <w:r>
        <w:rPr>
          <w:rFonts w:hint="eastAsia" w:cs="宋体"/>
          <w:color w:val="000000" w:themeColor="text1"/>
          <w:szCs w:val="21"/>
          <w14:textFill>
            <w14:solidFill>
              <w14:schemeClr w14:val="tx1"/>
            </w14:solidFill>
          </w14:textFill>
        </w:rPr>
        <w:t>）渠道清淤对水环境的影响分析</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本次工程对渠道清淤疏浚后，可进一步提高渠道的过水能力。同时，根据同类疏浚工程经验可得，渠道清淤清除了表层底泥，减少了内源污染物，有利于抑制渠道内源污染物释放，对渠道内水环境改善有积极意义。</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w:t>
      </w:r>
      <w:r>
        <w:rPr>
          <w:rFonts w:cs="宋体"/>
          <w:color w:val="000000" w:themeColor="text1"/>
          <w:szCs w:val="21"/>
          <w14:textFill>
            <w14:solidFill>
              <w14:schemeClr w14:val="tx1"/>
            </w14:solidFill>
          </w14:textFill>
        </w:rPr>
        <w:t>2</w:t>
      </w:r>
      <w:r>
        <w:rPr>
          <w:rFonts w:hint="eastAsia" w:cs="宋体"/>
          <w:color w:val="000000" w:themeColor="text1"/>
          <w:szCs w:val="21"/>
          <w14:textFill>
            <w14:solidFill>
              <w14:schemeClr w14:val="tx1"/>
            </w14:solidFill>
          </w14:textFill>
        </w:rPr>
        <w:t>）渠道整治对水环境影响分析</w:t>
      </w:r>
    </w:p>
    <w:p>
      <w:pPr>
        <w:pStyle w:val="14"/>
        <w:spacing w:line="360" w:lineRule="auto"/>
        <w:ind w:firstLine="480" w:firstLineChars="200"/>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本次工程是在现有渠道的基础上进行整治，对现有破损渠道进行拆除重建，在一定程度上可以清除了渠道内现状存在的垃圾、杂物，减少了面源污染量；对现有土渠进行采取</w:t>
      </w:r>
      <w:r>
        <w:rPr>
          <w:color w:val="000000" w:themeColor="text1"/>
          <w14:textFill>
            <w14:solidFill>
              <w14:schemeClr w14:val="tx1"/>
            </w14:solidFill>
          </w14:textFill>
        </w:rPr>
        <w:t>现浇钢筋混凝土矩形渠</w:t>
      </w:r>
      <w:r>
        <w:rPr>
          <w:rFonts w:hint="eastAsia" w:cs="宋体"/>
          <w:color w:val="000000" w:themeColor="text1"/>
          <w:szCs w:val="21"/>
          <w14:textFill>
            <w14:solidFill>
              <w14:schemeClr w14:val="tx1"/>
            </w14:solidFill>
          </w14:textFill>
        </w:rPr>
        <w:t>改造后可进一步提高渠系面板抗冲、抗风蚀及抗渗能力，进而有效减缓汛期水土流失导致的水质降低问题。</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77" w:name="_Toc23712"/>
      <w:bookmarkStart w:id="478" w:name="_Toc16032"/>
      <w:bookmarkStart w:id="479" w:name="_Toc70496306"/>
      <w:r>
        <w:rPr>
          <w:rFonts w:eastAsia="黑体"/>
          <w:b/>
          <w:bCs/>
          <w:color w:val="000000" w:themeColor="text1"/>
          <w:kern w:val="0"/>
          <w:sz w:val="32"/>
          <w:szCs w:val="32"/>
          <w14:textFill>
            <w14:solidFill>
              <w14:schemeClr w14:val="tx1"/>
            </w14:solidFill>
          </w14:textFill>
        </w:rPr>
        <w:t>4.</w:t>
      </w:r>
      <w:bookmarkEnd w:id="477"/>
      <w:r>
        <w:rPr>
          <w:rFonts w:eastAsia="黑体"/>
          <w:b/>
          <w:bCs/>
          <w:color w:val="000000" w:themeColor="text1"/>
          <w:kern w:val="0"/>
          <w:sz w:val="32"/>
          <w:szCs w:val="32"/>
          <w14:textFill>
            <w14:solidFill>
              <w14:schemeClr w14:val="tx1"/>
            </w14:solidFill>
          </w14:textFill>
        </w:rPr>
        <w:t>4施工期大气环境影响分析</w:t>
      </w:r>
      <w:bookmarkEnd w:id="478"/>
      <w:bookmarkEnd w:id="479"/>
    </w:p>
    <w:p>
      <w:pPr>
        <w:autoSpaceDE/>
        <w:autoSpaceDN/>
        <w:spacing w:line="360" w:lineRule="auto"/>
        <w:ind w:firstLine="482" w:firstLineChars="200"/>
        <w:jc w:val="both"/>
        <w:rPr>
          <w:b/>
          <w:bCs/>
          <w:color w:val="000000" w:themeColor="text1"/>
          <w:kern w:val="0"/>
          <w:sz w:val="24"/>
          <w:szCs w:val="20"/>
          <w14:textFill>
            <w14:solidFill>
              <w14:schemeClr w14:val="tx1"/>
            </w14:solidFill>
          </w14:textFill>
        </w:rPr>
      </w:pPr>
      <w:r>
        <w:rPr>
          <w:b/>
          <w:bCs/>
          <w:color w:val="000000" w:themeColor="text1"/>
          <w:kern w:val="0"/>
          <w:sz w:val="24"/>
          <w:szCs w:val="20"/>
          <w14:textFill>
            <w14:solidFill>
              <w14:schemeClr w14:val="tx1"/>
            </w14:solidFill>
          </w14:textFill>
        </w:rPr>
        <w:t>1、施工扬尘对环境的影响分析</w:t>
      </w:r>
    </w:p>
    <w:p>
      <w:pPr>
        <w:autoSpaceDE/>
        <w:autoSpaceDN/>
        <w:spacing w:line="360" w:lineRule="auto"/>
        <w:ind w:firstLine="480" w:firstLineChars="200"/>
        <w:jc w:val="both"/>
        <w:textAlignment w:val="baseline"/>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施工扬尘的另一个主要来源是露天堆场和裸露场地的风力扬尘。由于施工需要，些建筑材料需要露天堆放，一些施工作业点的表层土壤在经过人工开挖后，临时堆放露天，在气候干燥且有风的情况下，会产生扬尘，扬尘量可按堆场扬尘的经验公式计算：</w:t>
      </w:r>
    </w:p>
    <w:p>
      <w:pPr>
        <w:autoSpaceDE/>
        <w:autoSpaceDN/>
        <w:spacing w:line="360" w:lineRule="auto"/>
        <w:ind w:firstLine="442"/>
        <w:jc w:val="center"/>
        <w:rPr>
          <w:rFonts w:eastAsia="Times New Roman"/>
          <w:color w:val="000000" w:themeColor="text1"/>
          <w:kern w:val="0"/>
          <w:sz w:val="20"/>
          <w:szCs w:val="20"/>
          <w:lang w:eastAsia="en-US"/>
          <w14:textFill>
            <w14:solidFill>
              <w14:schemeClr w14:val="tx1"/>
            </w14:solidFill>
          </w14:textFill>
        </w:rPr>
      </w:pPr>
      <w:r>
        <w:rPr>
          <w:color w:val="000000" w:themeColor="text1"/>
          <w:kern w:val="0"/>
          <w:sz w:val="22"/>
          <w:szCs w:val="22"/>
          <w14:textFill>
            <w14:solidFill>
              <w14:schemeClr w14:val="tx1"/>
            </w14:solidFill>
          </w14:textFill>
        </w:rPr>
        <w:drawing>
          <wp:inline distT="0" distB="0" distL="0" distR="0">
            <wp:extent cx="1562100" cy="314325"/>
            <wp:effectExtent l="0" t="0" r="0" b="9525"/>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562100" cy="314325"/>
                    </a:xfrm>
                    <a:prstGeom prst="rect">
                      <a:avLst/>
                    </a:prstGeom>
                    <a:noFill/>
                    <a:ln>
                      <a:noFill/>
                    </a:ln>
                  </pic:spPr>
                </pic:pic>
              </a:graphicData>
            </a:graphic>
          </wp:inline>
        </w:drawing>
      </w:r>
    </w:p>
    <w:p>
      <w:pPr>
        <w:autoSpaceDE/>
        <w:autoSpaceDN/>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式中：</w:t>
      </w:r>
      <w:r>
        <w:rPr>
          <w:rFonts w:eastAsia="Times New Roman"/>
          <w:color w:val="000000" w:themeColor="text1"/>
          <w:kern w:val="0"/>
          <w:sz w:val="24"/>
          <w:szCs w:val="24"/>
          <w14:textFill>
            <w14:solidFill>
              <w14:schemeClr w14:val="tx1"/>
            </w14:solidFill>
          </w14:textFill>
        </w:rPr>
        <w:t>Q-</w:t>
      </w:r>
      <w:r>
        <w:rPr>
          <w:color w:val="000000" w:themeColor="text1"/>
          <w:kern w:val="0"/>
          <w:sz w:val="24"/>
          <w:szCs w:val="24"/>
          <w14:textFill>
            <w14:solidFill>
              <w14:schemeClr w14:val="tx1"/>
            </w14:solidFill>
          </w14:textFill>
        </w:rPr>
        <w:t>起尘量，</w:t>
      </w:r>
      <w:r>
        <w:rPr>
          <w:rFonts w:eastAsia="Times New Roman"/>
          <w:color w:val="000000" w:themeColor="text1"/>
          <w:kern w:val="0"/>
          <w:sz w:val="24"/>
          <w:szCs w:val="24"/>
          <w14:textFill>
            <w14:solidFill>
              <w14:schemeClr w14:val="tx1"/>
            </w14:solidFill>
          </w14:textFill>
        </w:rPr>
        <w:t>kg</w:t>
      </w:r>
      <w:r>
        <w:rPr>
          <w:color w:val="000000" w:themeColor="text1"/>
          <w:kern w:val="0"/>
          <w:sz w:val="24"/>
          <w:szCs w:val="24"/>
          <w14:textFill>
            <w14:solidFill>
              <w14:schemeClr w14:val="tx1"/>
            </w14:solidFill>
          </w14:textFill>
        </w:rPr>
        <w:t>年。</w:t>
      </w:r>
    </w:p>
    <w:p>
      <w:pPr>
        <w:autoSpaceDE/>
        <w:autoSpaceDN/>
        <w:spacing w:line="360" w:lineRule="auto"/>
        <w:ind w:firstLine="1200" w:firstLineChars="500"/>
        <w:rPr>
          <w:color w:val="000000" w:themeColor="text1"/>
          <w:kern w:val="0"/>
          <w:sz w:val="24"/>
          <w:szCs w:val="24"/>
          <w14:textFill>
            <w14:solidFill>
              <w14:schemeClr w14:val="tx1"/>
            </w14:solidFill>
          </w14:textFill>
        </w:rPr>
      </w:pPr>
      <w:r>
        <w:rPr>
          <w:rFonts w:eastAsia="Times New Roman"/>
          <w:color w:val="000000" w:themeColor="text1"/>
          <w:kern w:val="0"/>
          <w:sz w:val="24"/>
          <w:szCs w:val="24"/>
          <w14:textFill>
            <w14:solidFill>
              <w14:schemeClr w14:val="tx1"/>
            </w14:solidFill>
          </w14:textFill>
        </w:rPr>
        <w:t>V-</w:t>
      </w:r>
      <w:r>
        <w:rPr>
          <w:color w:val="000000" w:themeColor="text1"/>
          <w:kern w:val="0"/>
          <w:sz w:val="24"/>
          <w:szCs w:val="24"/>
          <w14:textFill>
            <w14:solidFill>
              <w14:schemeClr w14:val="tx1"/>
            </w14:solidFill>
          </w14:textFill>
        </w:rPr>
        <w:t>分别为距地面</w:t>
      </w:r>
      <w:r>
        <w:rPr>
          <w:rFonts w:eastAsia="Times New Roman"/>
          <w:color w:val="000000" w:themeColor="text1"/>
          <w:kern w:val="0"/>
          <w:sz w:val="24"/>
          <w:szCs w:val="24"/>
          <w14:textFill>
            <w14:solidFill>
              <w14:schemeClr w14:val="tx1"/>
            </w14:solidFill>
          </w14:textFill>
        </w:rPr>
        <w:t>50</w:t>
      </w:r>
      <w:r>
        <w:rPr>
          <w:color w:val="000000" w:themeColor="text1"/>
          <w:kern w:val="0"/>
          <w:sz w:val="24"/>
          <w:szCs w:val="24"/>
          <w14:textFill>
            <w14:solidFill>
              <w14:schemeClr w14:val="tx1"/>
            </w14:solidFill>
          </w14:textFill>
        </w:rPr>
        <w:t>米处风速、起尘速度，</w:t>
      </w:r>
      <w:r>
        <w:rPr>
          <w:rFonts w:eastAsia="Times New Roman"/>
          <w:color w:val="000000" w:themeColor="text1"/>
          <w:kern w:val="0"/>
          <w:sz w:val="24"/>
          <w:szCs w:val="24"/>
          <w14:textFill>
            <w14:solidFill>
              <w14:schemeClr w14:val="tx1"/>
            </w14:solidFill>
          </w14:textFill>
        </w:rPr>
        <w:t>m/s</w:t>
      </w:r>
      <w:r>
        <w:rPr>
          <w:color w:val="000000" w:themeColor="text1"/>
          <w:kern w:val="0"/>
          <w:sz w:val="24"/>
          <w:szCs w:val="24"/>
          <w14:textFill>
            <w14:solidFill>
              <w14:schemeClr w14:val="tx1"/>
            </w14:solidFill>
          </w14:textFill>
        </w:rPr>
        <w:t>。</w:t>
      </w:r>
    </w:p>
    <w:p>
      <w:pPr>
        <w:autoSpaceDE/>
        <w:autoSpaceDN/>
        <w:spacing w:line="360" w:lineRule="auto"/>
        <w:ind w:firstLine="1200" w:firstLineChars="500"/>
        <w:rPr>
          <w:color w:val="000000" w:themeColor="text1"/>
          <w:kern w:val="0"/>
          <w:sz w:val="24"/>
          <w:szCs w:val="24"/>
          <w14:textFill>
            <w14:solidFill>
              <w14:schemeClr w14:val="tx1"/>
            </w14:solidFill>
          </w14:textFill>
        </w:rPr>
      </w:pPr>
      <w:r>
        <w:rPr>
          <w:rFonts w:eastAsia="Times New Roman"/>
          <w:color w:val="000000" w:themeColor="text1"/>
          <w:kern w:val="0"/>
          <w:sz w:val="24"/>
          <w:szCs w:val="24"/>
          <w14:textFill>
            <w14:solidFill>
              <w14:schemeClr w14:val="tx1"/>
            </w14:solidFill>
          </w14:textFill>
        </w:rPr>
        <w:t>W-</w:t>
      </w:r>
      <w:r>
        <w:rPr>
          <w:color w:val="000000" w:themeColor="text1"/>
          <w:kern w:val="0"/>
          <w:sz w:val="24"/>
          <w:szCs w:val="24"/>
          <w14:textFill>
            <w14:solidFill>
              <w14:schemeClr w14:val="tx1"/>
            </w14:solidFill>
          </w14:textFill>
        </w:rPr>
        <w:t>尘粒的含水量，</w:t>
      </w:r>
      <w:r>
        <w:rPr>
          <w:rFonts w:eastAsia="Times New Roman"/>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w:t>
      </w:r>
    </w:p>
    <w:p>
      <w:pPr>
        <w:autoSpaceDE/>
        <w:autoSpaceDN/>
        <w:spacing w:line="360" w:lineRule="auto"/>
        <w:ind w:firstLine="480" w:firstLineChars="200"/>
        <w:jc w:val="both"/>
        <w:textAlignment w:val="baseline"/>
        <w:rPr>
          <w:color w:val="000000" w:themeColor="text1"/>
          <w:kern w:val="0"/>
          <w:sz w:val="13"/>
          <w:szCs w:val="13"/>
          <w14:textFill>
            <w14:solidFill>
              <w14:schemeClr w14:val="tx1"/>
            </w14:solidFill>
          </w14:textFill>
        </w:rPr>
      </w:pPr>
      <w:r>
        <w:rPr>
          <w:color w:val="000000" w:themeColor="text1"/>
          <w:kern w:val="0"/>
          <w:sz w:val="24"/>
          <w:szCs w:val="20"/>
          <w14:textFill>
            <w14:solidFill>
              <w14:schemeClr w14:val="tx1"/>
            </w14:solidFill>
          </w14:textFill>
        </w:rPr>
        <w:t>由上述公式可知，起尘风速与粒径和含水量有关。因此，减少露天堆场和保证一定的含水量及减少裸露地面是减少风力起尘的有效手段。粉尘在空气中的扩散稀释与风速等气象条件有关，也与粉尘本身的沉降速度有关。不同粒径粉尘的沉降速度见表4.4-1。</w:t>
      </w:r>
    </w:p>
    <w:p>
      <w:pPr>
        <w:autoSpaceDE/>
        <w:autoSpaceDN/>
        <w:ind w:left="2506"/>
        <w:rPr>
          <w:rFonts w:eastAsia="黑体"/>
          <w:color w:val="000000" w:themeColor="text1"/>
          <w:kern w:val="0"/>
          <w:sz w:val="24"/>
          <w:szCs w:val="24"/>
          <w14:textFill>
            <w14:solidFill>
              <w14:schemeClr w14:val="tx1"/>
            </w14:solidFill>
          </w14:textFill>
        </w:rPr>
      </w:pPr>
      <w:r>
        <w:rPr>
          <w:rFonts w:eastAsia="黑体"/>
          <w:color w:val="000000" w:themeColor="text1"/>
          <w:kern w:val="0"/>
          <w:sz w:val="24"/>
          <w:szCs w:val="24"/>
          <w14:textFill>
            <w14:solidFill>
              <w14:schemeClr w14:val="tx1"/>
            </w14:solidFill>
          </w14:textFill>
        </w:rPr>
        <w:t>表</w:t>
      </w:r>
      <w:r>
        <w:rPr>
          <w:rFonts w:eastAsia="黑体"/>
          <w:bCs/>
          <w:color w:val="000000" w:themeColor="text1"/>
          <w:kern w:val="0"/>
          <w:sz w:val="24"/>
          <w:szCs w:val="24"/>
          <w14:textFill>
            <w14:solidFill>
              <w14:schemeClr w14:val="tx1"/>
            </w14:solidFill>
          </w14:textFill>
        </w:rPr>
        <w:t>4.4-1</w:t>
      </w:r>
      <w:r>
        <w:rPr>
          <w:rFonts w:eastAsia="黑体"/>
          <w:color w:val="000000" w:themeColor="text1"/>
          <w:kern w:val="0"/>
          <w:sz w:val="24"/>
          <w:szCs w:val="24"/>
          <w14:textFill>
            <w14:solidFill>
              <w14:schemeClr w14:val="tx1"/>
            </w14:solidFill>
          </w14:textFill>
        </w:rPr>
        <w:t>不同粒径尘粒的沉降速度</w:t>
      </w:r>
    </w:p>
    <w:p>
      <w:pPr>
        <w:autoSpaceDE/>
        <w:autoSpaceDN/>
        <w:spacing w:before="9" w:line="10" w:lineRule="exact"/>
        <w:ind w:firstLine="80"/>
        <w:rPr>
          <w:color w:val="000000" w:themeColor="text1"/>
          <w:kern w:val="0"/>
          <w:sz w:val="4"/>
          <w:szCs w:val="4"/>
          <w14:textFill>
            <w14:solidFill>
              <w14:schemeClr w14:val="tx1"/>
            </w14:solidFill>
          </w14:textFill>
        </w:rPr>
      </w:pPr>
    </w:p>
    <w:tbl>
      <w:tblPr>
        <w:tblStyle w:val="7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75"/>
        <w:gridCol w:w="722"/>
        <w:gridCol w:w="722"/>
        <w:gridCol w:w="818"/>
        <w:gridCol w:w="821"/>
        <w:gridCol w:w="818"/>
        <w:gridCol w:w="822"/>
        <w:gridCol w:w="8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exact"/>
          <w:jc w:val="center"/>
        </w:trPr>
        <w:tc>
          <w:tcPr>
            <w:tcW w:w="1746"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sz w:val="22"/>
                <w:szCs w:val="22"/>
                <w:lang w:eastAsia="en-US"/>
                <w14:textFill>
                  <w14:solidFill>
                    <w14:schemeClr w14:val="tx1"/>
                  </w14:solidFill>
                </w14:textFill>
              </w:rPr>
            </w:pPr>
            <w:r>
              <w:rPr>
                <w:rFonts w:hint="default"/>
                <w:color w:val="000000" w:themeColor="text1"/>
                <w:kern w:val="0"/>
                <w:sz w:val="22"/>
                <w:szCs w:val="22"/>
                <w:lang w:eastAsia="en-US"/>
                <w14:textFill>
                  <w14:solidFill>
                    <w14:schemeClr w14:val="tx1"/>
                  </w14:solidFill>
                </w14:textFill>
              </w:rPr>
              <w:t>粒尘粒径（μ</w:t>
            </w:r>
            <w:r>
              <w:rPr>
                <w:rFonts w:hint="default" w:eastAsia="Times New Roman"/>
                <w:b/>
                <w:bCs/>
                <w:color w:val="000000" w:themeColor="text1"/>
                <w:kern w:val="0"/>
                <w:sz w:val="22"/>
                <w:szCs w:val="22"/>
                <w:lang w:eastAsia="en-US"/>
                <w14:textFill>
                  <w14:solidFill>
                    <w14:schemeClr w14:val="tx1"/>
                  </w14:solidFill>
                </w14:textFill>
              </w:rPr>
              <w:t>m</w:t>
            </w:r>
            <w:r>
              <w:rPr>
                <w:rFonts w:hint="default"/>
                <w:color w:val="000000" w:themeColor="text1"/>
                <w:kern w:val="0"/>
                <w:sz w:val="22"/>
                <w:szCs w:val="22"/>
                <w:lang w:eastAsia="en-US"/>
                <w14:textFill>
                  <w14:solidFill>
                    <w14:schemeClr w14:val="tx1"/>
                  </w14:solidFill>
                </w14:textFill>
              </w:rPr>
              <w:t>）</w:t>
            </w:r>
          </w:p>
        </w:tc>
        <w:tc>
          <w:tcPr>
            <w:tcW w:w="424"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10</w:t>
            </w:r>
          </w:p>
        </w:tc>
        <w:tc>
          <w:tcPr>
            <w:tcW w:w="424"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20</w:t>
            </w:r>
          </w:p>
        </w:tc>
        <w:tc>
          <w:tcPr>
            <w:tcW w:w="480"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30</w:t>
            </w:r>
          </w:p>
        </w:tc>
        <w:tc>
          <w:tcPr>
            <w:tcW w:w="482"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40</w:t>
            </w:r>
          </w:p>
        </w:tc>
        <w:tc>
          <w:tcPr>
            <w:tcW w:w="480"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50</w:t>
            </w:r>
          </w:p>
        </w:tc>
        <w:tc>
          <w:tcPr>
            <w:tcW w:w="482"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60</w:t>
            </w:r>
          </w:p>
        </w:tc>
        <w:tc>
          <w:tcPr>
            <w:tcW w:w="482" w:type="pct"/>
            <w:tcBorders>
              <w:top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exact"/>
          <w:jc w:val="center"/>
        </w:trPr>
        <w:tc>
          <w:tcPr>
            <w:tcW w:w="1746" w:type="pct"/>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sz w:val="22"/>
                <w:szCs w:val="22"/>
                <w:lang w:eastAsia="en-US"/>
                <w14:textFill>
                  <w14:solidFill>
                    <w14:schemeClr w14:val="tx1"/>
                  </w14:solidFill>
                </w14:textFill>
              </w:rPr>
            </w:pPr>
            <w:r>
              <w:rPr>
                <w:rFonts w:hint="default"/>
                <w:color w:val="000000" w:themeColor="text1"/>
                <w:kern w:val="0"/>
                <w:sz w:val="22"/>
                <w:szCs w:val="22"/>
                <w:lang w:eastAsia="en-US"/>
                <w14:textFill>
                  <w14:solidFill>
                    <w14:schemeClr w14:val="tx1"/>
                  </w14:solidFill>
                </w14:textFill>
              </w:rPr>
              <w:t>沉降速度（</w:t>
            </w:r>
            <w:r>
              <w:rPr>
                <w:rFonts w:hint="default" w:eastAsia="Times New Roman"/>
                <w:color w:val="000000" w:themeColor="text1"/>
                <w:kern w:val="0"/>
                <w:sz w:val="22"/>
                <w:szCs w:val="22"/>
                <w:lang w:eastAsia="en-US"/>
                <w14:textFill>
                  <w14:solidFill>
                    <w14:schemeClr w14:val="tx1"/>
                  </w14:solidFill>
                </w14:textFill>
              </w:rPr>
              <w:t>m/s</w:t>
            </w:r>
            <w:r>
              <w:rPr>
                <w:rFonts w:hint="default"/>
                <w:color w:val="000000" w:themeColor="text1"/>
                <w:kern w:val="0"/>
                <w:sz w:val="22"/>
                <w:szCs w:val="22"/>
                <w:lang w:eastAsia="en-US"/>
                <w14:textFill>
                  <w14:solidFill>
                    <w14:schemeClr w14:val="tx1"/>
                  </w14:solidFill>
                </w14:textFill>
              </w:rPr>
              <w:t>）</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0.003</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0.012</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0.027</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0.048</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0.075</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0.108</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0.147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exact"/>
          <w:jc w:val="center"/>
        </w:trPr>
        <w:tc>
          <w:tcPr>
            <w:tcW w:w="1746" w:type="pct"/>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sz w:val="22"/>
                <w:szCs w:val="22"/>
                <w:lang w:eastAsia="en-US"/>
                <w14:textFill>
                  <w14:solidFill>
                    <w14:schemeClr w14:val="tx1"/>
                  </w14:solidFill>
                </w14:textFill>
              </w:rPr>
            </w:pPr>
            <w:r>
              <w:rPr>
                <w:rFonts w:hint="default"/>
                <w:color w:val="000000" w:themeColor="text1"/>
                <w:kern w:val="0"/>
                <w:sz w:val="22"/>
                <w:szCs w:val="22"/>
                <w:lang w:eastAsia="en-US"/>
                <w14:textFill>
                  <w14:solidFill>
                    <w14:schemeClr w14:val="tx1"/>
                  </w14:solidFill>
                </w14:textFill>
              </w:rPr>
              <w:t>粉尘粒径（μ</w:t>
            </w:r>
            <w:r>
              <w:rPr>
                <w:rFonts w:hint="default" w:eastAsia="Times New Roman"/>
                <w:b/>
                <w:bCs/>
                <w:color w:val="000000" w:themeColor="text1"/>
                <w:kern w:val="0"/>
                <w:sz w:val="22"/>
                <w:szCs w:val="22"/>
                <w:lang w:eastAsia="en-US"/>
                <w14:textFill>
                  <w14:solidFill>
                    <w14:schemeClr w14:val="tx1"/>
                  </w14:solidFill>
                </w14:textFill>
              </w:rPr>
              <w:t>m</w:t>
            </w:r>
            <w:r>
              <w:rPr>
                <w:rFonts w:hint="default"/>
                <w:color w:val="000000" w:themeColor="text1"/>
                <w:kern w:val="0"/>
                <w:sz w:val="22"/>
                <w:szCs w:val="22"/>
                <w:lang w:eastAsia="en-US"/>
                <w14:textFill>
                  <w14:solidFill>
                    <w14:schemeClr w14:val="tx1"/>
                  </w14:solidFill>
                </w14:textFill>
              </w:rPr>
              <w:t>）</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80</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90</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100</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150</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200</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250</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350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746" w:type="pct"/>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sz w:val="22"/>
                <w:szCs w:val="22"/>
                <w:lang w:eastAsia="en-US"/>
                <w14:textFill>
                  <w14:solidFill>
                    <w14:schemeClr w14:val="tx1"/>
                  </w14:solidFill>
                </w14:textFill>
              </w:rPr>
            </w:pPr>
            <w:r>
              <w:rPr>
                <w:rFonts w:hint="default"/>
                <w:color w:val="000000" w:themeColor="text1"/>
                <w:kern w:val="0"/>
                <w:sz w:val="22"/>
                <w:szCs w:val="22"/>
                <w:lang w:eastAsia="en-US"/>
                <w14:textFill>
                  <w14:solidFill>
                    <w14:schemeClr w14:val="tx1"/>
                  </w14:solidFill>
                </w14:textFill>
              </w:rPr>
              <w:t>沉降速度（</w:t>
            </w:r>
            <w:r>
              <w:rPr>
                <w:rFonts w:hint="default" w:eastAsia="Times New Roman"/>
                <w:color w:val="000000" w:themeColor="text1"/>
                <w:kern w:val="0"/>
                <w:sz w:val="22"/>
                <w:szCs w:val="22"/>
                <w:lang w:eastAsia="en-US"/>
                <w14:textFill>
                  <w14:solidFill>
                    <w14:schemeClr w14:val="tx1"/>
                  </w14:solidFill>
                </w14:textFill>
              </w:rPr>
              <w:t>m/s</w:t>
            </w:r>
            <w:r>
              <w:rPr>
                <w:rFonts w:hint="default"/>
                <w:color w:val="000000" w:themeColor="text1"/>
                <w:kern w:val="0"/>
                <w:sz w:val="22"/>
                <w:szCs w:val="22"/>
                <w:lang w:eastAsia="en-US"/>
                <w14:textFill>
                  <w14:solidFill>
                    <w14:schemeClr w14:val="tx1"/>
                  </w14:solidFill>
                </w14:textFill>
              </w:rPr>
              <w:t>）</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0.158</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0.170</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0.182</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0.239</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0.804</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1.005</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1.829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exact"/>
          <w:jc w:val="center"/>
        </w:trPr>
        <w:tc>
          <w:tcPr>
            <w:tcW w:w="1746" w:type="pct"/>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sz w:val="22"/>
                <w:szCs w:val="22"/>
                <w:lang w:eastAsia="en-US"/>
                <w14:textFill>
                  <w14:solidFill>
                    <w14:schemeClr w14:val="tx1"/>
                  </w14:solidFill>
                </w14:textFill>
              </w:rPr>
            </w:pPr>
            <w:r>
              <w:rPr>
                <w:rFonts w:hint="default"/>
                <w:color w:val="000000" w:themeColor="text1"/>
                <w:kern w:val="0"/>
                <w:sz w:val="22"/>
                <w:szCs w:val="22"/>
                <w:lang w:eastAsia="en-US"/>
                <w14:textFill>
                  <w14:solidFill>
                    <w14:schemeClr w14:val="tx1"/>
                  </w14:solidFill>
                </w14:textFill>
              </w:rPr>
              <w:t>粉尘粒径（μ</w:t>
            </w:r>
            <w:r>
              <w:rPr>
                <w:rFonts w:hint="default" w:eastAsia="Times New Roman"/>
                <w:b/>
                <w:bCs/>
                <w:color w:val="000000" w:themeColor="text1"/>
                <w:kern w:val="0"/>
                <w:sz w:val="22"/>
                <w:szCs w:val="22"/>
                <w:lang w:eastAsia="en-US"/>
                <w14:textFill>
                  <w14:solidFill>
                    <w14:schemeClr w14:val="tx1"/>
                  </w14:solidFill>
                </w14:textFill>
              </w:rPr>
              <w:t>m</w:t>
            </w:r>
            <w:r>
              <w:rPr>
                <w:rFonts w:hint="default"/>
                <w:color w:val="000000" w:themeColor="text1"/>
                <w:kern w:val="0"/>
                <w:sz w:val="22"/>
                <w:szCs w:val="22"/>
                <w:lang w:eastAsia="en-US"/>
                <w14:textFill>
                  <w14:solidFill>
                    <w14:schemeClr w14:val="tx1"/>
                  </w14:solidFill>
                </w14:textFill>
              </w:rPr>
              <w:t>）</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450</w:t>
            </w:r>
          </w:p>
        </w:tc>
        <w:tc>
          <w:tcPr>
            <w:tcW w:w="424"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550</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650</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750</w:t>
            </w:r>
          </w:p>
        </w:tc>
        <w:tc>
          <w:tcPr>
            <w:tcW w:w="480"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850</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950</w:t>
            </w:r>
          </w:p>
        </w:tc>
        <w:tc>
          <w:tcPr>
            <w:tcW w:w="482" w:type="pct"/>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b/>
                <w:bCs/>
                <w:color w:val="000000" w:themeColor="text1"/>
                <w:kern w:val="0"/>
                <w:sz w:val="22"/>
                <w:szCs w:val="22"/>
                <w:lang w:eastAsia="en-US"/>
                <w14:textFill>
                  <w14:solidFill>
                    <w14:schemeClr w14:val="tx1"/>
                  </w14:solidFill>
                </w14:textFill>
              </w:rPr>
              <w:t>1050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1746"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sz w:val="22"/>
                <w:szCs w:val="22"/>
                <w:lang w:eastAsia="en-US"/>
                <w14:textFill>
                  <w14:solidFill>
                    <w14:schemeClr w14:val="tx1"/>
                  </w14:solidFill>
                </w14:textFill>
              </w:rPr>
            </w:pPr>
            <w:r>
              <w:rPr>
                <w:rFonts w:hint="default"/>
                <w:color w:val="000000" w:themeColor="text1"/>
                <w:kern w:val="0"/>
                <w:sz w:val="22"/>
                <w:szCs w:val="22"/>
                <w:lang w:eastAsia="en-US"/>
                <w14:textFill>
                  <w14:solidFill>
                    <w14:schemeClr w14:val="tx1"/>
                  </w14:solidFill>
                </w14:textFill>
              </w:rPr>
              <w:t>沉降速度（</w:t>
            </w:r>
            <w:r>
              <w:rPr>
                <w:rFonts w:hint="default" w:eastAsia="Times New Roman"/>
                <w:color w:val="000000" w:themeColor="text1"/>
                <w:kern w:val="0"/>
                <w:sz w:val="22"/>
                <w:szCs w:val="22"/>
                <w:lang w:eastAsia="en-US"/>
                <w14:textFill>
                  <w14:solidFill>
                    <w14:schemeClr w14:val="tx1"/>
                  </w14:solidFill>
                </w14:textFill>
              </w:rPr>
              <w:t>m/s</w:t>
            </w:r>
            <w:r>
              <w:rPr>
                <w:rFonts w:hint="default"/>
                <w:color w:val="000000" w:themeColor="text1"/>
                <w:kern w:val="0"/>
                <w:sz w:val="22"/>
                <w:szCs w:val="22"/>
                <w:lang w:eastAsia="en-US"/>
                <w14:textFill>
                  <w14:solidFill>
                    <w14:schemeClr w14:val="tx1"/>
                  </w14:solidFill>
                </w14:textFill>
              </w:rPr>
              <w:t>）</w:t>
            </w:r>
          </w:p>
        </w:tc>
        <w:tc>
          <w:tcPr>
            <w:tcW w:w="424"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2.211</w:t>
            </w:r>
          </w:p>
        </w:tc>
        <w:tc>
          <w:tcPr>
            <w:tcW w:w="424"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2.614</w:t>
            </w:r>
          </w:p>
        </w:tc>
        <w:tc>
          <w:tcPr>
            <w:tcW w:w="480"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3.016</w:t>
            </w:r>
          </w:p>
        </w:tc>
        <w:tc>
          <w:tcPr>
            <w:tcW w:w="482"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3.418</w:t>
            </w:r>
          </w:p>
        </w:tc>
        <w:tc>
          <w:tcPr>
            <w:tcW w:w="480"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3.820</w:t>
            </w:r>
          </w:p>
        </w:tc>
        <w:tc>
          <w:tcPr>
            <w:tcW w:w="482"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4.222</w:t>
            </w:r>
          </w:p>
        </w:tc>
        <w:tc>
          <w:tcPr>
            <w:tcW w:w="482" w:type="pct"/>
            <w:tcBorders>
              <w:bottom w:val="single" w:color="auto" w:sz="12" w:space="0"/>
            </w:tcBorders>
            <w:vAlign w:val="center"/>
          </w:tcPr>
          <w:p>
            <w:pPr>
              <w:keepNext w:val="0"/>
              <w:keepLines w:val="0"/>
              <w:suppressLineNumbers w:val="0"/>
              <w:autoSpaceDE/>
              <w:autoSpaceDN/>
              <w:spacing w:before="0" w:beforeAutospacing="0" w:after="0" w:afterAutospacing="0"/>
              <w:ind w:left="0" w:right="0"/>
              <w:jc w:val="center"/>
              <w:rPr>
                <w:rFonts w:hint="default" w:eastAsia="Times New Roman"/>
                <w:color w:val="000000" w:themeColor="text1"/>
                <w:kern w:val="0"/>
                <w:sz w:val="22"/>
                <w:szCs w:val="22"/>
                <w:lang w:eastAsia="en-US"/>
                <w14:textFill>
                  <w14:solidFill>
                    <w14:schemeClr w14:val="tx1"/>
                  </w14:solidFill>
                </w14:textFill>
              </w:rPr>
            </w:pPr>
            <w:r>
              <w:rPr>
                <w:rFonts w:hint="default" w:eastAsia="Times New Roman"/>
                <w:color w:val="000000" w:themeColor="text1"/>
                <w:kern w:val="0"/>
                <w:sz w:val="22"/>
                <w:szCs w:val="22"/>
                <w:lang w:eastAsia="en-US"/>
                <w14:textFill>
                  <w14:solidFill>
                    <w14:schemeClr w14:val="tx1"/>
                  </w14:solidFill>
                </w14:textFill>
              </w:rPr>
              <w:t>4.624</w:t>
            </w:r>
          </w:p>
        </w:tc>
      </w:tr>
    </w:tbl>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由上表可知，粉尘的沉降速度随粒径的增大而迅速增大。当粒径为</w:t>
      </w:r>
      <w:r>
        <w:rPr>
          <w:rFonts w:eastAsia="Times New Roman"/>
          <w:color w:val="000000" w:themeColor="text1"/>
          <w:kern w:val="0"/>
          <w:sz w:val="24"/>
          <w:szCs w:val="24"/>
          <w14:textFill>
            <w14:solidFill>
              <w14:schemeClr w14:val="tx1"/>
            </w14:solidFill>
          </w14:textFill>
        </w:rPr>
        <w:t>250</w:t>
      </w:r>
      <w:r>
        <w:rPr>
          <w:color w:val="000000" w:themeColor="text1"/>
          <w:kern w:val="0"/>
          <w:sz w:val="24"/>
          <w:szCs w:val="24"/>
          <w14:textFill>
            <w14:solidFill>
              <w14:schemeClr w14:val="tx1"/>
            </w14:solidFill>
          </w14:textFill>
        </w:rPr>
        <w:t>微米时，沉降速度为</w:t>
      </w:r>
      <w:r>
        <w:rPr>
          <w:rFonts w:eastAsia="Times New Roman"/>
          <w:color w:val="000000" w:themeColor="text1"/>
          <w:kern w:val="0"/>
          <w:sz w:val="24"/>
          <w:szCs w:val="24"/>
          <w14:textFill>
            <w14:solidFill>
              <w14:schemeClr w14:val="tx1"/>
            </w14:solidFill>
          </w14:textFill>
        </w:rPr>
        <w:t>1.005m/s</w:t>
      </w:r>
      <w:r>
        <w:rPr>
          <w:color w:val="000000" w:themeColor="text1"/>
          <w:kern w:val="0"/>
          <w:sz w:val="24"/>
          <w:szCs w:val="24"/>
          <w14:textFill>
            <w14:solidFill>
              <w14:schemeClr w14:val="tx1"/>
            </w14:solidFill>
          </w14:textFill>
        </w:rPr>
        <w:t>，因此可以认为当尘粒大于</w:t>
      </w:r>
      <w:r>
        <w:rPr>
          <w:rFonts w:eastAsia="Times New Roman"/>
          <w:color w:val="000000" w:themeColor="text1"/>
          <w:kern w:val="0"/>
          <w:sz w:val="24"/>
          <w:szCs w:val="24"/>
          <w14:textFill>
            <w14:solidFill>
              <w14:schemeClr w14:val="tx1"/>
            </w14:solidFill>
          </w14:textFill>
        </w:rPr>
        <w:t>250</w:t>
      </w:r>
      <w:r>
        <w:rPr>
          <w:color w:val="000000" w:themeColor="text1"/>
          <w:kern w:val="0"/>
          <w:sz w:val="24"/>
          <w:szCs w:val="24"/>
          <w14:textFill>
            <w14:solidFill>
              <w14:schemeClr w14:val="tx1"/>
            </w14:solidFill>
          </w14:textFill>
        </w:rPr>
        <w:t>微米时，主要影响范围的扬尘点下风向距离范围内，而真正对外环境产生影响的是一些微小粒径的粉尘在尘粒的粒径不变的条件下，通过降低堆场风速、加强洒水以提高含水量等措施可减少扬尘的产生。</w:t>
      </w:r>
    </w:p>
    <w:p>
      <w:pPr>
        <w:autoSpaceDE/>
        <w:autoSpaceDN/>
        <w:spacing w:line="360" w:lineRule="auto"/>
        <w:ind w:firstLine="480" w:firstLineChars="200"/>
        <w:jc w:val="both"/>
        <w:textAlignment w:val="baseline"/>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因此，在施工时要采取一定的管理措施，如在选择建材堆放、转运的场地时，对易产生扬尘的物质，不要在开阔地或露天堆放，同时对于易起尘的建筑材料应加盖蓬布。</w:t>
      </w:r>
    </w:p>
    <w:p>
      <w:pPr>
        <w:autoSpaceDE/>
        <w:autoSpaceDN/>
        <w:spacing w:line="360" w:lineRule="auto"/>
        <w:ind w:firstLine="482" w:firstLineChars="200"/>
        <w:jc w:val="both"/>
        <w:textAlignment w:val="baseline"/>
        <w:rPr>
          <w:b/>
          <w:color w:val="000000" w:themeColor="text1"/>
          <w:kern w:val="0"/>
          <w:sz w:val="24"/>
          <w:szCs w:val="20"/>
          <w14:textFill>
            <w14:solidFill>
              <w14:schemeClr w14:val="tx1"/>
            </w14:solidFill>
          </w14:textFill>
        </w:rPr>
      </w:pPr>
      <w:r>
        <w:rPr>
          <w:b/>
          <w:color w:val="000000" w:themeColor="text1"/>
          <w:kern w:val="0"/>
          <w:sz w:val="24"/>
          <w:szCs w:val="20"/>
          <w14:textFill>
            <w14:solidFill>
              <w14:schemeClr w14:val="tx1"/>
            </w14:solidFill>
          </w14:textFill>
        </w:rPr>
        <w:t>2、车辆及施工机械尾气</w:t>
      </w:r>
    </w:p>
    <w:p>
      <w:pPr>
        <w:autoSpaceDE/>
        <w:autoSpaceDN/>
        <w:spacing w:line="360" w:lineRule="auto"/>
        <w:ind w:firstLine="480" w:firstLineChars="200"/>
        <w:jc w:val="both"/>
        <w:textAlignment w:val="baseline"/>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施工</w:t>
      </w:r>
      <w:r>
        <w:rPr>
          <w:rFonts w:hint="eastAsia"/>
          <w:color w:val="000000" w:themeColor="text1"/>
          <w:kern w:val="0"/>
          <w:sz w:val="24"/>
          <w:szCs w:val="20"/>
          <w14:textFill>
            <w14:solidFill>
              <w14:schemeClr w14:val="tx1"/>
            </w14:solidFill>
          </w14:textFill>
        </w:rPr>
        <w:t>场地</w:t>
      </w:r>
      <w:r>
        <w:rPr>
          <w:color w:val="000000" w:themeColor="text1"/>
          <w:kern w:val="0"/>
          <w:sz w:val="24"/>
          <w:szCs w:val="20"/>
          <w14:textFill>
            <w14:solidFill>
              <w14:schemeClr w14:val="tx1"/>
            </w14:solidFill>
          </w14:textFill>
        </w:rPr>
        <w:t>的燃油设备主要是施工机械和运输车辆，其排放的尾气在施工期间对施工作业点和交通道路附近的大气环境会造成一定程度的污染，产生CO、碳氢化合物、NO</w:t>
      </w:r>
      <w:r>
        <w:rPr>
          <w:color w:val="000000" w:themeColor="text1"/>
          <w:kern w:val="0"/>
          <w:sz w:val="24"/>
          <w:szCs w:val="20"/>
          <w:vertAlign w:val="subscript"/>
          <w14:textFill>
            <w14:solidFill>
              <w14:schemeClr w14:val="tx1"/>
            </w14:solidFill>
          </w14:textFill>
        </w:rPr>
        <w:t>2</w:t>
      </w:r>
      <w:r>
        <w:rPr>
          <w:color w:val="000000" w:themeColor="text1"/>
          <w:kern w:val="0"/>
          <w:sz w:val="24"/>
          <w:szCs w:val="20"/>
          <w14:textFill>
            <w14:solidFill>
              <w14:schemeClr w14:val="tx1"/>
            </w14:solidFill>
          </w14:textFill>
        </w:rPr>
        <w:t>等污染物。运输车辆的废气是沿交通路线沿程排放，施工机械的废气基本是以点源形式排放。</w:t>
      </w:r>
    </w:p>
    <w:p>
      <w:pPr>
        <w:autoSpaceDE/>
        <w:autoSpaceDN/>
        <w:spacing w:line="360" w:lineRule="auto"/>
        <w:ind w:firstLine="480" w:firstLineChars="200"/>
        <w:jc w:val="both"/>
        <w:textAlignment w:val="baseline"/>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由于施工区空气流通性好，排放废气中的各项污染物能够很快扩散，不会引起局部大气环境质量的恶化，加之废气排放的不连续性和工程施工期有限，排放的废气对区域的环境空气质量影响是较小的。</w:t>
      </w:r>
    </w:p>
    <w:p>
      <w:pPr>
        <w:autoSpaceDE/>
        <w:autoSpaceDN/>
        <w:spacing w:line="360" w:lineRule="auto"/>
        <w:ind w:firstLine="482" w:firstLineChars="200"/>
        <w:jc w:val="both"/>
        <w:textAlignment w:val="baseline"/>
        <w:rPr>
          <w:b/>
          <w:color w:val="000000" w:themeColor="text1"/>
          <w:kern w:val="0"/>
          <w:sz w:val="24"/>
          <w:szCs w:val="20"/>
          <w14:textFill>
            <w14:solidFill>
              <w14:schemeClr w14:val="tx1"/>
            </w14:solidFill>
          </w14:textFill>
        </w:rPr>
      </w:pPr>
      <w:r>
        <w:rPr>
          <w:b/>
          <w:color w:val="000000" w:themeColor="text1"/>
          <w:kern w:val="0"/>
          <w:sz w:val="24"/>
          <w:szCs w:val="20"/>
          <w14:textFill>
            <w14:solidFill>
              <w14:schemeClr w14:val="tx1"/>
            </w14:solidFill>
          </w14:textFill>
        </w:rPr>
        <w:t>3、道路扬尘</w:t>
      </w:r>
    </w:p>
    <w:p>
      <w:pPr>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施工运输车辆行驶过程中将产生道路扬尘，本项目已采取洒水的方式进行降尘，对车辆运输砂料</w:t>
      </w:r>
      <w:r>
        <w:rPr>
          <w:rFonts w:hint="eastAsia"/>
          <w:color w:val="000000" w:themeColor="text1"/>
          <w:kern w:val="0"/>
          <w:sz w:val="24"/>
          <w:szCs w:val="20"/>
          <w14:textFill>
            <w14:solidFill>
              <w14:schemeClr w14:val="tx1"/>
            </w14:solidFill>
          </w14:textFill>
        </w:rPr>
        <w:t>等</w:t>
      </w:r>
      <w:r>
        <w:rPr>
          <w:color w:val="000000" w:themeColor="text1"/>
          <w:kern w:val="0"/>
          <w:sz w:val="24"/>
          <w:szCs w:val="20"/>
          <w14:textFill>
            <w14:solidFill>
              <w14:schemeClr w14:val="tx1"/>
            </w14:solidFill>
          </w14:textFill>
        </w:rPr>
        <w:t>进行遮盖防护，减轻了污染程度，并缩小扬尘污染范围，对周边环境影响较小。</w:t>
      </w:r>
    </w:p>
    <w:p>
      <w:pPr>
        <w:autoSpaceDE/>
        <w:autoSpaceDN/>
        <w:spacing w:line="360" w:lineRule="auto"/>
        <w:ind w:firstLine="482" w:firstLineChars="200"/>
        <w:jc w:val="both"/>
        <w:rPr>
          <w:color w:val="000000" w:themeColor="text1"/>
          <w:kern w:val="0"/>
          <w:sz w:val="24"/>
          <w:szCs w:val="20"/>
          <w14:textFill>
            <w14:solidFill>
              <w14:schemeClr w14:val="tx1"/>
            </w14:solidFill>
          </w14:textFill>
        </w:rPr>
      </w:pPr>
      <w:r>
        <w:rPr>
          <w:b/>
          <w:bCs/>
          <w:color w:val="000000" w:themeColor="text1"/>
          <w:kern w:val="0"/>
          <w:sz w:val="24"/>
          <w:szCs w:val="20"/>
          <w14:textFill>
            <w14:solidFill>
              <w14:schemeClr w14:val="tx1"/>
            </w14:solidFill>
          </w14:textFill>
        </w:rPr>
        <w:t>4、</w:t>
      </w:r>
      <w:r>
        <w:rPr>
          <w:rFonts w:hint="eastAsia"/>
          <w:b/>
          <w:bCs/>
          <w:color w:val="000000" w:themeColor="text1"/>
          <w:kern w:val="0"/>
          <w:sz w:val="24"/>
          <w:szCs w:val="20"/>
          <w14:textFill>
            <w14:solidFill>
              <w14:schemeClr w14:val="tx1"/>
            </w14:solidFill>
          </w14:textFill>
        </w:rPr>
        <w:t>渠道</w:t>
      </w:r>
      <w:r>
        <w:rPr>
          <w:b/>
          <w:bCs/>
          <w:color w:val="000000" w:themeColor="text1"/>
          <w:kern w:val="0"/>
          <w:sz w:val="24"/>
          <w:szCs w:val="20"/>
          <w14:textFill>
            <w14:solidFill>
              <w14:schemeClr w14:val="tx1"/>
            </w14:solidFill>
          </w14:textFill>
        </w:rPr>
        <w:t>清淤污泥产生的恶臭异味</w:t>
      </w:r>
    </w:p>
    <w:p>
      <w:pPr>
        <w:adjustRightInd w:val="0"/>
        <w:snapToGrid w:val="0"/>
        <w:spacing w:line="360" w:lineRule="auto"/>
        <w:ind w:firstLine="480" w:firstLineChars="200"/>
        <w:jc w:val="both"/>
        <w:textAlignment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恶臭主要来自渠道底泥开挖及淤泥翻晒过程，项目清淤时段选择在渠道断水时段进行，但局部暗渠或低洼处会有少量水体，清淤时水体受到搅动会产生恶臭，另外淤泥在渠道内翻晒过程中会产生恶臭。恶臭强度是以嗅觉阈值为基准划分等级的，目前国内将恶臭强度划分为6级，限值标准相当于恶臭强度2.5～3.5级，超出该强度范围，即发生恶臭污染，需要采取防护措施。</w:t>
      </w:r>
    </w:p>
    <w:p>
      <w:pPr>
        <w:adjustRightInd w:val="0"/>
        <w:snapToGrid w:val="0"/>
        <w:spacing w:line="360" w:lineRule="auto"/>
        <w:ind w:firstLine="480" w:firstLineChars="200"/>
        <w:jc w:val="both"/>
        <w:textAlignment w:val="center"/>
        <w:rPr>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由于本项目河道引水来自于东风渠，东风渠水质质量较好，且沿途无生活污水、工业废水排污口，所以底泥中有机质含量较低，清淤过程中恶臭产生量较小，对周围外环境的影响也较小</w:t>
      </w:r>
      <w:r>
        <w:rPr>
          <w:rFonts w:hint="eastAsia"/>
          <w:color w:val="000000" w:themeColor="text1"/>
          <w:sz w:val="24"/>
          <w14:textFill>
            <w14:solidFill>
              <w14:schemeClr w14:val="tx1"/>
            </w14:solidFill>
          </w14:textFill>
        </w:rPr>
        <w:t>。</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80" w:name="_Toc70496307"/>
      <w:bookmarkStart w:id="481" w:name="_Toc8990"/>
      <w:r>
        <w:rPr>
          <w:rFonts w:eastAsia="黑体"/>
          <w:b/>
          <w:bCs/>
          <w:color w:val="000000" w:themeColor="text1"/>
          <w:kern w:val="0"/>
          <w:sz w:val="32"/>
          <w:szCs w:val="32"/>
          <w14:textFill>
            <w14:solidFill>
              <w14:schemeClr w14:val="tx1"/>
            </w14:solidFill>
          </w14:textFill>
        </w:rPr>
        <w:t>4.5营运期大气环境影响分析</w:t>
      </w:r>
      <w:bookmarkEnd w:id="480"/>
      <w:bookmarkEnd w:id="481"/>
    </w:p>
    <w:p>
      <w:pPr>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本项目为</w:t>
      </w:r>
      <w:r>
        <w:rPr>
          <w:rFonts w:hint="eastAsia"/>
          <w:color w:val="000000" w:themeColor="text1"/>
          <w:kern w:val="0"/>
          <w:sz w:val="24"/>
          <w:szCs w:val="20"/>
          <w14:textFill>
            <w14:solidFill>
              <w14:schemeClr w14:val="tx1"/>
            </w14:solidFill>
          </w14:textFill>
        </w:rPr>
        <w:t>渠道改造</w:t>
      </w:r>
      <w:r>
        <w:rPr>
          <w:color w:val="000000" w:themeColor="text1"/>
          <w:kern w:val="0"/>
          <w:sz w:val="24"/>
          <w:szCs w:val="20"/>
          <w14:textFill>
            <w14:solidFill>
              <w14:schemeClr w14:val="tx1"/>
            </w14:solidFill>
          </w14:textFill>
        </w:rPr>
        <w:t>工程，项目运营期不排放大气污染物，不会对项目区域及周边大气环境产生影响。</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82" w:name="_Toc8078"/>
      <w:bookmarkStart w:id="483" w:name="_Toc14185"/>
      <w:bookmarkStart w:id="484" w:name="_Toc70496308"/>
      <w:r>
        <w:rPr>
          <w:rFonts w:eastAsia="黑体"/>
          <w:b/>
          <w:bCs/>
          <w:color w:val="000000" w:themeColor="text1"/>
          <w:kern w:val="0"/>
          <w:sz w:val="32"/>
          <w:szCs w:val="32"/>
          <w14:textFill>
            <w14:solidFill>
              <w14:schemeClr w14:val="tx1"/>
            </w14:solidFill>
          </w14:textFill>
        </w:rPr>
        <w:t>4.6施工期声环境影响预测和评价</w:t>
      </w:r>
      <w:bookmarkEnd w:id="482"/>
      <w:bookmarkEnd w:id="483"/>
      <w:bookmarkEnd w:id="484"/>
    </w:p>
    <w:p>
      <w:pPr>
        <w:autoSpaceDE/>
        <w:autoSpaceDN/>
        <w:spacing w:line="360" w:lineRule="auto"/>
        <w:ind w:firstLine="482" w:firstLineChars="200"/>
        <w:jc w:val="both"/>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1、噪声源与声环境敏感目标</w:t>
      </w:r>
    </w:p>
    <w:p>
      <w:pPr>
        <w:autoSpaceDE/>
        <w:autoSpaceDN/>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工程施工区噪声源主要有机械设备产生的噪声，移动的交通噪声。噪声源主要分布于土方开挖等施工区、施工道路等。土石方开挖噪声源主要为挖掘机、推土机等，噪声值在75~90dB（A）之间；机械加工厂噪声值可达90dB（A）；交通噪声强度为70~90dB（A）。</w:t>
      </w:r>
    </w:p>
    <w:p>
      <w:pPr>
        <w:autoSpaceDE/>
        <w:autoSpaceDN/>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工程北支一渠、董家堰补水渠上、董家堰补水渠下位于新都区，南五支渠、南六支渠位于龙泉驿区，周边敏感点较少，主要为北支一渠附近的居民小区和少量散居农户，具体见表2.6-4。</w:t>
      </w:r>
    </w:p>
    <w:p>
      <w:pPr>
        <w:autoSpaceDE/>
        <w:autoSpaceDN/>
        <w:spacing w:line="360" w:lineRule="auto"/>
        <w:ind w:firstLine="482" w:firstLineChars="200"/>
        <w:jc w:val="both"/>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2、预测方法</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（1）预测模式</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根据《环境影响评价技术导则声环境》（HJ2.4-2021）有关要求，采用户外声传播衰减公式计算预测点的声级。</w:t>
      </w:r>
    </w:p>
    <w:p>
      <w:pPr>
        <w:autoSpaceDE/>
        <w:autoSpaceDN/>
        <w:adjustRightInd w:val="0"/>
        <w:snapToGrid w:val="0"/>
        <w:spacing w:line="360" w:lineRule="auto"/>
        <w:ind w:firstLine="480" w:firstLineChars="200"/>
        <w:jc w:val="center"/>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L(r)=L(r)-(Adiv-Aatm+Agr+Abar+Amisc)</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式中</w:t>
      </w:r>
      <w:r>
        <w:rPr>
          <w:rFonts w:hint="eastAsia"/>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L(r)</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距声源r处A声级，dB(A)</w:t>
      </w:r>
      <w:r>
        <w:rPr>
          <w:rFonts w:hint="eastAsia"/>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L(r)</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参考位置n处A级，dB(A)</w:t>
      </w:r>
      <w:r>
        <w:rPr>
          <w:rFonts w:hint="eastAsia"/>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A</w:t>
      </w:r>
      <w:r>
        <w:rPr>
          <w:rFonts w:hint="eastAsia"/>
          <w:color w:val="000000" w:themeColor="text1"/>
          <w:kern w:val="0"/>
          <w:sz w:val="24"/>
          <w:szCs w:val="20"/>
          <w14:textFill>
            <w14:solidFill>
              <w14:schemeClr w14:val="tx1"/>
            </w14:solidFill>
          </w14:textFill>
        </w:rPr>
        <w:t>d</w:t>
      </w:r>
      <w:r>
        <w:rPr>
          <w:color w:val="000000" w:themeColor="text1"/>
          <w:kern w:val="0"/>
          <w:sz w:val="24"/>
          <w:szCs w:val="20"/>
          <w14:textFill>
            <w14:solidFill>
              <w14:schemeClr w14:val="tx1"/>
            </w14:solidFill>
          </w14:textFill>
        </w:rPr>
        <w:t>iv</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几何发散引起的A声级衰减量，dB(A)</w:t>
      </w:r>
      <w:r>
        <w:rPr>
          <w:rFonts w:hint="eastAsia"/>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Aatm</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大气吸收引起的A声级衰减量，dB(A)</w:t>
      </w:r>
      <w:r>
        <w:rPr>
          <w:rFonts w:hint="eastAsia"/>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Agr</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地面效应引起的A声级衰减量，dB(A)</w:t>
      </w:r>
      <w:r>
        <w:rPr>
          <w:rFonts w:hint="eastAsia"/>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Abar</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障碍物屏蔽引起的A声级衰减量，dB(A)</w:t>
      </w:r>
      <w:r>
        <w:rPr>
          <w:rFonts w:hint="eastAsia"/>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Amisc</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其他多方面效应引起的A声级衰减量，dB(A)。</w:t>
      </w:r>
    </w:p>
    <w:p>
      <w:pPr>
        <w:autoSpaceDE/>
        <w:autoSpaceDN/>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（2）预测点贡献值计算</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多声源对预测点产生的贡献值：</w:t>
      </w:r>
    </w:p>
    <w:p>
      <w:pPr>
        <w:autoSpaceDE/>
        <w:autoSpaceDN/>
        <w:spacing w:line="360" w:lineRule="auto"/>
        <w:ind w:firstLine="480" w:firstLineChars="200"/>
        <w:jc w:val="center"/>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drawing>
          <wp:inline distT="0" distB="0" distL="114300" distR="114300">
            <wp:extent cx="2307590" cy="645795"/>
            <wp:effectExtent l="0" t="0" r="16510" b="1905"/>
            <wp:docPr id="73" name="图片 73" descr="171247025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712470256667"/>
                    <pic:cNvPicPr>
                      <a:picLocks noChangeAspect="1"/>
                    </pic:cNvPicPr>
                  </pic:nvPicPr>
                  <pic:blipFill>
                    <a:blip r:embed="rId68"/>
                    <a:stretch>
                      <a:fillRect/>
                    </a:stretch>
                  </pic:blipFill>
                  <pic:spPr>
                    <a:xfrm>
                      <a:off x="0" y="0"/>
                      <a:ext cx="2307590" cy="645795"/>
                    </a:xfrm>
                    <a:prstGeom prst="rect">
                      <a:avLst/>
                    </a:prstGeom>
                  </pic:spPr>
                </pic:pic>
              </a:graphicData>
            </a:graphic>
          </wp:inline>
        </w:drawing>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式中：</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T—预测计算的时间，s；</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T—i声源在T时间内的运行时间，s；</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L</w:t>
      </w:r>
      <w:r>
        <w:rPr>
          <w:rFonts w:hint="eastAsia"/>
          <w:color w:val="000000" w:themeColor="text1"/>
          <w:kern w:val="0"/>
          <w:sz w:val="24"/>
          <w:szCs w:val="20"/>
          <w:vertAlign w:val="subscript"/>
          <w14:textFill>
            <w14:solidFill>
              <w14:schemeClr w14:val="tx1"/>
            </w14:solidFill>
          </w14:textFill>
        </w:rPr>
        <w:t>Ai</w:t>
      </w:r>
      <w:r>
        <w:rPr>
          <w:rFonts w:hint="eastAsia"/>
          <w:color w:val="000000" w:themeColor="text1"/>
          <w:kern w:val="0"/>
          <w:sz w:val="24"/>
          <w:szCs w:val="20"/>
          <w14:textFill>
            <w14:solidFill>
              <w14:schemeClr w14:val="tx1"/>
            </w14:solidFill>
          </w14:textFill>
        </w:rPr>
        <w:t>—i声源在预测点产生的A声级，dB(A)；</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3</w:t>
      </w:r>
      <w:r>
        <w:rPr>
          <w:rFonts w:hint="eastAsia"/>
          <w:color w:val="000000" w:themeColor="text1"/>
          <w:kern w:val="0"/>
          <w:sz w:val="24"/>
          <w:szCs w:val="20"/>
          <w14:textFill>
            <w14:solidFill>
              <w14:schemeClr w14:val="tx1"/>
            </w14:solidFill>
          </w14:textFill>
        </w:rPr>
        <w:t>）综合叠加预测</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多声源在某一点声压级的叠加公式：</w:t>
      </w:r>
    </w:p>
    <w:p>
      <w:pPr>
        <w:autoSpaceDE/>
        <w:autoSpaceDN/>
        <w:spacing w:line="360" w:lineRule="auto"/>
        <w:ind w:firstLine="480" w:firstLineChars="200"/>
        <w:jc w:val="center"/>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drawing>
          <wp:inline distT="0" distB="0" distL="114300" distR="114300">
            <wp:extent cx="2654935" cy="424815"/>
            <wp:effectExtent l="0" t="0" r="12065" b="13335"/>
            <wp:docPr id="111" name="图片 111" descr="171247043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712470436040"/>
                    <pic:cNvPicPr>
                      <a:picLocks noChangeAspect="1"/>
                    </pic:cNvPicPr>
                  </pic:nvPicPr>
                  <pic:blipFill>
                    <a:blip r:embed="rId69"/>
                    <a:stretch>
                      <a:fillRect/>
                    </a:stretch>
                  </pic:blipFill>
                  <pic:spPr>
                    <a:xfrm>
                      <a:off x="0" y="0"/>
                      <a:ext cx="2654935" cy="424815"/>
                    </a:xfrm>
                    <a:prstGeom prst="rect">
                      <a:avLst/>
                    </a:prstGeom>
                  </pic:spPr>
                </pic:pic>
              </a:graphicData>
            </a:graphic>
          </wp:inline>
        </w:drawing>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式中：</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Leg—预测点的噪声预测值，dB(A)；</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Leag—建设项目声源在预测点产生的噪声贡献值</w:t>
      </w:r>
      <w:r>
        <w:rPr>
          <w:color w:val="000000" w:themeColor="text1"/>
          <w:kern w:val="0"/>
          <w:sz w:val="24"/>
          <w:szCs w:val="20"/>
          <w14:textFill>
            <w14:solidFill>
              <w14:schemeClr w14:val="tx1"/>
            </w14:solidFill>
          </w14:textFill>
        </w:rPr>
        <w:t>，dB</w:t>
      </w:r>
      <w:r>
        <w:rPr>
          <w:rFonts w:hint="eastAsia"/>
          <w:color w:val="000000" w:themeColor="text1"/>
          <w:kern w:val="0"/>
          <w:sz w:val="24"/>
          <w:szCs w:val="20"/>
          <w14:textFill>
            <w14:solidFill>
              <w14:schemeClr w14:val="tx1"/>
            </w14:solidFill>
          </w14:textFill>
        </w:rPr>
        <w:t>(A)</w:t>
      </w:r>
      <w:r>
        <w:rPr>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Leqb—预测点的背景噪声值，dB(A)。</w:t>
      </w:r>
    </w:p>
    <w:p>
      <w:pPr>
        <w:autoSpaceDE/>
        <w:autoSpaceDN/>
        <w:spacing w:line="360" w:lineRule="auto"/>
        <w:ind w:firstLine="482" w:firstLineChars="200"/>
        <w:jc w:val="both"/>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3、预测结果与评价</w:t>
      </w:r>
    </w:p>
    <w:p>
      <w:pPr>
        <w:snapToGrid w:val="0"/>
        <w:spacing w:line="360" w:lineRule="auto"/>
        <w:ind w:firstLine="480" w:firstLineChars="200"/>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根据《成都市建筑工程夜间施工管理办法》相关管理规定，本工程夜间不施工。因此本次评价仅针对昼间噪声开展预测，各环境敏感点噪声预测结果见表2.6</w:t>
      </w:r>
      <w:r>
        <w:rPr>
          <w:color w:val="000000" w:themeColor="text1"/>
          <w:kern w:val="0"/>
          <w:sz w:val="24"/>
          <w:szCs w:val="20"/>
          <w14:textFill>
            <w14:solidFill>
              <w14:schemeClr w14:val="tx1"/>
            </w14:solidFill>
          </w14:textFill>
        </w:rPr>
        <w:t>-</w:t>
      </w:r>
      <w:r>
        <w:rPr>
          <w:rFonts w:hint="eastAsia"/>
          <w:color w:val="000000" w:themeColor="text1"/>
          <w:kern w:val="0"/>
          <w:sz w:val="24"/>
          <w:szCs w:val="20"/>
          <w14:textFill>
            <w14:solidFill>
              <w14:schemeClr w14:val="tx1"/>
            </w14:solidFill>
          </w14:textFill>
        </w:rPr>
        <w:t>4。</w:t>
      </w:r>
    </w:p>
    <w:p>
      <w:pPr>
        <w:tabs>
          <w:tab w:val="left" w:pos="840"/>
          <w:tab w:val="right" w:leader="dot" w:pos="8820"/>
        </w:tabs>
        <w:autoSpaceDE/>
        <w:autoSpaceDN/>
        <w:adjustRightInd w:val="0"/>
        <w:snapToGrid w:val="0"/>
        <w:jc w:val="center"/>
        <w:textAlignment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表4.6-1噪声预测结果表</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8"/>
        <w:gridCol w:w="813"/>
        <w:gridCol w:w="953"/>
        <w:gridCol w:w="927"/>
        <w:gridCol w:w="1074"/>
        <w:gridCol w:w="932"/>
        <w:gridCol w:w="799"/>
        <w:gridCol w:w="685"/>
        <w:gridCol w:w="689"/>
        <w:gridCol w:w="6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568" w:type="pct"/>
            <w:vMerge w:val="restar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保护目标</w:t>
            </w:r>
          </w:p>
        </w:tc>
        <w:tc>
          <w:tcPr>
            <w:tcW w:w="477" w:type="pct"/>
            <w:vMerge w:val="restar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声环境功能区</w:t>
            </w:r>
          </w:p>
        </w:tc>
        <w:tc>
          <w:tcPr>
            <w:tcW w:w="559" w:type="pct"/>
            <w:vMerge w:val="restar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噪声源</w:t>
            </w:r>
          </w:p>
        </w:tc>
        <w:tc>
          <w:tcPr>
            <w:tcW w:w="544" w:type="pct"/>
            <w:vMerge w:val="restar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源强</w:t>
            </w:r>
            <w:r>
              <w:rPr>
                <w:rFonts w:hint="eastAsia"/>
                <w:b/>
                <w:bCs/>
                <w:color w:val="000000" w:themeColor="text1"/>
                <w:kern w:val="0"/>
                <w:sz w:val="21"/>
                <w:szCs w:val="21"/>
                <w14:textFill>
                  <w14:solidFill>
                    <w14:schemeClr w14:val="tx1"/>
                  </w14:solidFill>
                </w14:textFill>
              </w:rPr>
              <w:t>dB(A)</w:t>
            </w:r>
          </w:p>
        </w:tc>
        <w:tc>
          <w:tcPr>
            <w:tcW w:w="630" w:type="pct"/>
            <w:vMerge w:val="restar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与声源最近的距离（m）</w:t>
            </w:r>
          </w:p>
        </w:tc>
        <w:tc>
          <w:tcPr>
            <w:tcW w:w="547" w:type="pct"/>
            <w:vMerge w:val="restar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敏感点处噪声贡献值</w:t>
            </w:r>
            <w:r>
              <w:rPr>
                <w:rFonts w:hint="eastAsia"/>
                <w:b/>
                <w:bCs/>
                <w:color w:val="000000" w:themeColor="text1"/>
                <w:kern w:val="0"/>
                <w:sz w:val="21"/>
                <w:szCs w:val="21"/>
                <w14:textFill>
                  <w14:solidFill>
                    <w14:schemeClr w14:val="tx1"/>
                  </w14:solidFill>
                </w14:textFill>
              </w:rPr>
              <w:t>dB(A)</w:t>
            </w:r>
          </w:p>
        </w:tc>
        <w:tc>
          <w:tcPr>
            <w:tcW w:w="871" w:type="pct"/>
            <w:gridSpan w:val="2"/>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现状监测值</w:t>
            </w:r>
            <w:r>
              <w:rPr>
                <w:rFonts w:hint="eastAsia"/>
                <w:b/>
                <w:bCs/>
                <w:color w:val="000000" w:themeColor="text1"/>
                <w:kern w:val="0"/>
                <w:sz w:val="21"/>
                <w:szCs w:val="21"/>
                <w14:textFill>
                  <w14:solidFill>
                    <w14:schemeClr w14:val="tx1"/>
                  </w14:solidFill>
                </w14:textFill>
              </w:rPr>
              <w:t>dB(A)</w:t>
            </w:r>
          </w:p>
        </w:tc>
        <w:tc>
          <w:tcPr>
            <w:tcW w:w="800" w:type="pct"/>
            <w:gridSpan w:val="2"/>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预测值</w:t>
            </w:r>
            <w:r>
              <w:rPr>
                <w:rFonts w:hint="eastAsia"/>
                <w:b/>
                <w:bCs/>
                <w:color w:val="000000" w:themeColor="text1"/>
                <w:kern w:val="0"/>
                <w:sz w:val="21"/>
                <w:szCs w:val="21"/>
                <w14:textFill>
                  <w14:solidFill>
                    <w14:schemeClr w14:val="tx1"/>
                  </w14:solidFill>
                </w14:textFill>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68"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p>
        </w:tc>
        <w:tc>
          <w:tcPr>
            <w:tcW w:w="477"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p>
        </w:tc>
        <w:tc>
          <w:tcPr>
            <w:tcW w:w="559"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p>
        </w:tc>
        <w:tc>
          <w:tcPr>
            <w:tcW w:w="544"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p>
        </w:tc>
        <w:tc>
          <w:tcPr>
            <w:tcW w:w="630"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p>
        </w:tc>
        <w:tc>
          <w:tcPr>
            <w:tcW w:w="547"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p>
        </w:tc>
        <w:tc>
          <w:tcPr>
            <w:tcW w:w="469"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昼间</w:t>
            </w:r>
          </w:p>
        </w:tc>
        <w:tc>
          <w:tcPr>
            <w:tcW w:w="402"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夜间</w:t>
            </w:r>
          </w:p>
        </w:tc>
        <w:tc>
          <w:tcPr>
            <w:tcW w:w="40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昼间</w:t>
            </w:r>
          </w:p>
        </w:tc>
        <w:tc>
          <w:tcPr>
            <w:tcW w:w="396"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568" w:type="pct"/>
            <w:tcBorders>
              <w:tl2br w:val="nil"/>
              <w:tr2bl w:val="nil"/>
            </w:tcBorders>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宋体"/>
                <w:color w:val="000000" w:themeColor="text1"/>
                <w:sz w:val="21"/>
                <w:szCs w:val="21"/>
                <w14:textFill>
                  <w14:solidFill>
                    <w14:schemeClr w14:val="tx1"/>
                  </w14:solidFill>
                </w14:textFill>
              </w:rPr>
              <w:t>保利湖心岛</w:t>
            </w:r>
          </w:p>
        </w:tc>
        <w:tc>
          <w:tcPr>
            <w:tcW w:w="47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2类</w:t>
            </w:r>
          </w:p>
        </w:tc>
        <w:tc>
          <w:tcPr>
            <w:tcW w:w="559" w:type="pct"/>
            <w:vMerge w:val="restart"/>
            <w:tcBorders>
              <w:tl2br w:val="nil"/>
              <w:tr2bl w:val="nil"/>
            </w:tcBorders>
            <w:vAlign w:val="center"/>
          </w:tcPr>
          <w:p>
            <w:pPr>
              <w:pStyle w:val="13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土石方开挖、砌体拆除、</w:t>
            </w:r>
          </w:p>
          <w:p>
            <w:pPr>
              <w:pStyle w:val="13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混凝土浇筑、车辆运输</w:t>
            </w:r>
          </w:p>
        </w:tc>
        <w:tc>
          <w:tcPr>
            <w:tcW w:w="54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85</w:t>
            </w:r>
          </w:p>
        </w:tc>
        <w:tc>
          <w:tcPr>
            <w:tcW w:w="630" w:type="pct"/>
            <w:tcBorders>
              <w:tl2br w:val="nil"/>
              <w:tr2bl w:val="nil"/>
            </w:tcBorders>
            <w:vAlign w:val="center"/>
          </w:tcPr>
          <w:p>
            <w:pPr>
              <w:pStyle w:val="13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54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62.7</w:t>
            </w:r>
          </w:p>
        </w:tc>
        <w:tc>
          <w:tcPr>
            <w:tcW w:w="469"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49.3</w:t>
            </w:r>
          </w:p>
        </w:tc>
        <w:tc>
          <w:tcPr>
            <w:tcW w:w="402"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47.7</w:t>
            </w:r>
          </w:p>
        </w:tc>
        <w:tc>
          <w:tcPr>
            <w:tcW w:w="40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62.89</w:t>
            </w:r>
          </w:p>
        </w:tc>
        <w:tc>
          <w:tcPr>
            <w:tcW w:w="396"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568" w:type="pct"/>
            <w:tcBorders>
              <w:tl2br w:val="nil"/>
              <w:tr2bl w:val="nil"/>
            </w:tcBorders>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宋体"/>
                <w:color w:val="000000" w:themeColor="text1"/>
                <w:sz w:val="21"/>
                <w:szCs w:val="21"/>
                <w14:textFill>
                  <w14:solidFill>
                    <w14:schemeClr w14:val="tx1"/>
                  </w14:solidFill>
                </w14:textFill>
              </w:rPr>
              <w:t>保利观湖</w:t>
            </w:r>
          </w:p>
        </w:tc>
        <w:tc>
          <w:tcPr>
            <w:tcW w:w="47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2类</w:t>
            </w:r>
          </w:p>
        </w:tc>
        <w:tc>
          <w:tcPr>
            <w:tcW w:w="559"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4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85</w:t>
            </w:r>
          </w:p>
        </w:tc>
        <w:tc>
          <w:tcPr>
            <w:tcW w:w="630" w:type="pct"/>
            <w:tcBorders>
              <w:tl2br w:val="nil"/>
              <w:tr2bl w:val="nil"/>
            </w:tcBorders>
            <w:vAlign w:val="center"/>
          </w:tcPr>
          <w:p>
            <w:pPr>
              <w:pStyle w:val="136"/>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61</w:t>
            </w:r>
          </w:p>
        </w:tc>
        <w:tc>
          <w:tcPr>
            <w:tcW w:w="54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49.2</w:t>
            </w:r>
          </w:p>
        </w:tc>
        <w:tc>
          <w:tcPr>
            <w:tcW w:w="469"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49.3</w:t>
            </w:r>
          </w:p>
        </w:tc>
        <w:tc>
          <w:tcPr>
            <w:tcW w:w="402"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47.7</w:t>
            </w:r>
          </w:p>
        </w:tc>
        <w:tc>
          <w:tcPr>
            <w:tcW w:w="40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52.26</w:t>
            </w:r>
          </w:p>
        </w:tc>
        <w:tc>
          <w:tcPr>
            <w:tcW w:w="396"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568" w:type="pct"/>
            <w:tcBorders>
              <w:tl2br w:val="nil"/>
              <w:tr2bl w:val="nil"/>
            </w:tcBorders>
            <w:vAlign w:val="center"/>
          </w:tcPr>
          <w:p>
            <w:pPr>
              <w:pStyle w:val="14"/>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ascii="宋体"/>
                <w:color w:val="000000" w:themeColor="text1"/>
                <w:sz w:val="21"/>
                <w:szCs w:val="21"/>
                <w14:textFill>
                  <w14:solidFill>
                    <w14:schemeClr w14:val="tx1"/>
                  </w14:solidFill>
                </w14:textFill>
              </w:rPr>
              <w:t>保利碧湖苑</w:t>
            </w:r>
          </w:p>
        </w:tc>
        <w:tc>
          <w:tcPr>
            <w:tcW w:w="47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2类</w:t>
            </w:r>
          </w:p>
        </w:tc>
        <w:tc>
          <w:tcPr>
            <w:tcW w:w="559"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4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85</w:t>
            </w:r>
          </w:p>
        </w:tc>
        <w:tc>
          <w:tcPr>
            <w:tcW w:w="630" w:type="pct"/>
            <w:tcBorders>
              <w:tl2br w:val="nil"/>
              <w:tr2bl w:val="nil"/>
            </w:tcBorders>
            <w:vAlign w:val="center"/>
          </w:tcPr>
          <w:p>
            <w:pPr>
              <w:pStyle w:val="136"/>
              <w:keepNext w:val="0"/>
              <w:keepLines w:val="0"/>
              <w:suppressLineNumbers w:val="0"/>
              <w:spacing w:before="0" w:beforeAutospacing="0" w:after="0" w:afterAutospacing="0"/>
              <w:ind w:left="0" w:right="0"/>
              <w:rPr>
                <w:rFonts w:hint="default"/>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138</w:t>
            </w:r>
          </w:p>
        </w:tc>
        <w:tc>
          <w:tcPr>
            <w:tcW w:w="54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42.2</w:t>
            </w:r>
          </w:p>
        </w:tc>
        <w:tc>
          <w:tcPr>
            <w:tcW w:w="469"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49.3</w:t>
            </w:r>
          </w:p>
        </w:tc>
        <w:tc>
          <w:tcPr>
            <w:tcW w:w="402"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47.7</w:t>
            </w:r>
          </w:p>
        </w:tc>
        <w:tc>
          <w:tcPr>
            <w:tcW w:w="40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50.07</w:t>
            </w:r>
          </w:p>
        </w:tc>
        <w:tc>
          <w:tcPr>
            <w:tcW w:w="396"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568"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狮子湖南侧居民点1#</w:t>
            </w:r>
          </w:p>
        </w:tc>
        <w:tc>
          <w:tcPr>
            <w:tcW w:w="47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2类</w:t>
            </w:r>
          </w:p>
        </w:tc>
        <w:tc>
          <w:tcPr>
            <w:tcW w:w="559"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4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76</w:t>
            </w:r>
          </w:p>
        </w:tc>
        <w:tc>
          <w:tcPr>
            <w:tcW w:w="630" w:type="pct"/>
            <w:tcBorders>
              <w:tl2br w:val="nil"/>
              <w:tr2bl w:val="nil"/>
            </w:tcBorders>
            <w:vAlign w:val="center"/>
          </w:tcPr>
          <w:p>
            <w:pPr>
              <w:pStyle w:val="136"/>
              <w:keepNext w:val="0"/>
              <w:keepLines w:val="0"/>
              <w:suppressLineNumbers w:val="0"/>
              <w:spacing w:before="0" w:beforeAutospacing="0" w:after="0" w:afterAutospacing="0"/>
              <w:ind w:left="0" w:right="0"/>
              <w:rPr>
                <w:rFonts w:hint="default"/>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6</w:t>
            </w:r>
          </w:p>
        </w:tc>
        <w:tc>
          <w:tcPr>
            <w:tcW w:w="54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60.4</w:t>
            </w:r>
          </w:p>
        </w:tc>
        <w:tc>
          <w:tcPr>
            <w:tcW w:w="469"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43.0</w:t>
            </w:r>
          </w:p>
        </w:tc>
        <w:tc>
          <w:tcPr>
            <w:tcW w:w="402"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36.1</w:t>
            </w:r>
          </w:p>
        </w:tc>
        <w:tc>
          <w:tcPr>
            <w:tcW w:w="40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60.48</w:t>
            </w:r>
          </w:p>
        </w:tc>
        <w:tc>
          <w:tcPr>
            <w:tcW w:w="396"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568"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狮子湖南侧居民点2#</w:t>
            </w:r>
          </w:p>
        </w:tc>
        <w:tc>
          <w:tcPr>
            <w:tcW w:w="47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2类</w:t>
            </w:r>
          </w:p>
        </w:tc>
        <w:tc>
          <w:tcPr>
            <w:tcW w:w="559" w:type="pct"/>
            <w:vMerge w:val="continue"/>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4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76</w:t>
            </w:r>
          </w:p>
        </w:tc>
        <w:tc>
          <w:tcPr>
            <w:tcW w:w="630" w:type="pct"/>
            <w:tcBorders>
              <w:tl2br w:val="nil"/>
              <w:tr2bl w:val="nil"/>
            </w:tcBorders>
            <w:vAlign w:val="center"/>
          </w:tcPr>
          <w:p>
            <w:pPr>
              <w:pStyle w:val="136"/>
              <w:keepNext w:val="0"/>
              <w:keepLines w:val="0"/>
              <w:suppressLineNumbers w:val="0"/>
              <w:spacing w:before="0" w:beforeAutospacing="0" w:after="0" w:afterAutospacing="0"/>
              <w:ind w:left="0" w:right="0"/>
              <w:rPr>
                <w:rFonts w:hint="default"/>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98</w:t>
            </w:r>
          </w:p>
        </w:tc>
        <w:tc>
          <w:tcPr>
            <w:tcW w:w="547"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60.4</w:t>
            </w:r>
          </w:p>
        </w:tc>
        <w:tc>
          <w:tcPr>
            <w:tcW w:w="469"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43.0</w:t>
            </w:r>
          </w:p>
        </w:tc>
        <w:tc>
          <w:tcPr>
            <w:tcW w:w="402"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36.1</w:t>
            </w:r>
          </w:p>
        </w:tc>
        <w:tc>
          <w:tcPr>
            <w:tcW w:w="404"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60.48</w:t>
            </w:r>
          </w:p>
        </w:tc>
        <w:tc>
          <w:tcPr>
            <w:tcW w:w="396" w:type="pct"/>
            <w:tcBorders>
              <w:tl2br w:val="nil"/>
              <w:tr2bl w:val="nil"/>
            </w:tcBorders>
            <w:vAlign w:val="center"/>
          </w:tcPr>
          <w:p>
            <w:pPr>
              <w:pStyle w:val="127"/>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36.1</w:t>
            </w:r>
          </w:p>
        </w:tc>
      </w:tr>
    </w:tbl>
    <w:p>
      <w:pPr>
        <w:autoSpaceDE/>
        <w:autoSpaceDN/>
        <w:snapToGrid w:val="0"/>
        <w:spacing w:line="360" w:lineRule="auto"/>
        <w:ind w:firstLine="480" w:firstLineChars="200"/>
        <w:jc w:val="both"/>
        <w:rPr>
          <w:b/>
          <w:bCs/>
          <w:color w:val="000000" w:themeColor="text1"/>
          <w:kern w:val="0"/>
          <w:sz w:val="24"/>
          <w:szCs w:val="20"/>
          <w:highlight w:val="darkCyan"/>
          <w14:textFill>
            <w14:solidFill>
              <w14:schemeClr w14:val="tx1"/>
            </w14:solidFill>
          </w14:textFill>
        </w:rPr>
      </w:pPr>
      <w:r>
        <w:rPr>
          <w:rFonts w:hint="eastAsia"/>
          <w:color w:val="000000" w:themeColor="text1"/>
          <w:kern w:val="0"/>
          <w:sz w:val="24"/>
          <w:szCs w:val="20"/>
          <w14:textFill>
            <w14:solidFill>
              <w14:schemeClr w14:val="tx1"/>
            </w14:solidFill>
          </w14:textFill>
        </w:rPr>
        <w:t>根据预测结果，</w:t>
      </w:r>
      <w:r>
        <w:rPr>
          <w:color w:val="000000" w:themeColor="text1"/>
          <w:kern w:val="0"/>
          <w:sz w:val="24"/>
          <w:szCs w:val="20"/>
          <w14:textFill>
            <w14:solidFill>
              <w14:schemeClr w14:val="tx1"/>
            </w14:solidFill>
          </w14:textFill>
        </w:rPr>
        <w:t>若现场无隔声减噪措施，噪声将产生较大的影响，</w:t>
      </w:r>
      <w:r>
        <w:rPr>
          <w:rFonts w:hint="eastAsia"/>
          <w:color w:val="000000" w:themeColor="text1"/>
          <w:kern w:val="0"/>
          <w:sz w:val="24"/>
          <w:szCs w:val="20"/>
          <w14:textFill>
            <w14:solidFill>
              <w14:schemeClr w14:val="tx1"/>
            </w14:solidFill>
          </w14:textFill>
        </w:rPr>
        <w:t>距离北支一渠北侧仅20m保利湖心岛（约4500人）和狮子湖南侧居民点在不采取任何防护措施的情况下，施工期昼间噪声将不达标</w:t>
      </w:r>
      <w:r>
        <w:rPr>
          <w:color w:val="000000" w:themeColor="text1"/>
          <w:kern w:val="0"/>
          <w:sz w:val="24"/>
          <w:szCs w:val="20"/>
          <w14:textFill>
            <w14:solidFill>
              <w14:schemeClr w14:val="tx1"/>
            </w14:solidFill>
          </w14:textFill>
        </w:rPr>
        <w:t>，可见昼间施工的情况下，对声环境敏感点影响较大。</w:t>
      </w:r>
    </w:p>
    <w:p>
      <w:pPr>
        <w:autoSpaceDE/>
        <w:autoSpaceDN/>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环评要求：在施工期间，</w:t>
      </w:r>
      <w:r>
        <w:rPr>
          <w:color w:val="000000" w:themeColor="text1"/>
          <w:kern w:val="0"/>
          <w:sz w:val="24"/>
          <w:szCs w:val="20"/>
          <w14:textFill>
            <w14:solidFill>
              <w14:schemeClr w14:val="tx1"/>
            </w14:solidFill>
          </w14:textFill>
        </w:rPr>
        <w:t>建设单位</w:t>
      </w:r>
      <w:r>
        <w:rPr>
          <w:rFonts w:hint="eastAsia"/>
          <w:color w:val="000000" w:themeColor="text1"/>
          <w:kern w:val="0"/>
          <w:sz w:val="24"/>
          <w:szCs w:val="20"/>
          <w14:textFill>
            <w14:solidFill>
              <w14:schemeClr w14:val="tx1"/>
            </w14:solidFill>
          </w14:textFill>
        </w:rPr>
        <w:t>须</w:t>
      </w:r>
      <w:r>
        <w:rPr>
          <w:color w:val="000000" w:themeColor="text1"/>
          <w:kern w:val="0"/>
          <w:sz w:val="24"/>
          <w:szCs w:val="20"/>
          <w14:textFill>
            <w14:solidFill>
              <w14:schemeClr w14:val="tx1"/>
            </w14:solidFill>
          </w14:textFill>
        </w:rPr>
        <w:t>合理安排施工时间，禁止夜间施工，选用低噪声设备和工艺等措施，从源头上降低噪声排放。</w:t>
      </w:r>
      <w:r>
        <w:rPr>
          <w:color w:val="000000" w:themeColor="text1"/>
          <w:kern w:val="0"/>
          <w:sz w:val="24"/>
          <w:szCs w:val="24"/>
          <w14:textFill>
            <w14:solidFill>
              <w14:schemeClr w14:val="tx1"/>
            </w14:solidFill>
          </w14:textFill>
        </w:rPr>
        <w:t>本项目施工噪声属于短期污染行为，其对周围声环境质量的影响将随施工活动的结束而消失</w:t>
      </w:r>
      <w:r>
        <w:rPr>
          <w:rFonts w:hint="eastAsia"/>
          <w:color w:val="000000" w:themeColor="text1"/>
          <w:kern w:val="0"/>
          <w:sz w:val="24"/>
          <w:szCs w:val="24"/>
          <w14:textFill>
            <w14:solidFill>
              <w14:schemeClr w14:val="tx1"/>
            </w14:solidFill>
          </w14:textFill>
        </w:rPr>
        <w:t>。</w:t>
      </w:r>
      <w:r>
        <w:rPr>
          <w:color w:val="000000" w:themeColor="text1"/>
          <w:kern w:val="0"/>
          <w:sz w:val="24"/>
          <w:szCs w:val="20"/>
          <w14:textFill>
            <w14:solidFill>
              <w14:schemeClr w14:val="tx1"/>
            </w14:solidFill>
          </w14:textFill>
        </w:rPr>
        <w:t>因此</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本工程施工期间对周边居民</w:t>
      </w:r>
      <w:r>
        <w:rPr>
          <w:rFonts w:hint="eastAsia"/>
          <w:color w:val="000000" w:themeColor="text1"/>
          <w:kern w:val="0"/>
          <w:sz w:val="24"/>
          <w:szCs w:val="20"/>
          <w14:textFill>
            <w14:solidFill>
              <w14:schemeClr w14:val="tx1"/>
            </w14:solidFill>
          </w14:textFill>
        </w:rPr>
        <w:t>影响较小</w:t>
      </w:r>
      <w:r>
        <w:rPr>
          <w:color w:val="000000" w:themeColor="text1"/>
          <w:kern w:val="0"/>
          <w:sz w:val="24"/>
          <w:szCs w:val="20"/>
          <w14:textFill>
            <w14:solidFill>
              <w14:schemeClr w14:val="tx1"/>
            </w14:solidFill>
          </w14:textFill>
        </w:rPr>
        <w:t>。</w:t>
      </w:r>
    </w:p>
    <w:p>
      <w:pPr>
        <w:autoSpaceDE/>
        <w:autoSpaceDN/>
        <w:adjustRightInd w:val="0"/>
        <w:snapToGrid w:val="0"/>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85" w:name="_Toc70496309"/>
      <w:bookmarkStart w:id="486" w:name="_Toc25769"/>
      <w:r>
        <w:rPr>
          <w:rFonts w:eastAsia="黑体"/>
          <w:b/>
          <w:bCs/>
          <w:color w:val="000000" w:themeColor="text1"/>
          <w:kern w:val="0"/>
          <w:sz w:val="32"/>
          <w:szCs w:val="32"/>
          <w14:textFill>
            <w14:solidFill>
              <w14:schemeClr w14:val="tx1"/>
            </w14:solidFill>
          </w14:textFill>
        </w:rPr>
        <w:t>4.7营运期声环境影响预测和评价</w:t>
      </w:r>
      <w:bookmarkEnd w:id="485"/>
      <w:bookmarkEnd w:id="486"/>
    </w:p>
    <w:p>
      <w:pPr>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项目为渠道整治项目，改造完成后</w:t>
      </w:r>
      <w:r>
        <w:rPr>
          <w:color w:val="000000" w:themeColor="text1"/>
          <w:kern w:val="0"/>
          <w:sz w:val="24"/>
          <w:szCs w:val="20"/>
          <w14:textFill>
            <w14:solidFill>
              <w14:schemeClr w14:val="tx1"/>
            </w14:solidFill>
          </w14:textFill>
        </w:rPr>
        <w:t>无产生噪声的设备，因此，本项目运营期不会对项目区及周边声环境产生影响。</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87" w:name="_Toc28453"/>
      <w:bookmarkStart w:id="488" w:name="_Toc20534"/>
      <w:bookmarkStart w:id="489" w:name="_Toc70496310"/>
      <w:r>
        <w:rPr>
          <w:rFonts w:eastAsia="黑体"/>
          <w:b/>
          <w:bCs/>
          <w:color w:val="000000" w:themeColor="text1"/>
          <w:kern w:val="0"/>
          <w:sz w:val="32"/>
          <w:szCs w:val="32"/>
          <w14:textFill>
            <w14:solidFill>
              <w14:schemeClr w14:val="tx1"/>
            </w14:solidFill>
          </w14:textFill>
        </w:rPr>
        <w:t>4.8施工期固体废物</w:t>
      </w:r>
      <w:bookmarkEnd w:id="487"/>
      <w:r>
        <w:rPr>
          <w:rFonts w:eastAsia="黑体"/>
          <w:b/>
          <w:bCs/>
          <w:color w:val="000000" w:themeColor="text1"/>
          <w:kern w:val="0"/>
          <w:sz w:val="32"/>
          <w:szCs w:val="32"/>
          <w14:textFill>
            <w14:solidFill>
              <w14:schemeClr w14:val="tx1"/>
            </w14:solidFill>
          </w14:textFill>
        </w:rPr>
        <w:t>影响预测与评价</w:t>
      </w:r>
      <w:bookmarkEnd w:id="488"/>
      <w:bookmarkEnd w:id="489"/>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1、建筑</w:t>
      </w:r>
      <w:r>
        <w:rPr>
          <w:b/>
          <w:color w:val="000000" w:themeColor="text1"/>
          <w:kern w:val="0"/>
          <w:sz w:val="24"/>
          <w:szCs w:val="20"/>
          <w14:textFill>
            <w14:solidFill>
              <w14:schemeClr w14:val="tx1"/>
            </w14:solidFill>
          </w14:textFill>
        </w:rPr>
        <w:t>垃圾</w:t>
      </w:r>
    </w:p>
    <w:p>
      <w:pPr>
        <w:snapToGrid w:val="0"/>
        <w:spacing w:line="360" w:lineRule="auto"/>
        <w:ind w:firstLine="480" w:firstLineChars="200"/>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本项目在施工的过程中产的工程建筑垃圾主要是对破损渠系建筑物破碎产生的混凝废料、拆除的废旧设施、废钢筋等。施工过程中产生的建筑垃圾约1580t。其中不可回收的建筑垃圾（如混凝土废料、含砖、石、砂的杂土等）占总量的90%，约1422t，可回收建筑垃圾约158t。施工产生的废料首先考虑废料的回收利用，对拆除的设备、钢筋、钢板、木材等下角料可分类回收，送废品回收站，</w:t>
      </w:r>
      <w:r>
        <w:rPr>
          <w:color w:val="000000" w:themeColor="text1"/>
          <w:kern w:val="0"/>
          <w:sz w:val="24"/>
          <w:szCs w:val="20"/>
          <w14:textFill>
            <w14:solidFill>
              <w14:schemeClr w14:val="tx1"/>
            </w14:solidFill>
          </w14:textFill>
        </w:rPr>
        <w:t>不能利用的</w:t>
      </w:r>
      <w:r>
        <w:rPr>
          <w:rFonts w:hint="eastAsia"/>
          <w:color w:val="000000" w:themeColor="text1"/>
          <w:kern w:val="0"/>
          <w:sz w:val="24"/>
          <w:szCs w:val="20"/>
          <w14:textFill>
            <w14:solidFill>
              <w14:schemeClr w14:val="tx1"/>
            </w14:solidFill>
          </w14:textFill>
        </w:rPr>
        <w:t>砖、石、砂等</w:t>
      </w:r>
      <w:r>
        <w:rPr>
          <w:color w:val="000000" w:themeColor="text1"/>
          <w:kern w:val="0"/>
          <w:sz w:val="24"/>
          <w:szCs w:val="20"/>
          <w14:textFill>
            <w14:solidFill>
              <w14:schemeClr w14:val="tx1"/>
            </w14:solidFill>
          </w14:textFill>
        </w:rPr>
        <w:t>集中堆置，</w:t>
      </w:r>
      <w:r>
        <w:rPr>
          <w:rFonts w:hint="eastAsia"/>
          <w:color w:val="000000" w:themeColor="text1"/>
          <w:sz w:val="24"/>
          <w14:textFill>
            <w14:solidFill>
              <w14:schemeClr w14:val="tx1"/>
            </w14:solidFill>
          </w14:textFill>
        </w:rPr>
        <w:t>交</w:t>
      </w:r>
      <w:r>
        <w:rPr>
          <w:rFonts w:hint="eastAsia" w:ascii="Times New Roman" w:hAnsi="Times New Roman" w:eastAsia="宋体" w:cs="Times New Roman"/>
          <w:color w:val="000000" w:themeColor="text1"/>
          <w:kern w:val="0"/>
          <w:sz w:val="24"/>
          <w:lang w:val="zh-CN"/>
          <w14:textFill>
            <w14:solidFill>
              <w14:schemeClr w14:val="tx1"/>
            </w14:solidFill>
          </w14:textFill>
        </w:rPr>
        <w:t>指定建筑垃圾堆放场</w:t>
      </w:r>
      <w:r>
        <w:rPr>
          <w:rFonts w:hint="eastAsia"/>
          <w:color w:val="000000" w:themeColor="text1"/>
          <w:sz w:val="24"/>
          <w14:textFill>
            <w14:solidFill>
              <w14:schemeClr w14:val="tx1"/>
            </w14:solidFill>
          </w14:textFill>
        </w:rPr>
        <w:t>处置</w:t>
      </w:r>
      <w:r>
        <w:rPr>
          <w:color w:val="000000" w:themeColor="text1"/>
          <w:kern w:val="0"/>
          <w:sz w:val="24"/>
          <w:szCs w:val="20"/>
          <w14:textFill>
            <w14:solidFill>
              <w14:schemeClr w14:val="tx1"/>
            </w14:solidFill>
          </w14:textFill>
        </w:rPr>
        <w:t>，</w:t>
      </w:r>
      <w:r>
        <w:rPr>
          <w:rFonts w:hint="eastAsia"/>
          <w:color w:val="000000" w:themeColor="text1"/>
          <w:kern w:val="0"/>
          <w:sz w:val="24"/>
          <w:szCs w:val="20"/>
          <w14:textFill>
            <w14:solidFill>
              <w14:schemeClr w14:val="tx1"/>
            </w14:solidFill>
          </w14:textFill>
        </w:rPr>
        <w:t>经处置后</w:t>
      </w:r>
      <w:r>
        <w:rPr>
          <w:color w:val="000000" w:themeColor="text1"/>
          <w:kern w:val="0"/>
          <w:sz w:val="24"/>
          <w:szCs w:val="20"/>
          <w14:textFill>
            <w14:solidFill>
              <w14:schemeClr w14:val="tx1"/>
            </w14:solidFill>
          </w14:textFill>
        </w:rPr>
        <w:t>对环境的影响较小。</w:t>
      </w:r>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2、</w:t>
      </w:r>
      <w:r>
        <w:rPr>
          <w:b/>
          <w:color w:val="000000" w:themeColor="text1"/>
          <w:kern w:val="0"/>
          <w:sz w:val="24"/>
          <w:szCs w:val="20"/>
          <w14:textFill>
            <w14:solidFill>
              <w14:schemeClr w14:val="tx1"/>
            </w14:solidFill>
          </w14:textFill>
        </w:rPr>
        <w:t>土石方、淤泥</w:t>
      </w:r>
      <w:r>
        <w:rPr>
          <w:rFonts w:hint="eastAsia"/>
          <w:b/>
          <w:color w:val="000000" w:themeColor="text1"/>
          <w:kern w:val="0"/>
          <w:sz w:val="24"/>
          <w:szCs w:val="20"/>
          <w14:textFill>
            <w14:solidFill>
              <w14:schemeClr w14:val="tx1"/>
            </w14:solidFill>
          </w14:textFill>
        </w:rPr>
        <w:t>、沉淀池沉渣</w:t>
      </w:r>
    </w:p>
    <w:p>
      <w:pPr>
        <w:adjustRightInd w:val="0"/>
        <w:snapToGrid w:val="0"/>
        <w:spacing w:line="360" w:lineRule="auto"/>
        <w:ind w:firstLine="480" w:firstLineChars="200"/>
        <w:rPr>
          <w:color w:val="000000" w:themeColor="text1"/>
          <w:sz w:val="24"/>
          <w:lang w:val="zh-CN"/>
          <w14:textFill>
            <w14:solidFill>
              <w14:schemeClr w14:val="tx1"/>
            </w14:solidFill>
          </w14:textFill>
        </w:rPr>
      </w:pPr>
      <w:r>
        <w:rPr>
          <w:color w:val="000000" w:themeColor="text1"/>
          <w:sz w:val="24"/>
          <w:szCs w:val="24"/>
          <w14:textFill>
            <w14:solidFill>
              <w14:schemeClr w14:val="tx1"/>
            </w14:solidFill>
          </w14:textFill>
        </w:rPr>
        <w:t>根据土石方平衡，开挖总量</w:t>
      </w:r>
      <w:r>
        <w:rPr>
          <w:rFonts w:hint="eastAsia"/>
          <w:color w:val="000000" w:themeColor="text1"/>
          <w:sz w:val="24"/>
          <w:szCs w:val="24"/>
          <w14:textFill>
            <w14:solidFill>
              <w14:schemeClr w14:val="tx1"/>
            </w14:solidFill>
          </w14:textFill>
        </w:rPr>
        <w:t>8.28</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含表土剥离</w:t>
      </w:r>
      <w:r>
        <w:rPr>
          <w:rFonts w:hint="eastAsia"/>
          <w:color w:val="000000" w:themeColor="text1"/>
          <w:sz w:val="24"/>
          <w:szCs w:val="24"/>
          <w14:textFill>
            <w14:solidFill>
              <w14:schemeClr w14:val="tx1"/>
            </w14:solidFill>
          </w14:textFill>
        </w:rPr>
        <w:t>3.22</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开挖淤泥0.06万</w:t>
      </w:r>
      <w:r>
        <w:rPr>
          <w:rFonts w:hint="eastAsia"/>
          <w:color w:val="000000" w:themeColor="text1"/>
          <w:kern w:val="0"/>
          <w:sz w:val="24"/>
          <w:szCs w:val="24"/>
          <w:lang w:val="en"/>
          <w14:textFill>
            <w14:solidFill>
              <w14:schemeClr w14:val="tx1"/>
            </w14:solidFill>
          </w14:textFill>
        </w:rPr>
        <w:t>m</w:t>
      </w:r>
      <w:r>
        <w:rPr>
          <w:rFonts w:hint="eastAsia"/>
          <w:color w:val="000000" w:themeColor="text1"/>
          <w:kern w:val="0"/>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；回填总量</w:t>
      </w:r>
      <w:r>
        <w:rPr>
          <w:rFonts w:hint="eastAsia"/>
          <w:color w:val="000000" w:themeColor="text1"/>
          <w:sz w:val="24"/>
          <w:szCs w:val="24"/>
          <w14:textFill>
            <w14:solidFill>
              <w14:schemeClr w14:val="tx1"/>
            </w14:solidFill>
          </w14:textFill>
        </w:rPr>
        <w:t>5.83</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含表土回覆</w:t>
      </w:r>
      <w:r>
        <w:rPr>
          <w:rFonts w:hint="eastAsia"/>
          <w:color w:val="000000" w:themeColor="text1"/>
          <w:sz w:val="24"/>
          <w:szCs w:val="24"/>
          <w14:textFill>
            <w14:solidFill>
              <w14:schemeClr w14:val="tx1"/>
            </w14:solidFill>
          </w14:textFill>
        </w:rPr>
        <w:t>3.22</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，无借方，余方</w:t>
      </w:r>
      <w:r>
        <w:rPr>
          <w:rFonts w:hint="eastAsia"/>
          <w:color w:val="000000" w:themeColor="text1"/>
          <w:sz w:val="24"/>
          <w:szCs w:val="24"/>
          <w14:textFill>
            <w14:solidFill>
              <w14:schemeClr w14:val="tx1"/>
            </w14:solidFill>
          </w14:textFill>
        </w:rPr>
        <w:t>2.45</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，余方主要为灌排渠道工程开挖土石方</w:t>
      </w:r>
      <w:r>
        <w:rPr>
          <w:rFonts w:hint="eastAsia"/>
          <w:color w:val="000000" w:themeColor="text1"/>
          <w:sz w:val="24"/>
          <w:szCs w:val="24"/>
          <w14:textFill>
            <w14:solidFill>
              <w14:schemeClr w14:val="tx1"/>
            </w14:solidFill>
          </w14:textFill>
        </w:rPr>
        <w:t>。</w:t>
      </w:r>
      <w:r>
        <w:rPr>
          <w:rFonts w:hint="eastAsia" w:eastAsia="宋"/>
          <w:color w:val="000000" w:themeColor="text1"/>
          <w:sz w:val="24"/>
          <w14:textFill>
            <w14:solidFill>
              <w14:schemeClr w14:val="tx1"/>
            </w14:solidFill>
          </w14:textFill>
        </w:rPr>
        <w:t>工程施工前剥离的表土（3.22</w:t>
      </w:r>
      <w:r>
        <w:rPr>
          <w:rFonts w:hint="eastAsia"/>
          <w:color w:val="000000" w:themeColor="text1"/>
          <w:sz w:val="24"/>
          <w14:textFill>
            <w14:solidFill>
              <w14:schemeClr w14:val="tx1"/>
            </w14:solidFill>
          </w14:textFill>
        </w:rPr>
        <w:t>万m</w:t>
      </w:r>
      <w:r>
        <w:rPr>
          <w:rFonts w:hint="eastAsia"/>
          <w:color w:val="000000" w:themeColor="text1"/>
          <w:sz w:val="24"/>
          <w:vertAlign w:val="superscript"/>
          <w14:textFill>
            <w14:solidFill>
              <w14:schemeClr w14:val="tx1"/>
            </w14:solidFill>
          </w14:textFill>
        </w:rPr>
        <w:t>3</w:t>
      </w:r>
      <w:r>
        <w:rPr>
          <w:rFonts w:hint="eastAsia" w:eastAsia="宋"/>
          <w:color w:val="000000" w:themeColor="text1"/>
          <w:sz w:val="24"/>
          <w14:textFill>
            <w14:solidFill>
              <w14:schemeClr w14:val="tx1"/>
            </w14:solidFill>
          </w14:textFill>
        </w:rPr>
        <w:t>）在施工后用于渠道施工现场、临时占地区域的表土回填。</w:t>
      </w:r>
      <w:r>
        <w:rPr>
          <w:rFonts w:hint="eastAsia"/>
          <w:color w:val="000000" w:themeColor="text1"/>
          <w:sz w:val="24"/>
          <w14:textFill>
            <w14:solidFill>
              <w14:schemeClr w14:val="tx1"/>
            </w14:solidFill>
          </w14:textFill>
        </w:rPr>
        <w:t>淤泥（0.06万m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）主要以泥沙淤积为主，</w:t>
      </w:r>
      <w:r>
        <w:rPr>
          <w:rFonts w:hint="eastAsia"/>
          <w:color w:val="000000" w:themeColor="text1"/>
          <w:sz w:val="24"/>
          <w:lang w:val="en-US" w:eastAsia="zh-CN"/>
          <w14:textFill>
            <w14:solidFill>
              <w14:schemeClr w14:val="tx1"/>
            </w14:solidFill>
          </w14:textFill>
        </w:rPr>
        <w:t>开挖后需干化的淤泥在渠道内翻晒、干化后</w:t>
      </w:r>
      <w:r>
        <w:rPr>
          <w:rFonts w:hint="eastAsia" w:eastAsia="宋"/>
          <w:color w:val="000000" w:themeColor="text1"/>
          <w:sz w:val="24"/>
          <w14:textFill>
            <w14:solidFill>
              <w14:schemeClr w14:val="tx1"/>
            </w14:solidFill>
          </w14:textFill>
        </w:rPr>
        <w:t>同开挖土石余方一起，</w:t>
      </w:r>
      <w:r>
        <w:rPr>
          <w:rFonts w:hint="eastAsia"/>
          <w:color w:val="000000" w:themeColor="text1"/>
          <w:sz w:val="24"/>
          <w:lang w:val="zh-CN"/>
          <w14:textFill>
            <w14:solidFill>
              <w14:schemeClr w14:val="tx1"/>
            </w14:solidFill>
          </w14:textFill>
        </w:rPr>
        <w:t>运至</w:t>
      </w:r>
      <w:r>
        <w:rPr>
          <w:rFonts w:hint="eastAsia"/>
          <w:color w:val="000000" w:themeColor="text1"/>
          <w:sz w:val="24"/>
          <w14:textFill>
            <w14:solidFill>
              <w14:schemeClr w14:val="tx1"/>
            </w14:solidFill>
          </w14:textFill>
        </w:rPr>
        <w:t>运至董家堰临时堆土场暂存（约1年），</w:t>
      </w:r>
      <w:r>
        <w:rPr>
          <w:rFonts w:hint="eastAsia"/>
          <w:color w:val="000000" w:themeColor="text1"/>
          <w:sz w:val="24"/>
          <w:lang w:val="en-US" w:eastAsia="zh-CN"/>
          <w14:textFill>
            <w14:solidFill>
              <w14:schemeClr w14:val="tx1"/>
            </w14:solidFill>
          </w14:textFill>
        </w:rPr>
        <w:t>无需干化的淤泥，开挖后直接运至</w:t>
      </w:r>
      <w:r>
        <w:rPr>
          <w:rFonts w:hint="eastAsia"/>
          <w:color w:val="000000" w:themeColor="text1"/>
          <w:sz w:val="24"/>
          <w14:textFill>
            <w14:solidFill>
              <w14:schemeClr w14:val="tx1"/>
            </w14:solidFill>
          </w14:textFill>
        </w:rPr>
        <w:t>董家堰临时堆土场</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项目剩余弃方中约1.53</w:t>
      </w:r>
      <w:r>
        <w:rPr>
          <w:rFonts w:hint="eastAsia"/>
          <w:color w:val="000000" w:themeColor="text1"/>
          <w:sz w:val="24"/>
          <w14:textFill>
            <w14:solidFill>
              <w14:schemeClr w14:val="tx1"/>
            </w14:solidFill>
          </w14:textFill>
        </w:rPr>
        <w:t>万m</w:t>
      </w:r>
      <w:r>
        <w:rPr>
          <w:rFonts w:hint="eastAsia"/>
          <w:color w:val="000000" w:themeColor="text1"/>
          <w:sz w:val="24"/>
          <w:vertAlign w:val="superscript"/>
          <w14:textFill>
            <w14:solidFill>
              <w14:schemeClr w14:val="tx1"/>
            </w14:solidFill>
          </w14:textFill>
        </w:rPr>
        <w:t>3</w:t>
      </w:r>
      <w:r>
        <w:rPr>
          <w:rFonts w:hint="eastAsia"/>
          <w:color w:val="000000" w:themeColor="text1"/>
          <w:sz w:val="24"/>
          <w:vertAlign w:val="baseline"/>
          <w:lang w:val="en-US" w:eastAsia="zh-CN"/>
          <w14:textFill>
            <w14:solidFill>
              <w14:schemeClr w14:val="tx1"/>
            </w14:solidFill>
          </w14:textFill>
        </w:rPr>
        <w:t>同淤泥一起运至董家堰临时堆土场暂存，</w:t>
      </w:r>
      <w:r>
        <w:rPr>
          <w:rFonts w:hint="eastAsia"/>
          <w:color w:val="000000" w:themeColor="text1"/>
          <w:sz w:val="24"/>
          <w14:textFill>
            <w14:solidFill>
              <w14:schemeClr w14:val="tx1"/>
            </w14:solidFill>
          </w14:textFill>
        </w:rPr>
        <w:t>之后</w:t>
      </w:r>
      <w:r>
        <w:rPr>
          <w:rFonts w:hint="eastAsia"/>
          <w:color w:val="000000" w:themeColor="text1"/>
          <w:sz w:val="24"/>
          <w:lang w:val="zh-CN"/>
          <w14:textFill>
            <w14:solidFill>
              <w14:schemeClr w14:val="tx1"/>
            </w14:solidFill>
          </w14:textFill>
        </w:rPr>
        <w:t>运往临时堆土区用作成都市环城生态区农田综合整治及农业灌区设施建设项目农田综合整治等其他工程回填；</w:t>
      </w:r>
      <w:r>
        <w:rPr>
          <w:rFonts w:hint="eastAsia"/>
          <w:color w:val="000000" w:themeColor="text1"/>
          <w:sz w:val="24"/>
          <w:lang w:val="en-US" w:eastAsia="zh-CN"/>
          <w14:textFill>
            <w14:solidFill>
              <w14:schemeClr w14:val="tx1"/>
            </w14:solidFill>
          </w14:textFill>
        </w:rPr>
        <w:t>剩余弃方</w:t>
      </w:r>
      <w:r>
        <w:rPr>
          <w:rFonts w:hint="eastAsia"/>
          <w:color w:val="000000" w:themeColor="text1"/>
          <w:sz w:val="24"/>
          <w:vertAlign w:val="baseline"/>
          <w:lang w:val="en-US" w:eastAsia="zh-CN"/>
          <w14:textFill>
            <w14:solidFill>
              <w14:schemeClr w14:val="tx1"/>
            </w14:solidFill>
          </w14:textFill>
        </w:rPr>
        <w:t>约0.86</w:t>
      </w:r>
      <w:r>
        <w:rPr>
          <w:rFonts w:hint="eastAsia"/>
          <w:color w:val="000000" w:themeColor="text1"/>
          <w:sz w:val="24"/>
          <w14:textFill>
            <w14:solidFill>
              <w14:schemeClr w14:val="tx1"/>
            </w14:solidFill>
          </w14:textFill>
        </w:rPr>
        <w:t>万m</w:t>
      </w:r>
      <w:r>
        <w:rPr>
          <w:rFonts w:hint="eastAsia"/>
          <w:color w:val="000000" w:themeColor="text1"/>
          <w:sz w:val="24"/>
          <w:vertAlign w:val="superscript"/>
          <w14:textFill>
            <w14:solidFill>
              <w14:schemeClr w14:val="tx1"/>
            </w14:solidFill>
          </w14:textFill>
        </w:rPr>
        <w:t>3</w:t>
      </w:r>
      <w:r>
        <w:rPr>
          <w:rFonts w:hint="eastAsia"/>
          <w:color w:val="000000" w:themeColor="text1"/>
          <w:sz w:val="24"/>
          <w:lang w:val="en-US" w:eastAsia="zh-CN"/>
          <w14:textFill>
            <w14:solidFill>
              <w14:schemeClr w14:val="tx1"/>
            </w14:solidFill>
          </w14:textFill>
        </w:rPr>
        <w:t>运至南五、南六余土摊平处理区由环城生态带农田整治工程就地利用</w:t>
      </w:r>
      <w:r>
        <w:rPr>
          <w:rFonts w:hint="eastAsia"/>
          <w:color w:val="000000" w:themeColor="text1"/>
          <w:sz w:val="24"/>
          <w:lang w:val="zh-CN"/>
          <w14:textFill>
            <w14:solidFill>
              <w14:schemeClr w14:val="tx1"/>
            </w14:solidFill>
          </w14:textFill>
        </w:rPr>
        <w:t>。</w:t>
      </w:r>
    </w:p>
    <w:p>
      <w:pPr>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根据本项目底泥现状监测结果，各</w:t>
      </w:r>
      <w:r>
        <w:rPr>
          <w:rFonts w:hint="eastAsia"/>
          <w:color w:val="000000" w:themeColor="text1"/>
          <w:sz w:val="24"/>
          <w14:textFill>
            <w14:solidFill>
              <w14:schemeClr w14:val="tx1"/>
            </w14:solidFill>
          </w14:textFill>
        </w:rPr>
        <w:t>渠道</w:t>
      </w:r>
      <w:r>
        <w:rPr>
          <w:color w:val="000000" w:themeColor="text1"/>
          <w:sz w:val="24"/>
          <w14:textFill>
            <w14:solidFill>
              <w14:schemeClr w14:val="tx1"/>
            </w14:solidFill>
          </w14:textFill>
        </w:rPr>
        <w:t>底泥中的监测因子均可以达到《土壤环境质量农用地土壤污染风险管控标准（试行）》（GB15618-2018）中表1农用地土壤污染风险筛选值，因此在采取严格防渗措施后淤泥堆场对土壤环境基本无影响，对环境影响不大。</w:t>
      </w:r>
    </w:p>
    <w:p>
      <w:pPr>
        <w:autoSpaceDE/>
        <w:autoSpaceDN/>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本工程</w:t>
      </w:r>
      <w:r>
        <w:rPr>
          <w:rFonts w:hint="eastAsia"/>
          <w:color w:val="000000" w:themeColor="text1"/>
          <w:kern w:val="0"/>
          <w:sz w:val="24"/>
          <w:szCs w:val="20"/>
          <w14:textFill>
            <w14:solidFill>
              <w14:schemeClr w14:val="tx1"/>
            </w14:solidFill>
          </w14:textFill>
        </w:rPr>
        <w:t>弃方</w:t>
      </w:r>
      <w:r>
        <w:rPr>
          <w:color w:val="000000" w:themeColor="text1"/>
          <w:kern w:val="0"/>
          <w:sz w:val="24"/>
          <w:szCs w:val="20"/>
          <w14:textFill>
            <w14:solidFill>
              <w14:schemeClr w14:val="tx1"/>
            </w14:solidFill>
          </w14:textFill>
        </w:rPr>
        <w:t>运输严格按照验收有关渣土运输的有关规定，选用性能良好、车厢封闭较好、证件齐全的车辆，严格按照指定的线路行驶，</w:t>
      </w:r>
      <w:r>
        <w:rPr>
          <w:snapToGrid w:val="0"/>
          <w:color w:val="000000" w:themeColor="text1"/>
          <w:kern w:val="0"/>
          <w:sz w:val="24"/>
          <w:szCs w:val="20"/>
          <w14:textFill>
            <w14:solidFill>
              <w14:schemeClr w14:val="tx1"/>
            </w14:solidFill>
          </w14:textFill>
        </w:rPr>
        <w:t>清运路线应由环境卫生管理部门会同交通管理部门确定，</w:t>
      </w:r>
      <w:r>
        <w:rPr>
          <w:color w:val="000000" w:themeColor="text1"/>
          <w:kern w:val="0"/>
          <w:sz w:val="24"/>
          <w:szCs w:val="20"/>
          <w14:textFill>
            <w14:solidFill>
              <w14:schemeClr w14:val="tx1"/>
            </w14:solidFill>
          </w14:textFill>
        </w:rPr>
        <w:t>运输车辆按照规定线路行驶。做到运输车辆不超载，车厢上部全部用篷布覆盖，避免运输过程中渣土散落污染市区道路及周边环境。同时需在土方运输的区间段内安排清洁人员，随时对车辆散落下来的土块、泥块进行清扫，并安排专人进行巡视、值班、组织路口交通。</w:t>
      </w:r>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3、</w:t>
      </w:r>
      <w:r>
        <w:rPr>
          <w:b/>
          <w:color w:val="000000" w:themeColor="text1"/>
          <w:kern w:val="0"/>
          <w:sz w:val="24"/>
          <w:szCs w:val="20"/>
          <w14:textFill>
            <w14:solidFill>
              <w14:schemeClr w14:val="tx1"/>
            </w14:solidFill>
          </w14:textFill>
        </w:rPr>
        <w:t>生活垃圾</w:t>
      </w:r>
    </w:p>
    <w:p>
      <w:pPr>
        <w:snapToGrid w:val="0"/>
        <w:spacing w:line="360" w:lineRule="auto"/>
        <w:ind w:firstLine="480" w:firstLineChars="200"/>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本项目施工人员主要为当地居民，大部分回家食宿，剩余部分租用沿线民房，施工高峰人数为</w:t>
      </w:r>
      <w:r>
        <w:rPr>
          <w:rFonts w:hint="eastAsia"/>
          <w:color w:val="000000" w:themeColor="text1"/>
          <w:kern w:val="0"/>
          <w:sz w:val="24"/>
          <w:szCs w:val="20"/>
          <w14:textFill>
            <w14:solidFill>
              <w14:schemeClr w14:val="tx1"/>
            </w14:solidFill>
          </w14:textFill>
        </w:rPr>
        <w:t>预计为40</w:t>
      </w:r>
      <w:r>
        <w:rPr>
          <w:color w:val="000000" w:themeColor="text1"/>
          <w:kern w:val="0"/>
          <w:sz w:val="24"/>
          <w:szCs w:val="20"/>
          <w14:textFill>
            <w14:solidFill>
              <w14:schemeClr w14:val="tx1"/>
            </w14:solidFill>
          </w14:textFill>
        </w:rPr>
        <w:t>人，以每人每天产生垃圾0.5kg计，</w:t>
      </w:r>
      <w:r>
        <w:rPr>
          <w:rFonts w:hint="eastAsia"/>
          <w:color w:val="000000" w:themeColor="text1"/>
          <w:kern w:val="0"/>
          <w:sz w:val="24"/>
          <w:szCs w:val="20"/>
          <w14:textFill>
            <w14:solidFill>
              <w14:schemeClr w14:val="tx1"/>
            </w14:solidFill>
          </w14:textFill>
        </w:rPr>
        <w:t>则施工期施工人员产生的生活垃圾总量为2</w:t>
      </w:r>
      <w:r>
        <w:rPr>
          <w:color w:val="000000" w:themeColor="text1"/>
          <w:kern w:val="0"/>
          <w:sz w:val="24"/>
          <w:szCs w:val="20"/>
          <w14:textFill>
            <w14:solidFill>
              <w14:schemeClr w14:val="tx1"/>
            </w14:solidFill>
          </w14:textFill>
        </w:rPr>
        <w:t>kg/d，集中收集后由当地环卫部门清运处理</w:t>
      </w:r>
      <w:r>
        <w:rPr>
          <w:rFonts w:hint="eastAsia"/>
          <w:color w:val="000000" w:themeColor="text1"/>
          <w:kern w:val="0"/>
          <w:sz w:val="24"/>
          <w:szCs w:val="20"/>
          <w14:textFill>
            <w14:solidFill>
              <w14:schemeClr w14:val="tx1"/>
            </w14:solidFill>
          </w14:textFill>
        </w:rPr>
        <w:t>，对外环境影响较小</w:t>
      </w:r>
      <w:r>
        <w:rPr>
          <w:color w:val="000000" w:themeColor="text1"/>
          <w:kern w:val="0"/>
          <w:sz w:val="24"/>
          <w:szCs w:val="20"/>
          <w14:textFill>
            <w14:solidFill>
              <w14:schemeClr w14:val="tx1"/>
            </w14:solidFill>
          </w14:textFill>
        </w:rPr>
        <w:t>。</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90" w:name="_Toc70496311"/>
      <w:bookmarkStart w:id="491" w:name="_Toc24212"/>
      <w:r>
        <w:rPr>
          <w:rFonts w:eastAsia="黑体"/>
          <w:b/>
          <w:bCs/>
          <w:color w:val="000000" w:themeColor="text1"/>
          <w:kern w:val="0"/>
          <w:sz w:val="32"/>
          <w:szCs w:val="32"/>
          <w14:textFill>
            <w14:solidFill>
              <w14:schemeClr w14:val="tx1"/>
            </w14:solidFill>
          </w14:textFill>
        </w:rPr>
        <w:t>4.9营运期固体废物影响分析</w:t>
      </w:r>
      <w:bookmarkEnd w:id="490"/>
      <w:bookmarkEnd w:id="491"/>
    </w:p>
    <w:p>
      <w:pPr>
        <w:autoSpaceDE/>
        <w:autoSpaceDN/>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本项目营运期不产生固体废物，但</w:t>
      </w:r>
      <w:r>
        <w:rPr>
          <w:rFonts w:hint="eastAsia"/>
          <w:color w:val="000000" w:themeColor="text1"/>
          <w:sz w:val="24"/>
          <w:szCs w:val="24"/>
          <w14:textFill>
            <w14:solidFill>
              <w14:schemeClr w14:val="tx1"/>
            </w14:solidFill>
          </w14:textFill>
        </w:rPr>
        <w:t>生活垃圾可能会被随意丢弃在渠道</w:t>
      </w:r>
      <w:r>
        <w:rPr>
          <w:color w:val="000000" w:themeColor="text1"/>
          <w:sz w:val="24"/>
          <w:szCs w:val="24"/>
          <w14:textFill>
            <w14:solidFill>
              <w14:schemeClr w14:val="tx1"/>
            </w14:solidFill>
          </w14:textFill>
        </w:rPr>
        <w:t>，因此，为了维护</w:t>
      </w:r>
      <w:r>
        <w:rPr>
          <w:rFonts w:hint="eastAsia"/>
          <w:color w:val="000000" w:themeColor="text1"/>
          <w:sz w:val="24"/>
          <w:szCs w:val="24"/>
          <w14:textFill>
            <w14:solidFill>
              <w14:schemeClr w14:val="tx1"/>
            </w14:solidFill>
          </w14:textFill>
        </w:rPr>
        <w:t>渠道</w:t>
      </w:r>
      <w:r>
        <w:rPr>
          <w:color w:val="000000" w:themeColor="text1"/>
          <w:sz w:val="24"/>
          <w:szCs w:val="24"/>
          <w14:textFill>
            <w14:solidFill>
              <w14:schemeClr w14:val="tx1"/>
            </w14:solidFill>
          </w14:textFill>
        </w:rPr>
        <w:t>内的水体卫生环境，当地主管部门应加强</w:t>
      </w:r>
      <w:r>
        <w:rPr>
          <w:rFonts w:hint="eastAsia"/>
          <w:color w:val="000000" w:themeColor="text1"/>
          <w:sz w:val="24"/>
          <w:szCs w:val="24"/>
          <w14:textFill>
            <w14:solidFill>
              <w14:schemeClr w14:val="tx1"/>
            </w14:solidFill>
          </w14:textFill>
        </w:rPr>
        <w:t>渠道</w:t>
      </w:r>
      <w:r>
        <w:rPr>
          <w:color w:val="000000" w:themeColor="text1"/>
          <w:sz w:val="24"/>
          <w:szCs w:val="24"/>
          <w14:textFill>
            <w14:solidFill>
              <w14:schemeClr w14:val="tx1"/>
            </w14:solidFill>
          </w14:textFill>
        </w:rPr>
        <w:t>管理。本项目营运期固体废物对周边环境基本不产生影响。</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492" w:name="_Toc70496312"/>
      <w:bookmarkStart w:id="493" w:name="_Toc9514"/>
      <w:bookmarkStart w:id="494" w:name="_Toc32665"/>
      <w:r>
        <w:rPr>
          <w:rFonts w:eastAsia="黑体"/>
          <w:b/>
          <w:bCs/>
          <w:color w:val="000000" w:themeColor="text1"/>
          <w:kern w:val="0"/>
          <w:sz w:val="32"/>
          <w:szCs w:val="32"/>
          <w14:textFill>
            <w14:solidFill>
              <w14:schemeClr w14:val="tx1"/>
            </w14:solidFill>
          </w14:textFill>
        </w:rPr>
        <w:t>4.10施工期生态环境影响分析</w:t>
      </w:r>
      <w:bookmarkEnd w:id="492"/>
      <w:bookmarkEnd w:id="493"/>
      <w:bookmarkEnd w:id="494"/>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95" w:name="_Toc15006"/>
      <w:bookmarkStart w:id="496" w:name="_Toc70496313"/>
      <w:r>
        <w:rPr>
          <w:rFonts w:eastAsia="黑体"/>
          <w:b/>
          <w:color w:val="000000" w:themeColor="text1"/>
          <w:kern w:val="0"/>
          <w:sz w:val="28"/>
          <w:szCs w:val="24"/>
          <w14:textFill>
            <w14:solidFill>
              <w14:schemeClr w14:val="tx1"/>
            </w14:solidFill>
          </w14:textFill>
        </w:rPr>
        <w:t>4.10.1对</w:t>
      </w:r>
      <w:r>
        <w:rPr>
          <w:rFonts w:hint="eastAsia" w:eastAsia="黑体"/>
          <w:b/>
          <w:color w:val="000000" w:themeColor="text1"/>
          <w:kern w:val="0"/>
          <w:sz w:val="28"/>
          <w:szCs w:val="24"/>
          <w14:textFill>
            <w14:solidFill>
              <w14:schemeClr w14:val="tx1"/>
            </w14:solidFill>
          </w14:textFill>
        </w:rPr>
        <w:t>陆生动植物</w:t>
      </w:r>
      <w:r>
        <w:rPr>
          <w:rFonts w:eastAsia="黑体"/>
          <w:b/>
          <w:color w:val="000000" w:themeColor="text1"/>
          <w:kern w:val="0"/>
          <w:sz w:val="28"/>
          <w:szCs w:val="24"/>
          <w14:textFill>
            <w14:solidFill>
              <w14:schemeClr w14:val="tx1"/>
            </w14:solidFill>
          </w14:textFill>
        </w:rPr>
        <w:t>的影响</w:t>
      </w:r>
      <w:bookmarkEnd w:id="495"/>
      <w:bookmarkEnd w:id="496"/>
    </w:p>
    <w:p>
      <w:pPr>
        <w:autoSpaceDE/>
        <w:autoSpaceDN/>
        <w:spacing w:line="360" w:lineRule="auto"/>
        <w:jc w:val="both"/>
        <w:outlineLvl w:val="3"/>
        <w:rPr>
          <w:b/>
          <w:bCs/>
          <w:color w:val="000000" w:themeColor="text1"/>
          <w:kern w:val="0"/>
          <w:sz w:val="24"/>
          <w:szCs w:val="20"/>
          <w14:textFill>
            <w14:solidFill>
              <w14:schemeClr w14:val="tx1"/>
            </w14:solidFill>
          </w14:textFill>
        </w:rPr>
      </w:pPr>
      <w:r>
        <w:rPr>
          <w:b/>
          <w:color w:val="000000" w:themeColor="text1"/>
          <w:kern w:val="0"/>
          <w:sz w:val="24"/>
          <w:szCs w:val="24"/>
          <w14:textFill>
            <w14:solidFill>
              <w14:schemeClr w14:val="tx1"/>
            </w14:solidFill>
          </w14:textFill>
        </w:rPr>
        <w:t>4.10.</w:t>
      </w:r>
      <w:r>
        <w:rPr>
          <w:rFonts w:hint="eastAsia"/>
          <w:b/>
          <w:color w:val="000000" w:themeColor="text1"/>
          <w:kern w:val="0"/>
          <w:sz w:val="24"/>
          <w:szCs w:val="24"/>
          <w14:textFill>
            <w14:solidFill>
              <w14:schemeClr w14:val="tx1"/>
            </w14:solidFill>
          </w14:textFill>
        </w:rPr>
        <w:t>1</w:t>
      </w:r>
      <w:r>
        <w:rPr>
          <w:b/>
          <w:color w:val="000000" w:themeColor="text1"/>
          <w:kern w:val="0"/>
          <w:sz w:val="24"/>
          <w:szCs w:val="24"/>
          <w14:textFill>
            <w14:solidFill>
              <w14:schemeClr w14:val="tx1"/>
            </w14:solidFill>
          </w14:textFill>
        </w:rPr>
        <w:t>.1对</w:t>
      </w:r>
      <w:r>
        <w:rPr>
          <w:rFonts w:hint="eastAsia"/>
          <w:b/>
          <w:color w:val="000000" w:themeColor="text1"/>
          <w:kern w:val="0"/>
          <w:sz w:val="24"/>
          <w:szCs w:val="24"/>
          <w14:textFill>
            <w14:solidFill>
              <w14:schemeClr w14:val="tx1"/>
            </w14:solidFill>
          </w14:textFill>
        </w:rPr>
        <w:t>植被的</w:t>
      </w:r>
      <w:r>
        <w:rPr>
          <w:b/>
          <w:color w:val="000000" w:themeColor="text1"/>
          <w:kern w:val="0"/>
          <w:sz w:val="24"/>
          <w:szCs w:val="24"/>
          <w14:textFill>
            <w14:solidFill>
              <w14:schemeClr w14:val="tx1"/>
            </w14:solidFill>
          </w14:textFill>
        </w:rPr>
        <w:t>影响</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对植被分布的影响</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施工期是植物多样性受影响最大的一个阶段，项目区的地表开挖、施工便道的修建等都会使评价区域的植被受到直接破坏，周围区域的植被也可能受到不同程度的间接影响。在施工期间，工程永久占地范围内的植物物种和植被将受到直接影响，原有植被会被清除，群落中的木本、草本物种植株死亡，使所在区域植被面积减少并增加区域景观的破碎化程度。</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项目建设过程中的施工人员活动、废气、粉尘和工程用油等，均会对施工区域及周边的植物植被造成不同程度的影响。同时，施工也会产生扬尘，扬尘大量累积植物叶面，影响植物长势。这些影响可能导致植物植株生长不良、对个体造成损伤，严重的导致个体死亡，但由于项目区域主要以景观植被为主，影响较轻微，且会随施工结束而消失，在施工期结束后根据原有景观格局及时移栽新的景观植被，可较好地恢复区域生态，因此影响是可接受的。</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（2）</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对植物群落的影响</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施工期对植物群落的影响主要为工程永久与临时占地施工带来的地表开挖。评价范围内的人类活动频繁，植物群落多以人工植物群落为主，单个群落面积较小，没有形成统一成片的单一群落。占地区域对地表植被的破坏，进一步造成区域植被群落的破碎化，使植物群落面积降低，群落边缘效应增强。</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施工期对区域景观也会造成一定影响。项目部分建设内容在花果山风景名胜区内，在施工时不可避免的会造成区域景观质量的降低。</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（3）</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生态入侵影响</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工程施工、工程绿化、工程人员进出评价范围形成人员车辆交流、工程建筑材料及其车辆的进入，人们将会有意无意地将外来物种带进该区域，由于外来物种可能比当地物种能更好的适应和利用被干扰的环境，进而对本地物种的多样性造成威胁，将导致当地生存的物种数量的减少、树木逐渐地衰退。目前调查到的入侵植物主要为菊科、禾本科的草本入侵植物。由于本项目所在区域的生态系统属人工生态系统，生态系统的主要功能为城市景观的打造，地表分布的植被以园林植物为主，生态系统受入侵植物侵入后的演替方向，不符合天然植被与自然生态系统的一般发展规律，植被组成与植被类型受人为活动的影响较大，入侵植物被发现后，当地的园林管理相关部门将采取刈割等措施将其除去。综上，生态系统受入侵植物的入侵影响导致生态系统物种多样性下降的可能性较低。</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（4）</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对古树名木影响分析</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根据调查，本项目评价范围内包含一株挂牌的古树名木—皂荚，但不在本项目施工范围内，本项目对古树名木的影响程度较小。施工期需要注意施工活动与施工人员的管理，禁止施工人员随意进出施工范围，严禁施工活动破坏古树名木。</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（5）</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对重点保护野生植物影响分析</w:t>
      </w:r>
    </w:p>
    <w:p>
      <w:pPr>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依据“国家重点保护野生植物名录”“四川省重点保护野生植物名录”，调查区无国家重点保护野生植物分布，即项目基本不存在对国家和省级重点保护野生植物的影响，但仍需加强对施工人员的管理，防止施工人员破坏。</w:t>
      </w:r>
    </w:p>
    <w:p>
      <w:pPr>
        <w:autoSpaceDE/>
        <w:autoSpaceDN/>
        <w:spacing w:line="360" w:lineRule="auto"/>
        <w:jc w:val="both"/>
        <w:outlineLvl w:val="3"/>
        <w:rPr>
          <w:b/>
          <w:bCs/>
          <w:color w:val="000000" w:themeColor="text1"/>
          <w:kern w:val="0"/>
          <w:sz w:val="24"/>
          <w:szCs w:val="20"/>
          <w14:textFill>
            <w14:solidFill>
              <w14:schemeClr w14:val="tx1"/>
            </w14:solidFill>
          </w14:textFill>
        </w:rPr>
      </w:pPr>
      <w:r>
        <w:rPr>
          <w:b/>
          <w:color w:val="000000" w:themeColor="text1"/>
          <w:kern w:val="0"/>
          <w:sz w:val="24"/>
          <w:szCs w:val="24"/>
          <w14:textFill>
            <w14:solidFill>
              <w14:schemeClr w14:val="tx1"/>
            </w14:solidFill>
          </w14:textFill>
        </w:rPr>
        <w:t>4.10.</w:t>
      </w:r>
      <w:r>
        <w:rPr>
          <w:rFonts w:hint="eastAsia"/>
          <w:b/>
          <w:color w:val="000000" w:themeColor="text1"/>
          <w:kern w:val="0"/>
          <w:sz w:val="24"/>
          <w:szCs w:val="24"/>
          <w14:textFill>
            <w14:solidFill>
              <w14:schemeClr w14:val="tx1"/>
            </w14:solidFill>
          </w14:textFill>
        </w:rPr>
        <w:t>1</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2</w:t>
      </w:r>
      <w:r>
        <w:rPr>
          <w:b/>
          <w:color w:val="000000" w:themeColor="text1"/>
          <w:kern w:val="0"/>
          <w:sz w:val="24"/>
          <w:szCs w:val="24"/>
          <w14:textFill>
            <w14:solidFill>
              <w14:schemeClr w14:val="tx1"/>
            </w14:solidFill>
          </w14:textFill>
        </w:rPr>
        <w:t>对</w:t>
      </w:r>
      <w:r>
        <w:rPr>
          <w:rFonts w:hint="eastAsia"/>
          <w:b/>
          <w:color w:val="000000" w:themeColor="text1"/>
          <w:kern w:val="0"/>
          <w:sz w:val="24"/>
          <w:szCs w:val="24"/>
          <w14:textFill>
            <w14:solidFill>
              <w14:schemeClr w14:val="tx1"/>
            </w14:solidFill>
          </w14:textFill>
        </w:rPr>
        <w:t>动物的</w:t>
      </w:r>
      <w:r>
        <w:rPr>
          <w:b/>
          <w:color w:val="000000" w:themeColor="text1"/>
          <w:kern w:val="0"/>
          <w:sz w:val="24"/>
          <w:szCs w:val="24"/>
          <w14:textFill>
            <w14:solidFill>
              <w14:schemeClr w14:val="tx1"/>
            </w14:solidFill>
          </w14:textFill>
        </w:rPr>
        <w:t>影响</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（1）</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对两栖生物的影响</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两栖动物迁徙能力较弱、对环境的依赖性较强，项目沿线的两栖动物主要栖息于溪流及附近的稀疏灌草丛、灌丛中，受工程影响的主要是栖息于上述环境的泽陆蛙、饰纹姬蛙等。在施工过程中，施工车辆、施工人员等进出场地均可直接伤害到两栖动物，导致两栖类物种数量的减少。此外，临时施工场地或便道造成部分生境破坏，压缩两栖生物的生存空间。通过采取生态环境保护措施及水环境保护措施后影响不大。</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工程施工期虽然会使项目占地区及施工影响区两栖动物的种类和数量有所减少，但对整个项目区两栖动物的种群数量的影响有限。一方面两栖动物将迁徙它处，另一方面随着项目建设的完成，生境的恢复，两栖动物的种群数量将很快得以恢复。</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施工期对陆生动物也会造成一定影响。对于两栖生物，其主要栖息于评价区内的湖泊及其周边的湿地区域，对水环境依赖性较强，而本项目施工范围在渠道附近，且选择断水施工，施工期开始时区域内的两栖生物受惊后便会逃离至周边类似生境中，因此对两栖动物的影响较小。</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（2）</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对爬行生物的影响</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对于爬行生物，施工期对其造成的影响主要为生境的侵占，但是由于爬行动物活动性较强，且对人类活动敏感，在施工初期便会主动远离施工范围，迁移至周边相似生境处。工程建成后，随着植被恢复措施的落实、施工期的结束，生态环境的逐渐好转，人为干扰减少，许多外迁的爬行动物也会陆续回到原来的栖息地，以褐家鼠、黄胸鼠等小型啮齿动物为食的蛇类数量也会逐渐恢复，各物种种群数量也将重新恢复到原有的平衡状态。</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（3）</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对哺乳动物的影响</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对于兽类生物，评价区分布的兽类以啮齿目为主，均为当地常见物种，没有重要物种与极小种群分布。从整个项目沿线的生境现状情况来看，在拟建项目的线路及附近区域有许多兽类的替代生境，且兽类的活动能力较好、种的分布范围较广、繁殖力也较强、具有较强的适应性，可以比较容易地在评价区周围找到相似生境，施工活动不会对其造成大的影响、影响时长也有限。</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施工期对兽类的影响主要体现在对动物觅食地所在生态环境的破坏，包括对施工区植被的破坏，临时堆土场作业，各种施工人员以及施工机械的干扰等，使评价区及其周边环境发生改变，受影响的主要是适生于低海拔灌草丛的小型兽类，如野猪等，将迁移至附近受干扰小的区域，在施工区附近区域上述兽类栖息适宜度降低，种类和数量将相应减少，而伴随人类生活的一些啮齿目，如黄胸鼠、褐家鼠，其种群数量会有所增加，特别是那些作为自然疫源性疾病传播源的小型兽类，它们将增加与人类及其生活物资的接触频率，有可能对当地居民的健康构成威胁。此外，施工人员恶意伤害、猎杀野生动物也可能对野生动物的生命安全构成较大的威胁，因此应加强对施工人员的管理，避免此行为发生。工程建成后，随着植被的逐渐恢复，生态环境的好转，人为干扰减少，许多外迁的兽类会陆续回到原来的栖息地，各物种种群数量也将重新恢复到原有的平衡状态。</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（4）</w:t>
      </w:r>
      <w:r>
        <w:rPr>
          <w:rFonts w:hint="eastAsia"/>
          <w:color w:val="000000" w:themeColor="text1"/>
          <w:sz w:val="24"/>
          <w:szCs w:val="22"/>
          <w14:textFill>
            <w14:solidFill>
              <w14:schemeClr w14:val="tx1"/>
            </w14:solidFill>
          </w14:textFill>
        </w:rPr>
        <w:tab/>
      </w:r>
      <w:r>
        <w:rPr>
          <w:rFonts w:hint="eastAsia"/>
          <w:color w:val="000000" w:themeColor="text1"/>
          <w:sz w:val="24"/>
          <w:szCs w:val="22"/>
          <w14:textFill>
            <w14:solidFill>
              <w14:schemeClr w14:val="tx1"/>
            </w14:solidFill>
          </w14:textFill>
        </w:rPr>
        <w:t>对鸟类的影响</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对于鸟类生物，施工期对其造成的主要影响同样为生境侵占及噪声干扰，施工时会侵占部分林地，这些林地的冠层可能潜在分布有鸟类巢穴。施工期的施工噪声也会导致鸟类远离施工区域。</w:t>
      </w:r>
    </w:p>
    <w:p>
      <w:pPr>
        <w:autoSpaceDE/>
        <w:autoSpaceDN/>
        <w:spacing w:line="360" w:lineRule="auto"/>
        <w:ind w:firstLine="480" w:firstLineChars="200"/>
        <w:jc w:val="both"/>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根据历史观测资料，本项目潜在分布有11种国家重点保护野生鸟类以及2种中国特有种鸟类。上述重要鸟类物种的生活习性如下：</w:t>
      </w:r>
    </w:p>
    <w:p>
      <w:pPr>
        <w:tabs>
          <w:tab w:val="left" w:pos="840"/>
          <w:tab w:val="right" w:leader="dot" w:pos="8820"/>
        </w:tabs>
        <w:autoSpaceDE/>
        <w:autoSpaceDN/>
        <w:adjustRightInd w:val="0"/>
        <w:snapToGrid w:val="0"/>
        <w:jc w:val="center"/>
        <w:textAlignment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表4.10-1重要鸟类物种习性</w:t>
      </w:r>
    </w:p>
    <w:tbl>
      <w:tblPr>
        <w:tblStyle w:val="1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4117"/>
        <w:gridCol w:w="3374"/>
        <w:gridCol w:w="4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b w:val="0"/>
                <w:color w:val="000000" w:themeColor="text1"/>
                <w:kern w:val="44"/>
                <w:szCs w:val="44"/>
                <w14:textFill>
                  <w14:solidFill>
                    <w14:schemeClr w14:val="tx1"/>
                  </w14:solidFill>
                </w14:textFill>
                <w14:ligatures w14:val="standardContextual"/>
              </w:rPr>
            </w:pPr>
            <w:r>
              <w:rPr>
                <w:rFonts w:hint="eastAsia"/>
                <w:b/>
                <w:color w:val="000000" w:themeColor="text1"/>
                <w:kern w:val="44"/>
                <w:szCs w:val="44"/>
                <w14:textFill>
                  <w14:solidFill>
                    <w14:schemeClr w14:val="tx1"/>
                  </w14:solidFill>
                </w14:textFill>
                <w14:ligatures w14:val="standardContextual"/>
              </w:rPr>
              <w:t>名称</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b w:val="0"/>
                <w:color w:val="000000" w:themeColor="text1"/>
                <w:kern w:val="44"/>
                <w:szCs w:val="44"/>
                <w14:textFill>
                  <w14:solidFill>
                    <w14:schemeClr w14:val="tx1"/>
                  </w14:solidFill>
                </w14:textFill>
                <w14:ligatures w14:val="standardContextual"/>
              </w:rPr>
            </w:pPr>
            <w:r>
              <w:rPr>
                <w:rFonts w:hint="eastAsia"/>
                <w:b/>
                <w:color w:val="000000" w:themeColor="text1"/>
                <w:kern w:val="44"/>
                <w:szCs w:val="44"/>
                <w14:textFill>
                  <w14:solidFill>
                    <w14:schemeClr w14:val="tx1"/>
                  </w14:solidFill>
                </w14:textFill>
                <w14:ligatures w14:val="standardContextual"/>
              </w:rPr>
              <w:t>栖息环境</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b w:val="0"/>
                <w:color w:val="000000" w:themeColor="text1"/>
                <w:kern w:val="44"/>
                <w:szCs w:val="44"/>
                <w14:textFill>
                  <w14:solidFill>
                    <w14:schemeClr w14:val="tx1"/>
                  </w14:solidFill>
                </w14:textFill>
                <w14:ligatures w14:val="standardContextual"/>
              </w:rPr>
            </w:pPr>
            <w:r>
              <w:rPr>
                <w:rFonts w:hint="eastAsia"/>
                <w:b/>
                <w:color w:val="000000" w:themeColor="text1"/>
                <w:kern w:val="44"/>
                <w:szCs w:val="44"/>
                <w14:textFill>
                  <w14:solidFill>
                    <w14:schemeClr w14:val="tx1"/>
                  </w14:solidFill>
                </w14:textFill>
                <w14:ligatures w14:val="standardContextual"/>
              </w:rPr>
              <w:t>繁殖方式</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b w:val="0"/>
                <w:color w:val="000000" w:themeColor="text1"/>
                <w:kern w:val="44"/>
                <w:szCs w:val="44"/>
                <w14:textFill>
                  <w14:solidFill>
                    <w14:schemeClr w14:val="tx1"/>
                  </w14:solidFill>
                </w14:textFill>
                <w14:ligatures w14:val="standardContextual"/>
              </w:rPr>
            </w:pPr>
            <w:r>
              <w:rPr>
                <w:rFonts w:hint="eastAsia"/>
                <w:b/>
                <w:color w:val="000000" w:themeColor="text1"/>
                <w:kern w:val="44"/>
                <w:szCs w:val="44"/>
                <w14:textFill>
                  <w14:solidFill>
                    <w14:schemeClr w14:val="tx1"/>
                  </w14:solidFill>
                </w14:textFill>
                <w14:ligatures w14:val="standardContextual"/>
              </w:rPr>
              <w:t>居留型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凤头鹰</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通常栖息在2000米以下的山地森林和山脚林缘地带，最高可达海拔2400米。也出现在竹林和小面积丛林地带，偶尔也到山脚平原和村庄附近活动。善于藏匿，常躲藏在树叶丛中，有时也栖息于空旷处孤立的树枝上。</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繁殖期4-7月。繁殖期常在森林上空翱翔，同时发出响亮叫声营巢于针叶林或阔叶林中高大的树上，距地高6-30米。巢较粗糙，主要由枯树枝堆集而成，内放一些绿叶。营巢位置多在河岸或水塘旁边，离水域不远。</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夏候鸟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松雀鹰</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常单独或成对在林缘和丛林边等较为空旷处活动和觅食。性机警。常站在林缘高大的枯树顶枝上，飞行迅速，亦善于滑翔。</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繁殖期4~6月。营巢于茂密森林中枝叶茂盛的高大树木上部，位置较高，且有枝叶隐蔽，一般难于发现。</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夏候鸟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白尾鹞</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栖息于平原和低山丘陵地带，尤其是平原上的湖泊、沼泽、河谷、草原、荒野以及低山、林间沼泽和草地、农田耕地、沿海沼泽和芦苇塘等开阔地区，冬季有时也到村屯附近的水田、草坡和疏林地带活动。</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繁殖期4-7月，繁殖前期常见成对在空中作求偶飞行，彼此相互追逐。营巢于枯芦苇丛、草丛或灌丛间地上。巢主要由枯芦苇、蒲草、细枝构成，呈浅盘状。</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冬候鸟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鸳鸯</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繁殖期主要栖息于山地森林河流、湖泊、水塘、芦苇沼泽和稻田地中，冬季多栖息于大的开阔湖泊、江河和沼泽地带。</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繁殖期4-5月，</w:t>
            </w:r>
            <w:r>
              <w:rPr>
                <w:rFonts w:hint="default"/>
                <w:color w:val="000000" w:themeColor="text1"/>
                <w:kern w:val="44"/>
                <w:szCs w:val="44"/>
                <w14:textFill>
                  <w14:solidFill>
                    <w14:schemeClr w14:val="tx1"/>
                  </w14:solidFill>
                </w14:textFill>
                <w14:ligatures w14:val="standardContextual"/>
              </w:rPr>
              <w:t>繁殖于山地森林中。</w:t>
            </w:r>
            <w:r>
              <w:rPr>
                <w:rFonts w:hint="eastAsia"/>
                <w:color w:val="000000" w:themeColor="text1"/>
                <w:kern w:val="44"/>
                <w:szCs w:val="44"/>
                <w14:textFill>
                  <w14:solidFill>
                    <w14:schemeClr w14:val="tx1"/>
                  </w14:solidFill>
                </w14:textFill>
                <w14:ligatures w14:val="standardContextual"/>
              </w:rPr>
              <w:t>其营巢于紧靠水边老龄树的天然树洞中，</w:t>
            </w:r>
            <w:r>
              <w:rPr>
                <w:rFonts w:hint="default"/>
                <w:color w:val="000000" w:themeColor="text1"/>
                <w:kern w:val="44"/>
                <w:szCs w:val="44"/>
                <w14:textFill>
                  <w14:solidFill>
                    <w14:schemeClr w14:val="tx1"/>
                  </w14:solidFill>
                </w14:textFill>
                <w14:ligatures w14:val="standardContextual"/>
              </w:rPr>
              <w:t>距地高10-18米。</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冬候鸟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青头潜鸭</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繁殖期主要栖息在富有芦苇和蒲草等水生植物的小湖中，在山区森林地带多水草的小型湖泊、水塘和沼泽地带也常出入。冬季多栖息在大的湖泊、江河、海湾、河口、水塘和沿海沼泽地带。</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繁殖期为5-7月。也有少数迟至8月初。营巢于水边地上草丛中或水边浅水处芦苇丛和蒲草丛中。巢用干草构成。</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旅鸟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斑头秋沙鸭</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斑头秋沙鸭繁殖季节主要栖息于森林或森林附近的湖泊、河流、水塘等水域中，但更喜欢低地河岸森林。非繁殖季节则喜欢栖息在湖泊、江河、水塘、水库、河口、海湾和沿海褐泽地带。</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每年4-5月交配繁殖，通常繁殖于面有水生动物的森林河流、湖泊和水塘地区，尤其是流速平缓的森林河流低地和森林水塘地区最为喜欢。</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冬候鸟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棉凫</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栖息于江河、湖泊、水塘和沼泽地带，特别是富有水生植物的开阔水域最为喜欢。有时也出现在村庄附近的小水塘和水渠中。</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繁殖期为5-8月。繁殖前常成小群活动，繁殖期则成对。营巢于距水域不远的树洞里，也见营巢于房前樟树洞和池边柳树洞中。</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夏候鸟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燕隼</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栖息于有稀疏树木生长的开阔平原、旷野、耕地、海岸、疏林和林缘地带，有时也到村庄附近，但却很少在浓密的森林和没有树木的裸露荒原。经常出没在广阔的平原上散布着小树林的地区。</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default"/>
                <w:color w:val="000000" w:themeColor="text1"/>
                <w:kern w:val="44"/>
                <w:szCs w:val="44"/>
                <w14:textFill>
                  <w14:solidFill>
                    <w14:schemeClr w14:val="tx1"/>
                  </w14:solidFill>
                </w14:textFill>
                <w14:ligatures w14:val="standardContextual"/>
              </w:rPr>
              <w:t>繁殖期为5-7月。</w:t>
            </w:r>
            <w:r>
              <w:rPr>
                <w:rFonts w:hint="eastAsia"/>
                <w:color w:val="000000" w:themeColor="text1"/>
                <w:kern w:val="44"/>
                <w:szCs w:val="44"/>
                <w14:textFill>
                  <w14:solidFill>
                    <w14:schemeClr w14:val="tx1"/>
                  </w14:solidFill>
                </w14:textFill>
                <w14:ligatures w14:val="standardContextual"/>
              </w:rPr>
              <w:t>营巢于疏林或林缘和田间的高大乔木树上，通常自己很少营巢，而是侵占乌鸦和喜鹊的巢。</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夏候鸟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红嘴相思鸟</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主要栖息于海拔1200-2800米的山地常绿阔叶林、常绿落叶混交林、竹林和林缘疏林灌丛地带，冬季多下到海拔1000米以下的低山、山脚、平原与河谷地带，有时也进到村舍、庭院和农田附近的灌木丛中。</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繁殖期5-7月。通常营巢于林下或林缘灌木丛或竹丛中，巢多筑于灌木侧枝或小树枝杈上或竹枝上，距地高1-1.5米。</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角䴙䴘</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角䴙䴘主要栖息在开阔的平原上的湖泊、江河、水塘、水库和沼泽地等环境中。</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在4-8月间繁殖，产卵通常在6月。䴙䴘的巢不在固定地点，而是随波逐流，飘荡在水上。</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旅鸟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黑颈䴙䴘</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黑颈鸊鷉繁殖期栖息于内陆淡水湖泊、水塘、河流及沼泽地带，特别是富有岸边植物的大小湖泊和水塘中较常见。非繁殖期栖息在沿海海面、河口及其附近的湖泊、池塘和沼泽地带，也出现于内陆湖泊、江河、水塘及其他沼泽地带。</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繁殖期5-8月。每年4月初至4月中旬迁入繁殖地，营巢于有芦苇或三棱草等水生植物的湖泊与水塘中。</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夏候鸟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灰胸竹鸡</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栖息于海拔2000米以下的低山丘陵和山脚平原地带的竹林、灌丛和草丛中，也出现于山边耕地和村屯附近。</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繁殖期4-7月。营巢于灌丛、草丛、树下或竹林下地面凹处，有时也在树根附近的裸露地方营巢。</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留鸟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黄腹山雀</w:t>
            </w:r>
          </w:p>
        </w:tc>
        <w:tc>
          <w:tcPr>
            <w:tcW w:w="2416"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主要栖息于海拔2000米以下的山地各种林木中，冬季多下到低山和山脚平原地带的次生林、人工林和林缘疏林灌丛地带。</w:t>
            </w:r>
          </w:p>
        </w:tc>
        <w:tc>
          <w:tcPr>
            <w:tcW w:w="1980"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繁殖期4~6月。营巢于天然树洞中，巢呈杯状，主要由苔藓、细软的草叶、草茎等材料构成，内垫以兽毛等。</w:t>
            </w:r>
          </w:p>
        </w:tc>
        <w:tc>
          <w:tcPr>
            <w:tcW w:w="285" w:type="pct"/>
            <w:shd w:val="clear" w:color="auto" w:fill="auto"/>
            <w:vAlign w:val="center"/>
          </w:tcPr>
          <w:p>
            <w:pPr>
              <w:keepNext w:val="0"/>
              <w:keepLines w:val="0"/>
              <w:suppressLineNumbers w:val="0"/>
              <w:autoSpaceDE/>
              <w:autoSpaceDN/>
              <w:spacing w:before="0" w:beforeAutospacing="0" w:after="0" w:afterAutospacing="0"/>
              <w:ind w:left="0" w:right="0"/>
              <w:jc w:val="both"/>
              <w:rPr>
                <w:rFonts w:hint="default"/>
                <w:color w:val="000000" w:themeColor="text1"/>
                <w:kern w:val="44"/>
                <w:szCs w:val="44"/>
                <w14:textFill>
                  <w14:solidFill>
                    <w14:schemeClr w14:val="tx1"/>
                  </w14:solidFill>
                </w14:textFill>
                <w14:ligatures w14:val="standardContextual"/>
              </w:rPr>
            </w:pPr>
            <w:r>
              <w:rPr>
                <w:rFonts w:hint="eastAsia"/>
                <w:color w:val="000000" w:themeColor="text1"/>
                <w:kern w:val="44"/>
                <w:szCs w:val="44"/>
                <w14:textFill>
                  <w14:solidFill>
                    <w14:schemeClr w14:val="tx1"/>
                  </w14:solidFill>
                </w14:textFill>
                <w14:ligatures w14:val="standardContextual"/>
              </w:rPr>
              <w:t>留鸟</w:t>
            </w:r>
          </w:p>
        </w:tc>
      </w:tr>
    </w:tbl>
    <w:p>
      <w:pPr>
        <w:autoSpaceDE/>
        <w:autoSpaceDN/>
        <w:spacing w:line="360" w:lineRule="auto"/>
        <w:ind w:firstLine="480" w:firstLineChars="200"/>
        <w:jc w:val="both"/>
        <w:rPr>
          <w:color w:val="000000" w:themeColor="text1"/>
          <w:sz w:val="24"/>
          <w:szCs w:val="24"/>
          <w14:textFill>
            <w14:solidFill>
              <w14:schemeClr w14:val="tx1"/>
            </w14:solidFill>
          </w14:textFill>
        </w:rPr>
      </w:pPr>
      <w:bookmarkStart w:id="497" w:name="_Toc70496314"/>
      <w:r>
        <w:rPr>
          <w:color w:val="000000" w:themeColor="text1"/>
          <w:sz w:val="24"/>
          <w:szCs w:val="24"/>
          <w14:textFill>
            <w14:solidFill>
              <w14:schemeClr w14:val="tx1"/>
            </w14:solidFill>
          </w14:textFill>
        </w:rPr>
        <w:t>根据上表，评价区内重要鸟类物种的繁殖期基本处于4-8月，因此，在施工期选择时，也应尽量避开候鸟繁殖期，降低施工活动对鸟类的影响。</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98" w:name="_Toc26620"/>
      <w:r>
        <w:rPr>
          <w:rFonts w:eastAsia="黑体"/>
          <w:b/>
          <w:color w:val="000000" w:themeColor="text1"/>
          <w:kern w:val="0"/>
          <w:sz w:val="28"/>
          <w:szCs w:val="24"/>
          <w14:textFill>
            <w14:solidFill>
              <w14:schemeClr w14:val="tx1"/>
            </w14:solidFill>
          </w14:textFill>
        </w:rPr>
        <w:t>4.10.2对水生生态的影响</w:t>
      </w:r>
      <w:bookmarkEnd w:id="497"/>
      <w:bookmarkEnd w:id="498"/>
    </w:p>
    <w:p>
      <w:pPr>
        <w:autoSpaceDE/>
        <w:autoSpaceDN/>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t>对水生生境的影响</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施工期采用断水施工方式，因此在施工期渠道内基本没有水流，由于区域水系分布较为发达，对鱼类生物的生境影响程度较小。施工期将对渠道进行清淤疏浚，其中的沉水植物，如水草等将被彻底破坏，渠道内的底栖生物生境将遭到严重破坏。施工期对现状渠道进行的疏浚和清淤活动，能够加强灌渠的引水灌溉能力，在丰水期能够增强各水系之间的连通性。</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t>对鱼类分布的影响</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对于鱼类生物而言，施工期进行断水施工后，此时渠道流量很少甚至无水流，再加之鱼类生物具备较强的活动性，且野生鱼类对人类活动较为敏感，在施工期初期便会因为人类施工活动产生的振动及噪声等因素而自发远离施工区域渠段，因此施工期对水生鱼类影响较小。本项目施工对地表水的污染较有限，在严格落实本报告提出的污染防治措施后，此不利影响可得到有效控制。</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（3）对浮游生物、底栖生物的影响</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施工对地表水的污染较有限，在严格落实本报告提出的污染防治措施后，此不利影响可得到有效控制。本项目采用断水施工方式清理渠道内淤泥等，将对施工渠段内的浮游生物和底栖生物产生严重影响，但该影响随着施工期的结束而消失，由于浮游生物和底栖生物的繁殖力高，扩散性强的特点，区域渠段的水生生态将在干扰消失后的一段时间内逐渐恢复，影响程度可接受。</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499" w:name="_Toc23180"/>
      <w:r>
        <w:rPr>
          <w:rFonts w:hint="eastAsia" w:eastAsia="黑体"/>
          <w:b/>
          <w:color w:val="000000" w:themeColor="text1"/>
          <w:kern w:val="0"/>
          <w:sz w:val="28"/>
          <w:szCs w:val="24"/>
          <w14:textFill>
            <w14:solidFill>
              <w14:schemeClr w14:val="tx1"/>
            </w14:solidFill>
          </w14:textFill>
        </w:rPr>
        <w:t>4.10.3对生态系统的影响</w:t>
      </w:r>
      <w:bookmarkEnd w:id="499"/>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w:t>
      </w:r>
      <w:r>
        <w:rPr>
          <w:rFonts w:hint="eastAsia"/>
          <w:color w:val="000000" w:themeColor="text1"/>
          <w:sz w:val="24"/>
          <w:szCs w:val="24"/>
          <w14:textFill>
            <w14:solidFill>
              <w14:schemeClr w14:val="tx1"/>
            </w14:solidFill>
          </w14:textFill>
        </w:rPr>
        <w:tab/>
      </w:r>
      <w:r>
        <w:rPr>
          <w:rFonts w:hint="eastAsia"/>
          <w:color w:val="000000" w:themeColor="text1"/>
          <w:sz w:val="24"/>
          <w:szCs w:val="24"/>
          <w14:textFill>
            <w14:solidFill>
              <w14:schemeClr w14:val="tx1"/>
            </w14:solidFill>
          </w14:textFill>
        </w:rPr>
        <w:t>工程占地对生态系统的影响</w:t>
      </w:r>
    </w:p>
    <w:p>
      <w:pPr>
        <w:autoSpaceDE/>
        <w:autoSpaceDN/>
        <w:spacing w:line="360" w:lineRule="auto"/>
        <w:ind w:firstLine="480" w:firstLineChars="200"/>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根据项目资料及现场调查分析，施工期涉及</w:t>
      </w:r>
      <w:r>
        <w:rPr>
          <w:rFonts w:hint="eastAsia"/>
          <w:color w:val="000000" w:themeColor="text1"/>
          <w:sz w:val="24"/>
          <w:szCs w:val="24"/>
          <w:lang w:val="en-US" w:eastAsia="zh-CN"/>
          <w14:textFill>
            <w14:solidFill>
              <w14:schemeClr w14:val="tx1"/>
            </w14:solidFill>
          </w14:textFill>
        </w:rPr>
        <w:t>5.66</w:t>
      </w:r>
      <w:r>
        <w:rPr>
          <w:color w:val="000000" w:themeColor="text1"/>
          <w:sz w:val="24"/>
          <w:szCs w:val="24"/>
          <w14:textFill>
            <w14:solidFill>
              <w14:schemeClr w14:val="tx1"/>
            </w14:solidFill>
          </w14:textFill>
        </w:rPr>
        <w:t>hm</w:t>
      </w:r>
      <w:r>
        <w:rPr>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含现状灌渠）的土地被永久占用，这些区域将会永久破坏该占用区的植物、植被资源，受损的植被类型主要是鹅掌柴、八角金盘等人工栽培的绿化灌木林地植被类型与侧柏等乔木林地，但是这些植被类型在评价区内广泛分布，不会造成该类型的消失，也不会造成该类型的重要性的减弱。此外，项目还会有一定面积的临时占地，主要是一些构树林、紫荆灌丛以及芦苇草丛等，施工期间的影响较大，但这种影响在施工结束后会进行相应的植被修复措施，逐步恢复临时占地植被类型。</w:t>
      </w:r>
    </w:p>
    <w:p>
      <w:pPr>
        <w:autoSpaceDE/>
        <w:autoSpaceDN/>
        <w:spacing w:line="360" w:lineRule="auto"/>
        <w:ind w:firstLine="480" w:firstLineChars="200"/>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本项目占地面积</w:t>
      </w:r>
      <w:r>
        <w:rPr>
          <w:rFonts w:hint="eastAsia"/>
          <w:color w:val="000000" w:themeColor="text1"/>
          <w:sz w:val="24"/>
          <w:szCs w:val="24"/>
          <w:lang w:val="en-US" w:eastAsia="zh-CN"/>
          <w14:textFill>
            <w14:solidFill>
              <w14:schemeClr w14:val="tx1"/>
            </w14:solidFill>
          </w14:textFill>
        </w:rPr>
        <w:t>8.91</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，其中永久占地面积</w:t>
      </w:r>
      <w:r>
        <w:rPr>
          <w:rFonts w:hint="eastAsia"/>
          <w:color w:val="000000" w:themeColor="text1"/>
          <w:sz w:val="24"/>
          <w:szCs w:val="24"/>
          <w:lang w:val="en-US" w:eastAsia="zh-CN"/>
          <w14:textFill>
            <w14:solidFill>
              <w14:schemeClr w14:val="tx1"/>
            </w14:solidFill>
          </w14:textFill>
        </w:rPr>
        <w:t>5.66</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，临时占地面积</w:t>
      </w:r>
      <w:r>
        <w:rPr>
          <w:rFonts w:hint="eastAsia"/>
          <w:color w:val="000000" w:themeColor="text1"/>
          <w:sz w:val="24"/>
          <w:szCs w:val="24"/>
          <w:lang w:val="en-US" w:eastAsia="zh-CN"/>
          <w14:textFill>
            <w14:solidFill>
              <w14:schemeClr w14:val="tx1"/>
            </w14:solidFill>
          </w14:textFill>
        </w:rPr>
        <w:t>3.25</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；主要占地类型为水域及水利设施用地</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一般耕地</w:t>
      </w:r>
      <w:r>
        <w:rPr>
          <w:rFonts w:hint="eastAsia"/>
          <w:color w:val="000000" w:themeColor="text1"/>
          <w:sz w:val="24"/>
          <w:szCs w:val="24"/>
          <w:lang w:val="en-US" w:eastAsia="zh-CN"/>
          <w14:textFill>
            <w14:solidFill>
              <w14:schemeClr w14:val="tx1"/>
            </w14:solidFill>
          </w14:textFill>
        </w:rPr>
        <w:t>与林地</w:t>
      </w:r>
      <w:r>
        <w:rPr>
          <w:rFonts w:hint="eastAsia"/>
          <w:color w:val="000000" w:themeColor="text1"/>
          <w:sz w:val="24"/>
          <w:szCs w:val="24"/>
          <w14:textFill>
            <w14:solidFill>
              <w14:schemeClr w14:val="tx1"/>
            </w14:solidFill>
          </w14:textFill>
        </w:rPr>
        <w:t>，分别为</w:t>
      </w:r>
      <w:r>
        <w:rPr>
          <w:rFonts w:hint="eastAsia"/>
          <w:color w:val="000000" w:themeColor="text1"/>
          <w:sz w:val="24"/>
          <w:szCs w:val="24"/>
          <w:lang w:val="en-US" w:eastAsia="zh-CN"/>
          <w14:textFill>
            <w14:solidFill>
              <w14:schemeClr w14:val="tx1"/>
            </w14:solidFill>
          </w14:textFill>
        </w:rPr>
        <w:t>5.18</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1.76</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和</w:t>
      </w:r>
      <w:r>
        <w:rPr>
          <w:rFonts w:hint="eastAsia"/>
          <w:color w:val="000000" w:themeColor="text1"/>
          <w:sz w:val="24"/>
          <w:szCs w:val="24"/>
          <w14:textFill>
            <w14:solidFill>
              <w14:schemeClr w14:val="tx1"/>
            </w14:solidFill>
          </w14:textFill>
        </w:rPr>
        <w:t>为</w:t>
      </w:r>
      <w:r>
        <w:rPr>
          <w:rFonts w:hint="eastAsia"/>
          <w:color w:val="000000" w:themeColor="text1"/>
          <w:sz w:val="24"/>
          <w:szCs w:val="24"/>
          <w:lang w:val="en-US" w:eastAsia="zh-CN"/>
          <w14:textFill>
            <w14:solidFill>
              <w14:schemeClr w14:val="tx1"/>
            </w14:solidFill>
          </w14:textFill>
        </w:rPr>
        <w:t>1.09</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vertAlign w:val="baseline"/>
          <w:lang w:eastAsia="zh-CN"/>
          <w14:textFill>
            <w14:solidFill>
              <w14:schemeClr w14:val="tx1"/>
            </w14:solidFill>
          </w14:textFill>
        </w:rPr>
        <w:t>；</w:t>
      </w:r>
      <w:r>
        <w:rPr>
          <w:rFonts w:hint="eastAsia"/>
          <w:color w:val="000000" w:themeColor="text1"/>
          <w:sz w:val="24"/>
          <w:szCs w:val="24"/>
          <w:vertAlign w:val="baseline"/>
          <w:lang w:val="en-US" w:eastAsia="zh-CN"/>
          <w14:textFill>
            <w14:solidFill>
              <w14:schemeClr w14:val="tx1"/>
            </w14:solidFill>
          </w14:textFill>
        </w:rPr>
        <w:t>临时占地中涉及少量建设用地和其他农用地，占地面积分别为</w:t>
      </w:r>
      <w:r>
        <w:rPr>
          <w:rFonts w:hint="eastAsia"/>
          <w:color w:val="000000" w:themeColor="text1"/>
          <w:sz w:val="24"/>
          <w:szCs w:val="24"/>
          <w:lang w:val="en-US" w:eastAsia="zh-CN"/>
          <w14:textFill>
            <w14:solidFill>
              <w14:schemeClr w14:val="tx1"/>
            </w14:solidFill>
          </w14:textFill>
        </w:rPr>
        <w:t>0.73</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vertAlign w:val="baseline"/>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0.15</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施工期结束后，随着生态恢复措施的落实，工程区生态状况逐渐恢复，对区域生态环境的影响较小。</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w:t>
      </w:r>
      <w:r>
        <w:rPr>
          <w:rFonts w:hint="eastAsia"/>
          <w:color w:val="000000" w:themeColor="text1"/>
          <w:sz w:val="24"/>
          <w:szCs w:val="24"/>
          <w14:textFill>
            <w14:solidFill>
              <w14:schemeClr w14:val="tx1"/>
            </w14:solidFill>
          </w14:textFill>
        </w:rPr>
        <w:tab/>
      </w:r>
      <w:r>
        <w:rPr>
          <w:rFonts w:hint="eastAsia"/>
          <w:color w:val="000000" w:themeColor="text1"/>
          <w:sz w:val="24"/>
          <w:szCs w:val="24"/>
          <w14:textFill>
            <w14:solidFill>
              <w14:schemeClr w14:val="tx1"/>
            </w14:solidFill>
          </w14:textFill>
        </w:rPr>
        <w:t>施工活动对生态系统的影响</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施工活动的噪声、运输、施工人员的活动等会对陆地生态系统中的动物起到驱赶作用，地表开挖会对植被生长地和动物栖息地造成直接破坏，造成植物物种和动物物种丧失、生物群落破坏、生态系统局部构件的损坏等实际影响。但除了强烈的噪声、较大规模的挖掘有一定的破坏性和干扰以外，小范围的施工活动一般不会对生态系统产生太大的影响。而且，随着施工活动的结束，干扰因素的清除，部分区域内其生态系统具有较强的自我修复和自我完善功能，生态系统结构和生态系统服务功能都能够在较短的时间内得到有效地恢复。在破坏程度较大、自我修复困难的地方，可以采用人工植被恢复、人工生态系统恢复和重建措施，促进生态系统的恢复速度和程度。</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w:t>
      </w:r>
      <w:r>
        <w:rPr>
          <w:rFonts w:hint="eastAsia"/>
          <w:color w:val="000000" w:themeColor="text1"/>
          <w:sz w:val="24"/>
          <w:szCs w:val="24"/>
          <w14:textFill>
            <w14:solidFill>
              <w14:schemeClr w14:val="tx1"/>
            </w14:solidFill>
          </w14:textFill>
        </w:rPr>
        <w:tab/>
      </w:r>
      <w:r>
        <w:rPr>
          <w:rFonts w:hint="eastAsia"/>
          <w:color w:val="000000" w:themeColor="text1"/>
          <w:sz w:val="24"/>
          <w:szCs w:val="24"/>
          <w14:textFill>
            <w14:solidFill>
              <w14:schemeClr w14:val="tx1"/>
            </w14:solidFill>
          </w14:textFill>
        </w:rPr>
        <w:t>生态系统结构完整性和运行连续性影响</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整体看来，由于项目沿线区域的主要植被类型是其他林地、灌木林地、灌草丛植被和农业植被等，其中涉及林地与灌丛大多为人工栽培的园林景观植被。项目沿线经过地带林地中的乔木树种主要有侧柏、黄葛树、朴树、山槐等，灌木植物物种主要有鹅掌柴、南天竹、小叶女贞、木樨等。整体上而言，群落的结构比较简单且人工因素较多，项目建设虽然占用一定面积的林地，但不会对沿线植被分布情况和森林植物群落结构造成大的改变，不会造成典型的植被类型大面积减少或消失，由不同群落组成的生态系统结构也不会发生改变，生态系统的功能和其中的生态关系仍能延续。</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对于农业生态系统，项目沿线地带两侧分布较多的农田，类型主要有果园、旱地、水田和水浇地，果园和旱地的面积相对较小。项目建设占用一定面积的耕地，但不会引起主要农作物品种和面积的巨大改变，农田生态系统的现有结构不会被破坏。项目占用的耕地可以通过土地整治等手段予以补偿，农田生态系统的生产能力不会下降，系统的连续运行性不会破坏。</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500" w:name="_Toc2139"/>
      <w:bookmarkStart w:id="501" w:name="_Toc70496315"/>
      <w:r>
        <w:rPr>
          <w:rFonts w:eastAsia="黑体"/>
          <w:b/>
          <w:bCs/>
          <w:color w:val="000000" w:themeColor="text1"/>
          <w:kern w:val="0"/>
          <w:sz w:val="32"/>
          <w:szCs w:val="32"/>
          <w14:textFill>
            <w14:solidFill>
              <w14:schemeClr w14:val="tx1"/>
            </w14:solidFill>
          </w14:textFill>
        </w:rPr>
        <w:t>4.11营运期生态环境影响分析</w:t>
      </w:r>
      <w:bookmarkEnd w:id="500"/>
      <w:bookmarkEnd w:id="501"/>
    </w:p>
    <w:p>
      <w:pPr>
        <w:autoSpaceDE/>
        <w:autoSpaceDN/>
        <w:spacing w:line="360" w:lineRule="auto"/>
        <w:ind w:firstLine="562"/>
        <w:jc w:val="both"/>
        <w:outlineLvl w:val="2"/>
        <w:rPr>
          <w:b/>
          <w:color w:val="000000" w:themeColor="text1"/>
          <w:kern w:val="0"/>
          <w:sz w:val="28"/>
          <w:szCs w:val="24"/>
          <w14:textFill>
            <w14:solidFill>
              <w14:schemeClr w14:val="tx1"/>
            </w14:solidFill>
          </w14:textFill>
        </w:rPr>
      </w:pPr>
      <w:bookmarkStart w:id="502" w:name="_Toc16803"/>
      <w:bookmarkStart w:id="503" w:name="_Toc70496317"/>
      <w:r>
        <w:rPr>
          <w:rFonts w:hint="eastAsia"/>
          <w:b/>
          <w:color w:val="000000" w:themeColor="text1"/>
          <w:kern w:val="0"/>
          <w:sz w:val="28"/>
          <w:szCs w:val="24"/>
          <w14:textFill>
            <w14:solidFill>
              <w14:schemeClr w14:val="tx1"/>
            </w14:solidFill>
          </w14:textFill>
        </w:rPr>
        <w:t>4.11.1</w:t>
      </w:r>
      <w:r>
        <w:rPr>
          <w:rFonts w:hint="eastAsia"/>
          <w:b/>
          <w:color w:val="000000" w:themeColor="text1"/>
          <w:kern w:val="0"/>
          <w:sz w:val="28"/>
          <w:szCs w:val="24"/>
          <w14:textFill>
            <w14:solidFill>
              <w14:schemeClr w14:val="tx1"/>
            </w14:solidFill>
          </w14:textFill>
        </w:rPr>
        <w:tab/>
      </w:r>
      <w:r>
        <w:rPr>
          <w:rFonts w:hint="eastAsia"/>
          <w:b/>
          <w:color w:val="000000" w:themeColor="text1"/>
          <w:kern w:val="0"/>
          <w:sz w:val="28"/>
          <w:szCs w:val="24"/>
          <w14:textFill>
            <w14:solidFill>
              <w14:schemeClr w14:val="tx1"/>
            </w14:solidFill>
          </w14:textFill>
        </w:rPr>
        <w:t>对植物植被的影响</w:t>
      </w:r>
      <w:bookmarkEnd w:id="502"/>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项目运营期对陆生生态的影响主要体现在生态景观影响上。施工期结束后，项目沿线施工范围内景观现状受到破坏，影响了其在花果山风景名胜区内的景观协调与统一，需采取修复措施尽快恢复区域的原有地貌与植被组成。</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施工期结束后，临时施工工区、堆土场和临时施工道路不再使用，会根据其占地前的土地类型进行复耕或植被恢复。占地区的植被覆盖率会逐渐增加。</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值得注意的是，在植被恢复和景观绿化过程中，可能会有外来物种入侵，需要预防。</w:t>
      </w:r>
    </w:p>
    <w:p>
      <w:pPr>
        <w:autoSpaceDE/>
        <w:autoSpaceDN/>
        <w:spacing w:line="360" w:lineRule="auto"/>
        <w:ind w:firstLine="562"/>
        <w:jc w:val="both"/>
        <w:outlineLvl w:val="2"/>
        <w:rPr>
          <w:b/>
          <w:color w:val="000000" w:themeColor="text1"/>
          <w:kern w:val="0"/>
          <w:sz w:val="28"/>
          <w:szCs w:val="24"/>
          <w14:textFill>
            <w14:solidFill>
              <w14:schemeClr w14:val="tx1"/>
            </w14:solidFill>
          </w14:textFill>
        </w:rPr>
      </w:pPr>
      <w:bookmarkStart w:id="504" w:name="_Toc10563"/>
      <w:r>
        <w:rPr>
          <w:rFonts w:hint="eastAsia"/>
          <w:b/>
          <w:color w:val="000000" w:themeColor="text1"/>
          <w:kern w:val="0"/>
          <w:sz w:val="28"/>
          <w:szCs w:val="24"/>
          <w14:textFill>
            <w14:solidFill>
              <w14:schemeClr w14:val="tx1"/>
            </w14:solidFill>
          </w14:textFill>
        </w:rPr>
        <w:t>4.11.2对陆生动物的影响</w:t>
      </w:r>
      <w:bookmarkEnd w:id="504"/>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渠线对景观的切割作用主要是由于灌渠运行的阻隔，切断渠线两边物质能量流动和生物活动，本工程的主要建设内容是对原有渠道进行改造，仅会对局部区段两栖爬行类、哺乳动物类产生一定的阻隔作用，但影响不明显。</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（1）两栖动物和水鸟</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运行期环城生态带灌渠水位逐渐恢复正常，对区域供水更有保证，对两栖动物和水鸟的生殖和繁衍影响逐渐回归现状情况，影响总体较小。灌渠的清淤和疏浚增加了区域水系面积，进一步扩大了水系连通性，增加了两栖动物与水栖鸟类的生境面积，扩大了其活动范围。项目建成后的运营期，对于上述两类生物在一定程度上是有益的。</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（2）爬行、兽类和鸟类</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运营初期，施工工区、临时堆土场、施工便道进行复耕或植被恢复，多处于裸露状态，不适宜蛇类、鼠类生存，对以灌丛、林地或农耕区环境为主的鸟类则影响小。</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待灌渠工程施工结束，人员和机械撤离，项目建设区植被逐渐恢复，随着适宜生境的恢复，这些鸟类将会逐渐地回到这些区域活动。</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工程运行期主要是渠道阻隔对动物活动通道产生一定不利影响，但渠道均为在现状基础上的修复，不会对动物活动路线造成新的阻隔。随着恢复效果逐渐加强，生境恢复情况类似施工前，对这些动物的影响也逐渐类似现状情况。</w:t>
      </w:r>
    </w:p>
    <w:p>
      <w:pPr>
        <w:autoSpaceDE/>
        <w:autoSpaceDN/>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总体看，运营期随着施工活动停止，施工人员危害消失，对两栖类、爬行类、鸟类和兽类的影响均较小。</w:t>
      </w:r>
    </w:p>
    <w:p>
      <w:pPr>
        <w:autoSpaceDE/>
        <w:autoSpaceDN/>
        <w:spacing w:line="360" w:lineRule="auto"/>
        <w:ind w:firstLine="562"/>
        <w:jc w:val="both"/>
        <w:outlineLvl w:val="2"/>
        <w:rPr>
          <w:b/>
          <w:color w:val="000000" w:themeColor="text1"/>
          <w:kern w:val="0"/>
          <w:sz w:val="28"/>
          <w:szCs w:val="24"/>
          <w14:textFill>
            <w14:solidFill>
              <w14:schemeClr w14:val="tx1"/>
            </w14:solidFill>
          </w14:textFill>
        </w:rPr>
      </w:pPr>
      <w:bookmarkStart w:id="505" w:name="_Toc9511"/>
      <w:r>
        <w:rPr>
          <w:b/>
          <w:color w:val="000000" w:themeColor="text1"/>
          <w:kern w:val="0"/>
          <w:sz w:val="28"/>
          <w:szCs w:val="24"/>
          <w14:textFill>
            <w14:solidFill>
              <w14:schemeClr w14:val="tx1"/>
            </w14:solidFill>
          </w14:textFill>
        </w:rPr>
        <w:t>4.11.</w:t>
      </w:r>
      <w:r>
        <w:rPr>
          <w:rFonts w:hint="eastAsia"/>
          <w:b/>
          <w:color w:val="000000" w:themeColor="text1"/>
          <w:kern w:val="0"/>
          <w:sz w:val="28"/>
          <w:szCs w:val="24"/>
          <w14:textFill>
            <w14:solidFill>
              <w14:schemeClr w14:val="tx1"/>
            </w14:solidFill>
          </w14:textFill>
        </w:rPr>
        <w:t>3对</w:t>
      </w:r>
      <w:r>
        <w:rPr>
          <w:b/>
          <w:color w:val="000000" w:themeColor="text1"/>
          <w:kern w:val="0"/>
          <w:sz w:val="28"/>
          <w:szCs w:val="24"/>
          <w14:textFill>
            <w14:solidFill>
              <w14:schemeClr w14:val="tx1"/>
            </w14:solidFill>
          </w14:textFill>
        </w:rPr>
        <w:t>水生生态</w:t>
      </w:r>
      <w:r>
        <w:rPr>
          <w:rFonts w:hint="eastAsia"/>
          <w:b/>
          <w:color w:val="000000" w:themeColor="text1"/>
          <w:kern w:val="0"/>
          <w:sz w:val="28"/>
          <w:szCs w:val="24"/>
          <w14:textFill>
            <w14:solidFill>
              <w14:schemeClr w14:val="tx1"/>
            </w14:solidFill>
          </w14:textFill>
        </w:rPr>
        <w:t>的</w:t>
      </w:r>
      <w:r>
        <w:rPr>
          <w:b/>
          <w:color w:val="000000" w:themeColor="text1"/>
          <w:kern w:val="0"/>
          <w:sz w:val="28"/>
          <w:szCs w:val="24"/>
          <w14:textFill>
            <w14:solidFill>
              <w14:schemeClr w14:val="tx1"/>
            </w14:solidFill>
          </w14:textFill>
        </w:rPr>
        <w:t>影响</w:t>
      </w:r>
      <w:bookmarkEnd w:id="503"/>
      <w:bookmarkEnd w:id="505"/>
    </w:p>
    <w:p>
      <w:pPr>
        <w:autoSpaceDE/>
        <w:autoSpaceDN/>
        <w:spacing w:line="360" w:lineRule="auto"/>
        <w:ind w:firstLine="480" w:firstLineChars="200"/>
        <w:jc w:val="both"/>
        <w:rPr>
          <w:color w:val="000000" w:themeColor="text1"/>
          <w:sz w:val="24"/>
          <w14:textFill>
            <w14:solidFill>
              <w14:schemeClr w14:val="tx1"/>
            </w14:solidFill>
          </w14:textFill>
        </w:rPr>
      </w:pPr>
      <w:bookmarkStart w:id="506" w:name="_Hlk164939572"/>
      <w:r>
        <w:rPr>
          <w:rFonts w:hint="eastAsia"/>
          <w:color w:val="000000" w:themeColor="text1"/>
          <w:sz w:val="24"/>
          <w14:textFill>
            <w14:solidFill>
              <w14:schemeClr w14:val="tx1"/>
            </w14:solidFill>
          </w14:textFill>
        </w:rPr>
        <w:t>本项目的建设主要目的为引水灌溉，对于水生生态而言，运营期灌渠的投入使用，能进一步连通西江河、青龙湖、东风渠及其支渠等水系类型，水系连通性的增强，扩大了水生生物的活动范围，促进了不同水域水生生物之间的基因与种群交流，有利于增强区域水生生物的生物多样性。从长远来看，项目建成后的营运期对鱼类等水生生物存在一定正效应。</w:t>
      </w:r>
    </w:p>
    <w:p>
      <w:pPr>
        <w:autoSpaceDE/>
        <w:autoSpaceDN/>
        <w:spacing w:line="360" w:lineRule="auto"/>
        <w:ind w:firstLine="480" w:firstLineChars="200"/>
        <w:jc w:val="both"/>
        <w:rPr>
          <w:color w:val="000000" w:themeColor="text1"/>
          <w:sz w:val="24"/>
          <w14:textFill>
            <w14:solidFill>
              <w14:schemeClr w14:val="tx1"/>
            </w14:solidFill>
          </w14:textFill>
        </w:rPr>
      </w:pPr>
      <w:bookmarkStart w:id="507" w:name="_Hlk164939980"/>
      <w:r>
        <w:rPr>
          <w:rFonts w:hint="eastAsia"/>
          <w:color w:val="000000" w:themeColor="text1"/>
          <w:sz w:val="24"/>
          <w14:textFill>
            <w14:solidFill>
              <w14:schemeClr w14:val="tx1"/>
            </w14:solidFill>
          </w14:textFill>
        </w:rPr>
        <w:t>灌渠营运期投入使用的过程中，周边人类活动强度也随之提高，渠道周边的人类活动（如打水、钓鱼等），会对渠内的鱼类造成一定干扰，甚至是个体的死亡，因此，需要采取一定措施进行宣传保护。</w:t>
      </w:r>
    </w:p>
    <w:bookmarkEnd w:id="506"/>
    <w:bookmarkEnd w:id="507"/>
    <w:p>
      <w:pPr>
        <w:autoSpaceDE/>
        <w:autoSpaceDN/>
        <w:spacing w:line="360" w:lineRule="auto"/>
        <w:ind w:firstLine="643"/>
        <w:jc w:val="both"/>
        <w:outlineLvl w:val="1"/>
        <w:rPr>
          <w:rFonts w:hint="default" w:ascii="Times New Roman" w:hAnsi="Times New Roman" w:eastAsia="黑体" w:cs="Times New Roman"/>
          <w:b/>
          <w:bCs/>
          <w:color w:val="000000" w:themeColor="text1"/>
          <w:kern w:val="0"/>
          <w:sz w:val="32"/>
          <w:szCs w:val="32"/>
          <w14:textFill>
            <w14:solidFill>
              <w14:schemeClr w14:val="tx1"/>
            </w14:solidFill>
          </w14:textFill>
        </w:rPr>
      </w:pPr>
      <w:bookmarkStart w:id="508" w:name="_Toc4513"/>
      <w:bookmarkStart w:id="509" w:name="_Toc70496318"/>
      <w:r>
        <w:rPr>
          <w:rFonts w:hint="default" w:ascii="Times New Roman" w:hAnsi="Times New Roman" w:eastAsia="黑体" w:cs="Times New Roman"/>
          <w:b/>
          <w:bCs/>
          <w:color w:val="000000" w:themeColor="text1"/>
          <w:kern w:val="0"/>
          <w:sz w:val="32"/>
          <w:szCs w:val="32"/>
          <w14:textFill>
            <w14:solidFill>
              <w14:schemeClr w14:val="tx1"/>
            </w14:solidFill>
          </w14:textFill>
        </w:rPr>
        <w:t>4.12对</w:t>
      </w:r>
      <w:r>
        <w:rPr>
          <w:rFonts w:hint="eastAsia" w:eastAsia="黑体" w:cs="Times New Roman"/>
          <w:b/>
          <w:bCs/>
          <w:color w:val="000000" w:themeColor="text1"/>
          <w:kern w:val="0"/>
          <w:sz w:val="32"/>
          <w:szCs w:val="32"/>
          <w:lang w:val="en-US" w:eastAsia="zh-CN"/>
          <w14:textFill>
            <w14:solidFill>
              <w14:schemeClr w14:val="tx1"/>
            </w14:solidFill>
          </w14:textFill>
        </w:rPr>
        <w:t>花果山</w:t>
      </w:r>
      <w:r>
        <w:rPr>
          <w:rFonts w:hint="default" w:ascii="Times New Roman" w:hAnsi="Times New Roman" w:eastAsia="黑体" w:cs="Times New Roman"/>
          <w:b/>
          <w:bCs/>
          <w:color w:val="000000" w:themeColor="text1"/>
          <w:kern w:val="0"/>
          <w:sz w:val="32"/>
          <w:szCs w:val="32"/>
          <w14:textFill>
            <w14:solidFill>
              <w14:schemeClr w14:val="tx1"/>
            </w14:solidFill>
          </w14:textFill>
        </w:rPr>
        <w:t>风景名胜区</w:t>
      </w:r>
      <w:r>
        <w:rPr>
          <w:rFonts w:hint="eastAsia" w:eastAsia="黑体" w:cs="Times New Roman"/>
          <w:b/>
          <w:bCs/>
          <w:color w:val="000000" w:themeColor="text1"/>
          <w:kern w:val="0"/>
          <w:sz w:val="32"/>
          <w:szCs w:val="32"/>
          <w:lang w:eastAsia="zh-CN"/>
          <w14:textFill>
            <w14:solidFill>
              <w14:schemeClr w14:val="tx1"/>
            </w14:solidFill>
          </w14:textFill>
        </w:rPr>
        <w:t>（</w:t>
      </w:r>
      <w:r>
        <w:rPr>
          <w:rFonts w:hint="eastAsia" w:eastAsia="黑体" w:cs="Times New Roman"/>
          <w:b/>
          <w:bCs/>
          <w:color w:val="000000" w:themeColor="text1"/>
          <w:kern w:val="0"/>
          <w:sz w:val="32"/>
          <w:szCs w:val="32"/>
          <w:lang w:val="en-US" w:eastAsia="zh-CN"/>
          <w14:textFill>
            <w14:solidFill>
              <w14:schemeClr w14:val="tx1"/>
            </w14:solidFill>
          </w14:textFill>
        </w:rPr>
        <w:t>十陵景区</w:t>
      </w:r>
      <w:r>
        <w:rPr>
          <w:rFonts w:hint="eastAsia" w:eastAsia="黑体" w:cs="Times New Roman"/>
          <w:b/>
          <w:bCs/>
          <w:color w:val="000000" w:themeColor="text1"/>
          <w:kern w:val="0"/>
          <w:sz w:val="32"/>
          <w:szCs w:val="32"/>
          <w:lang w:eastAsia="zh-CN"/>
          <w14:textFill>
            <w14:solidFill>
              <w14:schemeClr w14:val="tx1"/>
            </w14:solidFill>
          </w14:textFill>
        </w:rPr>
        <w:t>）</w:t>
      </w:r>
      <w:r>
        <w:rPr>
          <w:rFonts w:hint="default" w:ascii="Times New Roman" w:hAnsi="Times New Roman" w:eastAsia="黑体" w:cs="Times New Roman"/>
          <w:b/>
          <w:bCs/>
          <w:color w:val="000000" w:themeColor="text1"/>
          <w:kern w:val="0"/>
          <w:sz w:val="32"/>
          <w:szCs w:val="32"/>
          <w14:textFill>
            <w14:solidFill>
              <w14:schemeClr w14:val="tx1"/>
            </w14:solidFill>
          </w14:textFill>
        </w:rPr>
        <w:t>的影响分析</w:t>
      </w:r>
      <w:bookmarkEnd w:id="508"/>
    </w:p>
    <w:p>
      <w:pPr>
        <w:autoSpaceDE/>
        <w:autoSpaceDN/>
        <w:spacing w:line="360" w:lineRule="auto"/>
        <w:ind w:firstLine="562"/>
        <w:jc w:val="both"/>
        <w:outlineLvl w:val="2"/>
        <w:rPr>
          <w:rFonts w:hint="default" w:ascii="Times New Roman" w:hAnsi="Times New Roman" w:cs="Times New Roman"/>
          <w:b/>
          <w:color w:val="000000" w:themeColor="text1"/>
          <w:kern w:val="0"/>
          <w:sz w:val="28"/>
          <w:szCs w:val="24"/>
          <w14:textFill>
            <w14:solidFill>
              <w14:schemeClr w14:val="tx1"/>
            </w14:solidFill>
          </w14:textFill>
        </w:rPr>
      </w:pPr>
      <w:bookmarkStart w:id="510" w:name="_Toc626"/>
      <w:r>
        <w:rPr>
          <w:rFonts w:hint="default" w:ascii="Times New Roman" w:hAnsi="Times New Roman" w:cs="Times New Roman"/>
          <w:b/>
          <w:color w:val="000000" w:themeColor="text1"/>
          <w:kern w:val="0"/>
          <w:sz w:val="28"/>
          <w:szCs w:val="24"/>
          <w14:textFill>
            <w14:solidFill>
              <w14:schemeClr w14:val="tx1"/>
            </w14:solidFill>
          </w14:textFill>
        </w:rPr>
        <w:t>4.12.1对生物的影响</w:t>
      </w:r>
      <w:bookmarkEnd w:id="510"/>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①对陆生植被的影响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施工期，施工占地会砍伐直接占地区的植物。据调查，主要砍伐树种为慈竹、构树、香樟、桂花等，这些植物均属常见植物。</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间接影响区分布的阔叶林等植被，受施工扬尘的影响，光合作用强度将降低，雌花受粉能力将减弱；施工期运输车辆排放的尾气等，可能对土壤、雨水造成污染，将间接地影响间接影响区植物的生理过程，使其生长发育受到潜在影响。项目建设不会因损伤地表植物而使评价区物种丰富度降低，也不会使植物种类减少</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②对陆生动物的影响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施工用地将占用少量林木，使香樟和柏树林中的鸟类栖息地有少量减少，主要影响的鸟类种类为麻雀、喜鹊等。此外，在本项目施工前，将对施工人员进行严格的野生动物保护专项教育和宣传，因此，人为捕杀导致鸟类数量锐减的可能性较小。就整个风景名胜区而言，鸟类因活动面大，受施工各因素影响，只是活动范围发生改变，不会对鸟类种群数量产生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③对水生鱼类的影响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为现有渠道改造工程，项目永久占用区为水域，但由于原有灌溉渠道建设久远，又因城市建设、农业生产搁置等原因，出现了灌排体系破坏、断面侵占、水系不畅，部分渠道淤积、填埋、堵塞，河渠行洪断面缩窄等现状，根据现地调查结果及查阅相关资料，工程河道主要有经济鱼类有鲤、草鱼、鲫鱼、鲢鱼等经济鱼类，近年来已很少捕捞到，目前仅偶尔捕到，而且个体也越来越小，这说明该水域的鱼类资源下降较明显。但工程施工容易造成局部近岸水域悬浮物浓度增加，影响鱼类的觅食和栖息，不过施工范围不大，时间短，影响较为有限，对水生生物影响较小。</w:t>
      </w:r>
    </w:p>
    <w:p>
      <w:pPr>
        <w:autoSpaceDE/>
        <w:autoSpaceDN/>
        <w:spacing w:line="360" w:lineRule="auto"/>
        <w:ind w:firstLine="562"/>
        <w:jc w:val="both"/>
        <w:outlineLvl w:val="2"/>
        <w:rPr>
          <w:rFonts w:hint="default" w:ascii="Times New Roman" w:hAnsi="Times New Roman" w:cs="Times New Roman"/>
          <w:b/>
          <w:color w:val="000000" w:themeColor="text1"/>
          <w:kern w:val="0"/>
          <w:sz w:val="28"/>
          <w:szCs w:val="24"/>
          <w14:textFill>
            <w14:solidFill>
              <w14:schemeClr w14:val="tx1"/>
            </w14:solidFill>
          </w14:textFill>
        </w:rPr>
      </w:pPr>
      <w:bookmarkStart w:id="511" w:name="_Toc18739"/>
      <w:r>
        <w:rPr>
          <w:rFonts w:hint="default" w:ascii="Times New Roman" w:hAnsi="Times New Roman" w:cs="Times New Roman"/>
          <w:b/>
          <w:color w:val="000000" w:themeColor="text1"/>
          <w:kern w:val="0"/>
          <w:sz w:val="28"/>
          <w:szCs w:val="24"/>
          <w14:textFill>
            <w14:solidFill>
              <w14:schemeClr w14:val="tx1"/>
            </w14:solidFill>
          </w14:textFill>
        </w:rPr>
        <w:t>4.12.2对景观的影响</w:t>
      </w:r>
      <w:bookmarkEnd w:id="511"/>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①对区域游览的影响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在施工阶段，会造成风景名胜区的进入性变差，对局部的游览组织产生不利影响，但因为施工地块在道路旁边，所以这种不利影响是局部的、轻微的，在施工完成后，此影响随即消除。本项目建设后，会使风景名胜区内灌溉水利设施更加完善，对景区的基础设施组织会产生积极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工程运营期，对旅游的影响主要表现在直接占用区已建成沟渠等水利设施对景观视线的影响；另一方面，随着景区内其他配套设施的完善，会增加前往景区观赏游憩的人流，间接带动景区发展。运营期，施工对评价区域的影响已通过措施逐渐得到恢复，重新进入新的生态平衡，评价区内的风景资源质量、区域环境质量也逐渐恢复，区域内游客量将逐步上升。</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②对景观视线的影响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本项目在离景区景点较远的地方进行施工，且因景区坡度平缓，并且栽种有林木，建筑材料的堆放、各施工工序的开展、各类施工活动，因此对视线的影响预测为小。</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③对区域景观交通的影响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在项目施工期，项目建设不会占用风景名胜区主要通道，不会对游览线路产生影响，项目也不会直接占用风景名胜区主要景点，不会影响游客前往观赏，存在的潜在影响是施工场所聚集大量施工人员，在施工休息期间，风景名胜区内的人流量可能会加大，对承载量造成一定影响。因此，施工期间对风景名胜区内旅游基础设施和游客容量影响均较小。</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fldChar w:fldCharType="begin"/>
      </w:r>
      <w:r>
        <w:rPr>
          <w:rFonts w:hint="default" w:ascii="Times New Roman" w:hAnsi="Times New Roman" w:cs="Times New Roman"/>
          <w:color w:val="000000" w:themeColor="text1"/>
          <w:sz w:val="24"/>
          <w14:textFill>
            <w14:solidFill>
              <w14:schemeClr w14:val="tx1"/>
            </w14:solidFill>
          </w14:textFill>
        </w:rPr>
        <w:instrText xml:space="preserve"> = 4 \* GB3 </w:instrText>
      </w:r>
      <w:r>
        <w:rPr>
          <w:rFonts w:hint="default" w:ascii="Times New Roman" w:hAnsi="Times New Roman" w:cs="Times New Roman"/>
          <w:color w:val="000000" w:themeColor="text1"/>
          <w:sz w:val="24"/>
          <w14:textFill>
            <w14:solidFill>
              <w14:schemeClr w14:val="tx1"/>
            </w14:solidFill>
          </w14:textFill>
        </w:rPr>
        <w:fldChar w:fldCharType="separate"/>
      </w:r>
      <w:r>
        <w:rPr>
          <w:rFonts w:hint="default" w:ascii="Times New Roman" w:hAnsi="Times New Roman" w:cs="Times New Roman"/>
          <w:color w:val="000000" w:themeColor="text1"/>
          <w:sz w:val="24"/>
          <w14:textFill>
            <w14:solidFill>
              <w14:schemeClr w14:val="tx1"/>
            </w14:solidFill>
          </w14:textFill>
        </w:rPr>
        <w:t>④</w:t>
      </w:r>
      <w:r>
        <w:rPr>
          <w:rFonts w:hint="default" w:ascii="Times New Roman" w:hAnsi="Times New Roman" w:cs="Times New Roman"/>
          <w:color w:val="000000" w:themeColor="text1"/>
          <w:sz w:val="24"/>
          <w14:textFill>
            <w14:solidFill>
              <w14:schemeClr w14:val="tx1"/>
            </w14:solidFill>
          </w14:textFill>
        </w:rPr>
        <w:fldChar w:fldCharType="end"/>
      </w:r>
      <w:r>
        <w:rPr>
          <w:rFonts w:hint="default" w:ascii="Times New Roman" w:hAnsi="Times New Roman" w:cs="Times New Roman"/>
          <w:color w:val="000000" w:themeColor="text1"/>
          <w:sz w:val="24"/>
          <w14:textFill>
            <w14:solidFill>
              <w14:schemeClr w14:val="tx1"/>
            </w14:solidFill>
          </w14:textFill>
        </w:rPr>
        <w:t>对游客安全的影响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花果山风景名胜区十陵片区为开放式公园，进出景区内有多个通道，且该项目建设不会占用景区内的交通要道和游览线路，且建筑施工场地为封闭场所，在挡墙外围也会张贴警示标语对游客进行疏导和提示。所以，施工期对游客的安全不会产生负面影响。</w:t>
      </w:r>
    </w:p>
    <w:p>
      <w:pPr>
        <w:autoSpaceDE/>
        <w:autoSpaceDN/>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运营期后，随着进入景区内的游客增多，环境容量有限，游客拥堵风险增加，势必对游客安全存在潜在威胁，给风景名胜区管理带来新的挑战，需要景区管理部门做好相应管护工作。</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512" w:name="_Toc13696"/>
      <w:r>
        <w:rPr>
          <w:rFonts w:hint="eastAsia" w:eastAsia="黑体"/>
          <w:b/>
          <w:bCs/>
          <w:color w:val="000000" w:themeColor="text1"/>
          <w:kern w:val="0"/>
          <w:sz w:val="32"/>
          <w:szCs w:val="32"/>
          <w:lang w:val="en-US" w:eastAsia="zh-CN"/>
          <w14:textFill>
            <w14:solidFill>
              <w14:schemeClr w14:val="tx1"/>
            </w14:solidFill>
          </w14:textFill>
        </w:rPr>
        <w:t>4.13对龙泉驿区东风渠、东干渠麻石桥集中式饮用水水源地影响分</w:t>
      </w:r>
      <w:r>
        <w:rPr>
          <w:rFonts w:hint="eastAsia" w:eastAsia="黑体"/>
          <w:b/>
          <w:bCs/>
          <w:color w:val="000000" w:themeColor="text1"/>
          <w:kern w:val="0"/>
          <w:sz w:val="32"/>
          <w:szCs w:val="32"/>
          <w14:textFill>
            <w14:solidFill>
              <w14:schemeClr w14:val="tx1"/>
            </w14:solidFill>
          </w14:textFill>
        </w:rPr>
        <w:t>析</w:t>
      </w:r>
      <w:bookmarkEnd w:id="512"/>
    </w:p>
    <w:p>
      <w:pPr>
        <w:autoSpaceDE/>
        <w:autoSpaceDN/>
        <w:spacing w:line="360" w:lineRule="auto"/>
        <w:ind w:firstLine="480" w:firstLineChars="200"/>
        <w:jc w:val="both"/>
        <w:rPr>
          <w:rFonts w:hint="eastAsia" w:cs="Times New Roman"/>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根据项目建设范围，项目</w:t>
      </w:r>
      <w:r>
        <w:rPr>
          <w:rFonts w:hint="eastAsia" w:ascii="Times New Roman" w:hAnsi="Times New Roman" w:eastAsia="宋体" w:cs="Times New Roman"/>
          <w:color w:val="000000" w:themeColor="text1"/>
          <w:sz w:val="24"/>
          <w:lang w:val="en-US" w:eastAsia="zh-CN"/>
          <w14:textFill>
            <w14:solidFill>
              <w14:schemeClr w14:val="tx1"/>
            </w14:solidFill>
          </w14:textFill>
        </w:rPr>
        <w:t>南五支渠约11m，南六支渠约20m位于龙泉驿区东风渠、东干渠麻石桥集中式饮用水水源地准</w:t>
      </w:r>
      <w:r>
        <w:rPr>
          <w:rFonts w:hint="eastAsia" w:ascii="Times New Roman" w:hAnsi="Times New Roman" w:eastAsia="宋体" w:cs="Times New Roman"/>
          <w:color w:val="000000" w:themeColor="text1"/>
          <w:sz w:val="24"/>
          <w:lang w:val="en-GB" w:eastAsia="zh-CN"/>
          <w14:textFill>
            <w14:solidFill>
              <w14:schemeClr w14:val="tx1"/>
            </w14:solidFill>
          </w14:textFill>
        </w:rPr>
        <w:t>保护区</w:t>
      </w:r>
      <w:r>
        <w:rPr>
          <w:rFonts w:hint="eastAsia" w:ascii="Times New Roman" w:hAnsi="Times New Roman" w:eastAsia="宋体" w:cs="Times New Roman"/>
          <w:color w:val="000000" w:themeColor="text1"/>
          <w:sz w:val="24"/>
          <w:lang w:val="en-US" w:eastAsia="zh-CN"/>
          <w14:textFill>
            <w14:solidFill>
              <w14:schemeClr w14:val="tx1"/>
            </w14:solidFill>
          </w14:textFill>
        </w:rPr>
        <w:t>陆域范围内</w:t>
      </w:r>
      <w:r>
        <w:rPr>
          <w:rFonts w:hint="eastAsia" w:cs="宋体"/>
          <w:color w:val="000000" w:themeColor="text1"/>
          <w:sz w:val="24"/>
          <w14:textFill>
            <w14:solidFill>
              <w14:schemeClr w14:val="tx1"/>
            </w14:solidFill>
          </w14:textFill>
        </w:rPr>
        <w:t>，整治渠道仅涉及准保护区内的陆域部分</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lang w:val="en-US" w:eastAsia="zh-CN"/>
          <w14:textFill>
            <w14:solidFill>
              <w14:schemeClr w14:val="tx1"/>
            </w14:solidFill>
          </w14:textFill>
        </w:rPr>
        <w:t>在准保护区内占地面积约124m</w:t>
      </w:r>
      <w:r>
        <w:rPr>
          <w:rFonts w:hint="eastAsia" w:cs="宋体"/>
          <w:color w:val="000000" w:themeColor="text1"/>
          <w:sz w:val="24"/>
          <w:vertAlign w:val="superscript"/>
          <w:lang w:val="en-US" w:eastAsia="zh-CN"/>
          <w14:textFill>
            <w14:solidFill>
              <w14:schemeClr w14:val="tx1"/>
            </w14:solidFill>
          </w14:textFill>
        </w:rPr>
        <w:t>2</w:t>
      </w:r>
      <w:r>
        <w:rPr>
          <w:rFonts w:hint="eastAsia" w:cs="宋体"/>
          <w:color w:val="000000" w:themeColor="text1"/>
          <w:sz w:val="24"/>
          <w:vertAlign w:val="baseline"/>
          <w:lang w:val="en-US" w:eastAsia="zh-CN"/>
          <w14:textFill>
            <w14:solidFill>
              <w14:schemeClr w14:val="tx1"/>
            </w14:solidFill>
          </w14:textFill>
        </w:rPr>
        <w:t>。根据设计资料，</w:t>
      </w:r>
      <w:r>
        <w:rPr>
          <w:rFonts w:hint="eastAsia" w:cs="Times New Roman"/>
          <w:color w:val="000000" w:themeColor="text1"/>
          <w:sz w:val="24"/>
          <w:lang w:val="en-US" w:eastAsia="zh-CN"/>
          <w14:textFill>
            <w14:solidFill>
              <w14:schemeClr w14:val="tx1"/>
            </w14:solidFill>
          </w14:textFill>
        </w:rPr>
        <w:t>在准保护区内</w:t>
      </w:r>
      <w:r>
        <w:rPr>
          <w:rFonts w:hint="eastAsia" w:ascii="Times New Roman" w:hAnsi="Times New Roman" w:eastAsia="宋体" w:cs="Times New Roman"/>
          <w:color w:val="000000" w:themeColor="text1"/>
          <w:sz w:val="24"/>
          <w:lang w:val="en-US" w:eastAsia="zh-CN"/>
          <w14:textFill>
            <w14:solidFill>
              <w14:schemeClr w14:val="tx1"/>
            </w14:solidFill>
          </w14:textFill>
        </w:rPr>
        <w:t>主要</w:t>
      </w:r>
      <w:r>
        <w:rPr>
          <w:rFonts w:hint="eastAsia" w:cs="Times New Roman"/>
          <w:color w:val="000000" w:themeColor="text1"/>
          <w:sz w:val="24"/>
          <w:lang w:val="en-US" w:eastAsia="zh-CN"/>
          <w14:textFill>
            <w14:solidFill>
              <w14:schemeClr w14:val="tx1"/>
            </w14:solidFill>
          </w14:textFill>
        </w:rPr>
        <w:t>对渠道进行清淤、衬砌等工程；同时</w:t>
      </w:r>
      <w:r>
        <w:rPr>
          <w:rFonts w:hint="eastAsia" w:cs="宋体"/>
          <w:color w:val="000000" w:themeColor="text1"/>
          <w:sz w:val="24"/>
          <w:vertAlign w:val="baseline"/>
          <w:lang w:val="en-US" w:eastAsia="zh-CN"/>
          <w14:textFill>
            <w14:solidFill>
              <w14:schemeClr w14:val="tx1"/>
            </w14:solidFill>
          </w14:textFill>
        </w:rPr>
        <w:t>根据区域水系情况，本项目位于东风渠下游，从东风渠引水，施工期间关闭引水闸门，渠道内产生的基坑废水不会进入东风渠，对饮用水源取水口水质也不会造成影响。项目</w:t>
      </w:r>
      <w:r>
        <w:rPr>
          <w:rFonts w:hint="eastAsia" w:cs="Times New Roman"/>
          <w:color w:val="000000" w:themeColor="text1"/>
          <w:sz w:val="24"/>
          <w:lang w:val="en-US" w:eastAsia="zh-CN"/>
          <w14:textFill>
            <w14:solidFill>
              <w14:schemeClr w14:val="tx1"/>
            </w14:solidFill>
          </w14:textFill>
        </w:rPr>
        <w:t>施工期间施工废水不外排，生活垃圾依托环卫部门处理，施工主要污染物为施工产生的扬尘，不会对周围环境造成污染。</w:t>
      </w:r>
    </w:p>
    <w:p>
      <w:pPr>
        <w:autoSpaceDE/>
        <w:autoSpaceDN/>
        <w:spacing w:line="360" w:lineRule="auto"/>
        <w:ind w:firstLine="480" w:firstLineChars="200"/>
        <w:jc w:val="both"/>
        <w:rPr>
          <w:rFonts w:hint="default"/>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项目为渠道整治项目，运营期不会产生污染物，对</w:t>
      </w:r>
      <w:r>
        <w:rPr>
          <w:rFonts w:hint="eastAsia" w:ascii="Times New Roman" w:hAnsi="Times New Roman" w:eastAsia="宋体" w:cs="Times New Roman"/>
          <w:color w:val="000000" w:themeColor="text1"/>
          <w:sz w:val="24"/>
          <w:lang w:val="en-US" w:eastAsia="zh-CN"/>
          <w14:textFill>
            <w14:solidFill>
              <w14:schemeClr w14:val="tx1"/>
            </w14:solidFill>
          </w14:textFill>
        </w:rPr>
        <w:t>龙泉驿区东风渠、东干渠麻石桥集中式饮用水水源地也不会造成影响</w:t>
      </w:r>
      <w:r>
        <w:rPr>
          <w:rFonts w:hint="eastAsia" w:cs="Times New Roman"/>
          <w:color w:val="000000" w:themeColor="text1"/>
          <w:sz w:val="24"/>
          <w:lang w:val="en-US" w:eastAsia="zh-CN"/>
          <w14:textFill>
            <w14:solidFill>
              <w14:schemeClr w14:val="tx1"/>
            </w14:solidFill>
          </w14:textFill>
        </w:rPr>
        <w:t>。</w:t>
      </w:r>
    </w:p>
    <w:p>
      <w:pPr>
        <w:autoSpaceDE/>
        <w:autoSpaceDN/>
        <w:spacing w:line="360" w:lineRule="auto"/>
        <w:ind w:firstLine="643"/>
        <w:jc w:val="both"/>
        <w:outlineLvl w:val="1"/>
        <w:rPr>
          <w:rFonts w:hint="eastAsia" w:ascii="Times New Roman" w:hAnsi="Times New Roman" w:eastAsia="黑体" w:cs="Times New Roman"/>
          <w:b/>
          <w:bCs/>
          <w:color w:val="000000" w:themeColor="text1"/>
          <w:kern w:val="0"/>
          <w:sz w:val="32"/>
          <w:szCs w:val="32"/>
          <w:lang w:val="en-US" w:eastAsia="zh-CN"/>
          <w14:textFill>
            <w14:solidFill>
              <w14:schemeClr w14:val="tx1"/>
            </w14:solidFill>
          </w14:textFill>
        </w:rPr>
      </w:pPr>
      <w:bookmarkStart w:id="513" w:name="_Toc19035"/>
      <w:r>
        <w:rPr>
          <w:rFonts w:hint="eastAsia" w:ascii="Times New Roman" w:hAnsi="Times New Roman" w:eastAsia="黑体" w:cs="Times New Roman"/>
          <w:b/>
          <w:bCs/>
          <w:color w:val="000000" w:themeColor="text1"/>
          <w:kern w:val="0"/>
          <w:sz w:val="32"/>
          <w:szCs w:val="32"/>
          <w:lang w:val="en-US" w:eastAsia="zh-CN"/>
          <w14:textFill>
            <w14:solidFill>
              <w14:schemeClr w14:val="tx1"/>
            </w14:solidFill>
          </w14:textFill>
        </w:rPr>
        <w:t>4.14对四川省成都市明蜀王陵（龙泉驿区）影响分析</w:t>
      </w:r>
      <w:bookmarkEnd w:id="513"/>
    </w:p>
    <w:p>
      <w:pPr>
        <w:autoSpaceDE/>
        <w:autoSpaceDN/>
        <w:spacing w:line="360" w:lineRule="auto"/>
        <w:ind w:firstLine="480" w:firstLineChars="200"/>
        <w:jc w:val="both"/>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s="宋体"/>
          <w:color w:val="000000" w:themeColor="text1"/>
          <w:sz w:val="24"/>
          <w:lang w:val="en-US" w:eastAsia="zh-CN"/>
          <w14:textFill>
            <w14:solidFill>
              <w14:schemeClr w14:val="tx1"/>
            </w14:solidFill>
          </w14:textFill>
        </w:rPr>
        <w:t>根据现状调查，</w:t>
      </w:r>
      <w:r>
        <w:rPr>
          <w:rFonts w:hint="eastAsia" w:cs="宋体"/>
          <w:color w:val="000000" w:themeColor="text1"/>
          <w:sz w:val="24"/>
          <w14:textFill>
            <w14:solidFill>
              <w14:schemeClr w14:val="tx1"/>
            </w14:solidFill>
          </w14:textFill>
        </w:rPr>
        <w:t>项目南五支渠其西侧约742m为明蜀定王次妃墓，西侧约962m为信王赵妃墓</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lang w:val="en-US" w:eastAsia="zh-CN"/>
          <w14:textFill>
            <w14:solidFill>
              <w14:schemeClr w14:val="tx1"/>
            </w14:solidFill>
          </w14:textFill>
        </w:rPr>
        <w:t>根据叠图分析，</w:t>
      </w:r>
      <w:r>
        <w:rPr>
          <w:rFonts w:hint="eastAsia" w:cs="宋体"/>
          <w:color w:val="000000" w:themeColor="text1"/>
          <w:sz w:val="24"/>
          <w14:textFill>
            <w14:solidFill>
              <w14:schemeClr w14:val="tx1"/>
            </w14:solidFill>
          </w14:textFill>
        </w:rPr>
        <w:t>项目建设场地均不在明蜀王陵（龙泉驿区）保护范围和建设控制地带范围内</w:t>
      </w:r>
      <w:r>
        <w:rPr>
          <w:rFonts w:hint="eastAsia" w:cs="宋体"/>
          <w:color w:val="000000" w:themeColor="text1"/>
          <w:sz w:val="24"/>
          <w:lang w:eastAsia="zh-CN"/>
          <w14:textFill>
            <w14:solidFill>
              <w14:schemeClr w14:val="tx1"/>
            </w14:solidFill>
          </w14:textFill>
        </w:rPr>
        <w:t>。</w:t>
      </w:r>
      <w:r>
        <w:rPr>
          <w:rFonts w:hint="eastAsia" w:cs="宋体"/>
          <w:color w:val="000000" w:themeColor="text1"/>
          <w:sz w:val="24"/>
          <w:lang w:val="en-US" w:eastAsia="zh-CN"/>
          <w14:textFill>
            <w14:solidFill>
              <w14:schemeClr w14:val="tx1"/>
            </w14:solidFill>
          </w14:textFill>
        </w:rPr>
        <w:t>且</w:t>
      </w:r>
      <w:r>
        <w:rPr>
          <w:rFonts w:hint="eastAsia" w:cs="宋体"/>
          <w:color w:val="000000" w:themeColor="text1"/>
          <w:sz w:val="24"/>
          <w14:textFill>
            <w14:solidFill>
              <w14:schemeClr w14:val="tx1"/>
            </w14:solidFill>
          </w14:textFill>
        </w:rPr>
        <w:t>明蜀王陵（龙泉驿区）</w:t>
      </w:r>
      <w:r>
        <w:rPr>
          <w:rFonts w:hint="eastAsia" w:cs="宋体"/>
          <w:color w:val="000000" w:themeColor="text1"/>
          <w:sz w:val="24"/>
          <w:lang w:val="en-US" w:eastAsia="zh-CN"/>
          <w14:textFill>
            <w14:solidFill>
              <w14:schemeClr w14:val="tx1"/>
            </w14:solidFill>
          </w14:textFill>
        </w:rPr>
        <w:t>不在本项目大气环境、声环境评</w:t>
      </w:r>
      <w:r>
        <w:rPr>
          <w:rFonts w:hint="eastAsia" w:ascii="Times New Roman" w:hAnsi="Times New Roman" w:eastAsia="宋体" w:cs="Times New Roman"/>
          <w:color w:val="000000" w:themeColor="text1"/>
          <w:sz w:val="24"/>
          <w:lang w:val="en-US" w:eastAsia="zh-CN"/>
          <w14:textFill>
            <w14:solidFill>
              <w14:schemeClr w14:val="tx1"/>
            </w14:solidFill>
          </w14:textFill>
        </w:rPr>
        <w:t>价范围内、不属于本项目保护目标，本项目的建设不会对其造成影响。</w:t>
      </w:r>
    </w:p>
    <w:p>
      <w:pPr>
        <w:autoSpaceDE/>
        <w:autoSpaceDN/>
        <w:spacing w:line="360" w:lineRule="auto"/>
        <w:ind w:firstLine="480" w:firstLineChars="200"/>
        <w:jc w:val="both"/>
        <w:rPr>
          <w:rFonts w:hint="default"/>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项目为渠道整治项目，运营期不会产生污染物，对四川省成都市明蜀王陵（龙泉驿区）也不会造成影响</w:t>
      </w:r>
      <w:r>
        <w:rPr>
          <w:rFonts w:hint="eastAsia" w:cs="Times New Roman"/>
          <w:color w:val="000000" w:themeColor="text1"/>
          <w:sz w:val="24"/>
          <w:lang w:val="en-US" w:eastAsia="zh-CN"/>
          <w14:textFill>
            <w14:solidFill>
              <w14:schemeClr w14:val="tx1"/>
            </w14:solidFill>
          </w14:textFill>
        </w:rPr>
        <w:t>。</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514" w:name="_Toc27706"/>
      <w:r>
        <w:rPr>
          <w:rFonts w:eastAsia="黑体"/>
          <w:b/>
          <w:bCs/>
          <w:color w:val="000000" w:themeColor="text1"/>
          <w:kern w:val="0"/>
          <w:sz w:val="32"/>
          <w:szCs w:val="32"/>
          <w14:textFill>
            <w14:solidFill>
              <w14:schemeClr w14:val="tx1"/>
            </w14:solidFill>
          </w14:textFill>
        </w:rPr>
        <w:t>4.1</w:t>
      </w:r>
      <w:r>
        <w:rPr>
          <w:rFonts w:hint="eastAsia" w:eastAsia="黑体"/>
          <w:b/>
          <w:bCs/>
          <w:color w:val="000000" w:themeColor="text1"/>
          <w:kern w:val="0"/>
          <w:sz w:val="32"/>
          <w:szCs w:val="32"/>
          <w:lang w:val="en-US" w:eastAsia="zh-CN"/>
          <w14:textFill>
            <w14:solidFill>
              <w14:schemeClr w14:val="tx1"/>
            </w14:solidFill>
          </w14:textFill>
        </w:rPr>
        <w:t>5</w:t>
      </w:r>
      <w:r>
        <w:rPr>
          <w:rFonts w:hint="eastAsia" w:eastAsia="黑体"/>
          <w:b/>
          <w:bCs/>
          <w:color w:val="000000" w:themeColor="text1"/>
          <w:kern w:val="0"/>
          <w:sz w:val="32"/>
          <w:szCs w:val="32"/>
          <w14:textFill>
            <w14:solidFill>
              <w14:schemeClr w14:val="tx1"/>
            </w14:solidFill>
          </w14:textFill>
        </w:rPr>
        <w:t>土壤</w:t>
      </w:r>
      <w:r>
        <w:rPr>
          <w:rFonts w:eastAsia="黑体"/>
          <w:b/>
          <w:bCs/>
          <w:color w:val="000000" w:themeColor="text1"/>
          <w:kern w:val="0"/>
          <w:sz w:val="32"/>
          <w:szCs w:val="32"/>
          <w14:textFill>
            <w14:solidFill>
              <w14:schemeClr w14:val="tx1"/>
            </w14:solidFill>
          </w14:textFill>
        </w:rPr>
        <w:t>环境影响</w:t>
      </w:r>
      <w:bookmarkEnd w:id="509"/>
      <w:r>
        <w:rPr>
          <w:rFonts w:hint="eastAsia" w:eastAsia="黑体"/>
          <w:b/>
          <w:bCs/>
          <w:color w:val="000000" w:themeColor="text1"/>
          <w:kern w:val="0"/>
          <w:sz w:val="32"/>
          <w:szCs w:val="32"/>
          <w14:textFill>
            <w14:solidFill>
              <w14:schemeClr w14:val="tx1"/>
            </w14:solidFill>
          </w14:textFill>
        </w:rPr>
        <w:t>分析</w:t>
      </w:r>
      <w:bookmarkEnd w:id="514"/>
    </w:p>
    <w:p>
      <w:pPr>
        <w:autoSpaceDE/>
        <w:autoSpaceDN/>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本项目对土壤环境产生的影响主要体现在施工期，运营期不会对土壤产生影响。</w:t>
      </w:r>
    </w:p>
    <w:p>
      <w:pPr>
        <w:autoSpaceDE/>
        <w:autoSpaceDN/>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施工期临时占地、施工机械运输及作业将对部分土壤产生破坏作用，一定程度上将影响拟建工程分布区的土地资源和土壤环境质量。</w:t>
      </w:r>
    </w:p>
    <w:p>
      <w:pPr>
        <w:autoSpaceDE/>
        <w:autoSpaceDN/>
        <w:spacing w:line="360" w:lineRule="auto"/>
        <w:ind w:firstLine="480" w:firstLineChars="200"/>
        <w:jc w:val="both"/>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工程施工临时占地包括施工临时道路、临时堆土区、施工工区及其他施工用地等。根据沿线调查，区域主要种植的农作物有水稻、小麦、玉米、蚕豆、油菜等。施工过程中机械作业、施工人员活动可能对作业区周围的农作物和植被产生一定程度的破坏，同时也改变了土地的原有使用功能，但是工程施工过程中将采取表土剥离等措施，工程完建临时用地期满以后，由建设单位负责进行熟土回填等措施恢复土地的原使用功能并及时退还。因此，工程施工期间，临时占地对当地土壤环境及土地资源造成一定的损失；但随着工程建成后进行复垦，加之建设单位采取的保护措施，工程结束后不利影响将逐渐减小，直至消失。</w:t>
      </w:r>
    </w:p>
    <w:p>
      <w:pPr>
        <w:autoSpaceDE/>
        <w:autoSpaceDN/>
        <w:spacing w:line="360" w:lineRule="auto"/>
        <w:ind w:firstLine="643"/>
        <w:jc w:val="both"/>
        <w:outlineLvl w:val="1"/>
        <w:rPr>
          <w:rFonts w:eastAsia="黑体"/>
          <w:b/>
          <w:bCs/>
          <w:color w:val="000000" w:themeColor="text1"/>
          <w:kern w:val="0"/>
          <w:sz w:val="32"/>
          <w:szCs w:val="32"/>
          <w14:textFill>
            <w14:solidFill>
              <w14:schemeClr w14:val="tx1"/>
            </w14:solidFill>
          </w14:textFill>
        </w:rPr>
      </w:pPr>
      <w:bookmarkStart w:id="515" w:name="_Toc70496319"/>
      <w:bookmarkStart w:id="516" w:name="_Toc13777"/>
      <w:bookmarkStart w:id="517" w:name="_Toc23608"/>
      <w:r>
        <w:rPr>
          <w:rFonts w:eastAsia="黑体"/>
          <w:b/>
          <w:bCs/>
          <w:color w:val="000000" w:themeColor="text1"/>
          <w:kern w:val="0"/>
          <w:sz w:val="32"/>
          <w:szCs w:val="32"/>
          <w14:textFill>
            <w14:solidFill>
              <w14:schemeClr w14:val="tx1"/>
            </w14:solidFill>
          </w14:textFill>
        </w:rPr>
        <w:t>4.1</w:t>
      </w:r>
      <w:r>
        <w:rPr>
          <w:rFonts w:hint="eastAsia" w:eastAsia="黑体"/>
          <w:b/>
          <w:bCs/>
          <w:color w:val="000000" w:themeColor="text1"/>
          <w:kern w:val="0"/>
          <w:sz w:val="32"/>
          <w:szCs w:val="32"/>
          <w:lang w:val="en-US" w:eastAsia="zh-CN"/>
          <w14:textFill>
            <w14:solidFill>
              <w14:schemeClr w14:val="tx1"/>
            </w14:solidFill>
          </w14:textFill>
        </w:rPr>
        <w:t>6</w:t>
      </w:r>
      <w:r>
        <w:rPr>
          <w:rFonts w:eastAsia="黑体"/>
          <w:b/>
          <w:bCs/>
          <w:color w:val="000000" w:themeColor="text1"/>
          <w:kern w:val="0"/>
          <w:sz w:val="32"/>
          <w:szCs w:val="32"/>
          <w14:textFill>
            <w14:solidFill>
              <w14:schemeClr w14:val="tx1"/>
            </w14:solidFill>
          </w14:textFill>
        </w:rPr>
        <w:t>环境风险分析与评价</w:t>
      </w:r>
      <w:bookmarkEnd w:id="515"/>
      <w:bookmarkEnd w:id="516"/>
      <w:bookmarkEnd w:id="517"/>
    </w:p>
    <w:p>
      <w:pPr>
        <w:widowControl/>
        <w:spacing w:line="360" w:lineRule="auto"/>
        <w:ind w:firstLine="480" w:firstLineChars="200"/>
        <w:rPr>
          <w:color w:val="000000" w:themeColor="text1"/>
          <w14:textFill>
            <w14:solidFill>
              <w14:schemeClr w14:val="tx1"/>
            </w14:solidFill>
          </w14:textFill>
        </w:rPr>
      </w:pPr>
      <w:bookmarkStart w:id="518" w:name="_Toc70496320"/>
      <w:r>
        <w:rPr>
          <w:rFonts w:hint="eastAsia" w:ascii="宋体" w:hAnsi="宋体" w:cs="宋体"/>
          <w:color w:val="000000" w:themeColor="text1"/>
          <w:kern w:val="0"/>
          <w:sz w:val="24"/>
          <w:szCs w:val="24"/>
          <w:lang w:bidi="ar"/>
          <w14:textFill>
            <w14:solidFill>
              <w14:schemeClr w14:val="tx1"/>
            </w14:solidFill>
          </w14:textFill>
        </w:rPr>
        <w:t>本工程属于非污染型的生态项目，施工期不设置油库，运营期不涉及危险物质，本报告仅对施工期的环境风险进行分析。</w:t>
      </w:r>
    </w:p>
    <w:p>
      <w:pPr>
        <w:autoSpaceDE/>
        <w:autoSpaceDN/>
        <w:spacing w:line="360" w:lineRule="auto"/>
        <w:ind w:firstLine="562"/>
        <w:jc w:val="both"/>
        <w:outlineLvl w:val="2"/>
        <w:rPr>
          <w:rFonts w:eastAsia="黑体"/>
          <w:b/>
          <w:color w:val="000000" w:themeColor="text1"/>
          <w:kern w:val="0"/>
          <w:sz w:val="28"/>
          <w:szCs w:val="24"/>
          <w14:textFill>
            <w14:solidFill>
              <w14:schemeClr w14:val="tx1"/>
            </w14:solidFill>
          </w14:textFill>
        </w:rPr>
      </w:pPr>
      <w:bookmarkStart w:id="519" w:name="_Toc26264"/>
      <w:r>
        <w:rPr>
          <w:rFonts w:eastAsia="黑体"/>
          <w:b/>
          <w:color w:val="000000" w:themeColor="text1"/>
          <w:kern w:val="0"/>
          <w:sz w:val="28"/>
          <w:szCs w:val="24"/>
          <w14:textFill>
            <w14:solidFill>
              <w14:schemeClr w14:val="tx1"/>
            </w14:solidFill>
          </w14:textFill>
        </w:rPr>
        <w:t>4.1</w:t>
      </w:r>
      <w:r>
        <w:rPr>
          <w:rFonts w:hint="eastAsia" w:eastAsia="黑体"/>
          <w:b/>
          <w:color w:val="000000" w:themeColor="text1"/>
          <w:kern w:val="0"/>
          <w:sz w:val="28"/>
          <w:szCs w:val="24"/>
          <w:lang w:val="en-US" w:eastAsia="zh-CN"/>
          <w14:textFill>
            <w14:solidFill>
              <w14:schemeClr w14:val="tx1"/>
            </w14:solidFill>
          </w14:textFill>
        </w:rPr>
        <w:t>6</w:t>
      </w:r>
      <w:r>
        <w:rPr>
          <w:rFonts w:eastAsia="黑体"/>
          <w:b/>
          <w:color w:val="000000" w:themeColor="text1"/>
          <w:kern w:val="0"/>
          <w:sz w:val="28"/>
          <w:szCs w:val="24"/>
          <w14:textFill>
            <w14:solidFill>
              <w14:schemeClr w14:val="tx1"/>
            </w14:solidFill>
          </w14:textFill>
        </w:rPr>
        <w:t>.1环境风险分析</w:t>
      </w:r>
      <w:bookmarkEnd w:id="518"/>
      <w:bookmarkEnd w:id="519"/>
    </w:p>
    <w:p>
      <w:pPr>
        <w:widowControl/>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根据国家环保部《关于进一步加强环境影响评价管理防范环境风险的通知》，环发[2012]77号的有关要求，本次评价将按照《建设项目环境风险评价技术导则》（HJ/T169-2018）的要求（以下简称《导则》），对本项目进行风险评价。环境风险评价是对项目突发性灾难事故发生的原因及其后果进行必要的预测分析，描述可能发生的重大事故的危害程度，制定适宜、可行的防范、应急与减缓对策，以达到减轻事故影响的目的。重点是预测事故状态下对厂界外人群的伤害和环境质量的影响，并制定出相应的减轻事故影响的防护措施。</w:t>
      </w:r>
    </w:p>
    <w:p>
      <w:pPr>
        <w:widowControl/>
        <w:autoSpaceDE/>
        <w:autoSpaceDN/>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根据工程分析，项目施工期间将产生运输车辆、施工机械冲洗废水和围堰渗水、临时堆土场淋沥水、降雨汇水等引起的基坑排水等生产废水和生活污水。生产废水分贝经沉淀池沉淀处理后用于洒水降尘，不外排；生活污水依托租用民房污水处理设施处理后进入市政污水管网；在各处理措施正常运行下，对评价区域内地表水水质的产生的影响很小，但在事故排放情况下，则会造成一定的影响。</w:t>
      </w:r>
    </w:p>
    <w:p>
      <w:pPr>
        <w:widowControl/>
        <w:autoSpaceDE/>
        <w:autoSpaceDN/>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根据施工布置，项目施工工区和临时堆土场距离成都市龙泉驿区东风渠、东干渠麻石桥集中式饮用水水源地保护区和花果山风景名胜区均较远，风景名胜区内整治南五、南六支渠产生的基坑废水，经渠道周围沉淀池沉淀处理后外排；若沉淀池发生故障，可能会对风景名胜区内地表水造成影响，但由于南五、南六支渠均位于饮用水水源保护区下游方向，故废水处理设施发生故障的情况下，对饮用水水源保护区产生的影响也极小此外，其余废水处理系统距离渠道有一定距离，且经过施工场地进行拦截；因此，当生产废水处理设施发生故障时，如沉淀池泄漏、坍塌，废水也不会立即进入周边水系，污染周边水系水质的概率很小。</w:t>
      </w:r>
    </w:p>
    <w:p>
      <w:pPr>
        <w:widowControl/>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本项目为</w:t>
      </w:r>
      <w:r>
        <w:rPr>
          <w:rFonts w:hint="eastAsia"/>
          <w:color w:val="000000" w:themeColor="text1"/>
          <w:kern w:val="0"/>
          <w:sz w:val="24"/>
          <w:szCs w:val="20"/>
          <w14:textFill>
            <w14:solidFill>
              <w14:schemeClr w14:val="tx1"/>
            </w14:solidFill>
          </w14:textFill>
        </w:rPr>
        <w:t>渠道整治</w:t>
      </w:r>
      <w:r>
        <w:rPr>
          <w:color w:val="000000" w:themeColor="text1"/>
          <w:kern w:val="0"/>
          <w:sz w:val="24"/>
          <w:szCs w:val="20"/>
          <w14:textFill>
            <w14:solidFill>
              <w14:schemeClr w14:val="tx1"/>
            </w14:solidFill>
          </w14:textFill>
        </w:rPr>
        <w:t>项目，对环境的影响主要来自施工期。施工期风险源项主要为施工设备使用过程中可能发生的油品泄漏，管理疏忽、操作违反规程或失误等原因引起跑、冒、滴、漏等事故的可能性较大，将会对水域造成油污染。</w:t>
      </w:r>
    </w:p>
    <w:p>
      <w:pPr>
        <w:autoSpaceDE/>
        <w:autoSpaceDN/>
        <w:spacing w:line="360" w:lineRule="auto"/>
        <w:jc w:val="both"/>
        <w:outlineLvl w:val="3"/>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4.1</w:t>
      </w:r>
      <w:r>
        <w:rPr>
          <w:rFonts w:hint="eastAsia"/>
          <w:b/>
          <w:color w:val="000000" w:themeColor="text1"/>
          <w:kern w:val="0"/>
          <w:sz w:val="24"/>
          <w:szCs w:val="24"/>
          <w:lang w:val="en-US" w:eastAsia="zh-CN"/>
          <w14:textFill>
            <w14:solidFill>
              <w14:schemeClr w14:val="tx1"/>
            </w14:solidFill>
          </w14:textFill>
        </w:rPr>
        <w:t>6</w:t>
      </w:r>
      <w:r>
        <w:rPr>
          <w:b/>
          <w:color w:val="000000" w:themeColor="text1"/>
          <w:kern w:val="0"/>
          <w:sz w:val="24"/>
          <w:szCs w:val="24"/>
          <w14:textFill>
            <w14:solidFill>
              <w14:schemeClr w14:val="tx1"/>
            </w14:solidFill>
          </w14:textFill>
        </w:rPr>
        <w:t>.1.1物质危险性识别</w:t>
      </w:r>
    </w:p>
    <w:p>
      <w:pPr>
        <w:widowControl/>
        <w:autoSpaceDE/>
        <w:autoSpaceDN/>
        <w:spacing w:line="360" w:lineRule="auto"/>
        <w:ind w:firstLine="482" w:firstLineChars="200"/>
        <w:rPr>
          <w:b/>
          <w:bCs/>
          <w:color w:val="000000" w:themeColor="text1"/>
          <w:kern w:val="0"/>
          <w:sz w:val="24"/>
          <w:szCs w:val="20"/>
          <w14:textFill>
            <w14:solidFill>
              <w14:schemeClr w14:val="tx1"/>
            </w14:solidFill>
          </w14:textFill>
        </w:rPr>
      </w:pPr>
      <w:r>
        <w:rPr>
          <w:b/>
          <w:bCs/>
          <w:color w:val="000000" w:themeColor="text1"/>
          <w:kern w:val="0"/>
          <w:sz w:val="24"/>
          <w:szCs w:val="20"/>
          <w14:textFill>
            <w14:solidFill>
              <w14:schemeClr w14:val="tx1"/>
            </w14:solidFill>
          </w14:textFill>
        </w:rPr>
        <w:t>（1）风险识别范围</w:t>
      </w:r>
    </w:p>
    <w:p>
      <w:pPr>
        <w:widowControl/>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根据本项目开发利用方案及项目的特点，按《物质危险性标准》、《</w:t>
      </w:r>
      <w:bookmarkStart w:id="520" w:name="OLE_LINK21"/>
      <w:r>
        <w:rPr>
          <w:color w:val="000000" w:themeColor="text1"/>
          <w:kern w:val="0"/>
          <w:sz w:val="24"/>
          <w:szCs w:val="20"/>
          <w14:textFill>
            <w14:solidFill>
              <w14:schemeClr w14:val="tx1"/>
            </w14:solidFill>
          </w14:textFill>
        </w:rPr>
        <w:t>危险化学品重大危险源辨别</w:t>
      </w:r>
      <w:bookmarkEnd w:id="520"/>
      <w:r>
        <w:rPr>
          <w:color w:val="000000" w:themeColor="text1"/>
          <w:kern w:val="0"/>
          <w:sz w:val="24"/>
          <w:szCs w:val="20"/>
          <w14:textFill>
            <w14:solidFill>
              <w14:schemeClr w14:val="tx1"/>
            </w14:solidFill>
          </w14:textFill>
        </w:rPr>
        <w:t>》（</w:t>
      </w:r>
      <w:bookmarkStart w:id="521" w:name="OLE_LINK22"/>
      <w:r>
        <w:rPr>
          <w:color w:val="000000" w:themeColor="text1"/>
          <w:kern w:val="0"/>
          <w:sz w:val="24"/>
          <w:szCs w:val="20"/>
          <w14:textFill>
            <w14:solidFill>
              <w14:schemeClr w14:val="tx1"/>
            </w14:solidFill>
          </w14:textFill>
        </w:rPr>
        <w:t>GB18218</w:t>
      </w:r>
      <w:bookmarkEnd w:id="521"/>
      <w:r>
        <w:rPr>
          <w:color w:val="000000" w:themeColor="text1"/>
          <w:kern w:val="0"/>
          <w:sz w:val="24"/>
          <w:szCs w:val="20"/>
          <w14:textFill>
            <w14:solidFill>
              <w14:schemeClr w14:val="tx1"/>
            </w14:solidFill>
          </w14:textFill>
        </w:rPr>
        <w:t>-2018）、《职业性接触毒物危害程度分级》（GBZ230-2010）的相关规定，本项目涉及的危险性物质为施工</w:t>
      </w:r>
      <w:r>
        <w:rPr>
          <w:rFonts w:hint="eastAsia"/>
          <w:color w:val="000000" w:themeColor="text1"/>
          <w:kern w:val="0"/>
          <w:sz w:val="24"/>
          <w:szCs w:val="20"/>
          <w14:textFill>
            <w14:solidFill>
              <w14:schemeClr w14:val="tx1"/>
            </w14:solidFill>
          </w14:textFill>
        </w:rPr>
        <w:t>设备故障</w:t>
      </w:r>
      <w:r>
        <w:rPr>
          <w:color w:val="000000" w:themeColor="text1"/>
          <w:kern w:val="0"/>
          <w:sz w:val="24"/>
          <w:szCs w:val="20"/>
          <w14:textFill>
            <w14:solidFill>
              <w14:schemeClr w14:val="tx1"/>
            </w14:solidFill>
          </w14:textFill>
        </w:rPr>
        <w:t>过程溢出的柴油。确定风险识别范围如下：</w:t>
      </w:r>
    </w:p>
    <w:p>
      <w:pPr>
        <w:widowControl/>
        <w:autoSpaceDE/>
        <w:autoSpaceDN/>
        <w:spacing w:line="360" w:lineRule="auto"/>
        <w:ind w:firstLine="480" w:firstLineChars="200"/>
        <w:rPr>
          <w:color w:val="000000" w:themeColor="text1"/>
          <w:kern w:val="0"/>
          <w:sz w:val="24"/>
          <w:szCs w:val="20"/>
          <w14:textFill>
            <w14:solidFill>
              <w14:schemeClr w14:val="tx1"/>
            </w14:solidFill>
          </w14:textFill>
        </w:rPr>
      </w:pPr>
      <w:r>
        <w:rPr>
          <w:rFonts w:hint="eastAsia" w:ascii="宋体" w:hAnsi="宋体" w:cs="宋体"/>
          <w:color w:val="000000" w:themeColor="text1"/>
          <w:kern w:val="0"/>
          <w:sz w:val="24"/>
          <w:szCs w:val="20"/>
          <w14:textFill>
            <w14:solidFill>
              <w14:schemeClr w14:val="tx1"/>
            </w14:solidFill>
          </w14:textFill>
        </w:rPr>
        <w:t>①</w:t>
      </w:r>
      <w:r>
        <w:rPr>
          <w:color w:val="000000" w:themeColor="text1"/>
          <w:kern w:val="0"/>
          <w:sz w:val="24"/>
          <w:szCs w:val="20"/>
          <w14:textFill>
            <w14:solidFill>
              <w14:schemeClr w14:val="tx1"/>
            </w14:solidFill>
          </w14:textFill>
        </w:rPr>
        <w:t>物质风险识别范围：主要为柴油。</w:t>
      </w:r>
    </w:p>
    <w:p>
      <w:pPr>
        <w:widowControl/>
        <w:autoSpaceDE/>
        <w:autoSpaceDN/>
        <w:spacing w:line="360" w:lineRule="auto"/>
        <w:ind w:firstLine="480" w:firstLineChars="200"/>
        <w:rPr>
          <w:color w:val="000000" w:themeColor="text1"/>
          <w:kern w:val="0"/>
          <w:sz w:val="24"/>
          <w:szCs w:val="20"/>
          <w14:textFill>
            <w14:solidFill>
              <w14:schemeClr w14:val="tx1"/>
            </w14:solidFill>
          </w14:textFill>
        </w:rPr>
      </w:pPr>
      <w:r>
        <w:rPr>
          <w:rFonts w:hint="eastAsia" w:ascii="宋体" w:hAnsi="宋体" w:cs="宋体"/>
          <w:color w:val="000000" w:themeColor="text1"/>
          <w:kern w:val="0"/>
          <w:sz w:val="24"/>
          <w:szCs w:val="20"/>
          <w14:textFill>
            <w14:solidFill>
              <w14:schemeClr w14:val="tx1"/>
            </w14:solidFill>
          </w14:textFill>
        </w:rPr>
        <w:t>②</w:t>
      </w:r>
      <w:r>
        <w:rPr>
          <w:color w:val="000000" w:themeColor="text1"/>
          <w:kern w:val="0"/>
          <w:sz w:val="24"/>
          <w:szCs w:val="20"/>
          <w14:textFill>
            <w14:solidFill>
              <w14:schemeClr w14:val="tx1"/>
            </w14:solidFill>
          </w14:textFill>
        </w:rPr>
        <w:t>生产设施风险识别范围：挖掘机等设备使用过程中可能发生油品泄漏，泄</w:t>
      </w:r>
      <w:r>
        <w:rPr>
          <w:rFonts w:hint="eastAsia"/>
          <w:color w:val="000000" w:themeColor="text1"/>
          <w:kern w:val="0"/>
          <w:sz w:val="24"/>
          <w:szCs w:val="20"/>
          <w14:textFill>
            <w14:solidFill>
              <w14:schemeClr w14:val="tx1"/>
            </w14:solidFill>
          </w14:textFill>
        </w:rPr>
        <w:t>漏</w:t>
      </w:r>
      <w:r>
        <w:rPr>
          <w:color w:val="000000" w:themeColor="text1"/>
          <w:kern w:val="0"/>
          <w:sz w:val="24"/>
          <w:szCs w:val="20"/>
          <w14:textFill>
            <w14:solidFill>
              <w14:schemeClr w14:val="tx1"/>
            </w14:solidFill>
          </w14:textFill>
        </w:rPr>
        <w:t>遇到明火可能导致火灾或爆炸。</w:t>
      </w:r>
    </w:p>
    <w:p>
      <w:pPr>
        <w:widowControl/>
        <w:autoSpaceDE/>
        <w:autoSpaceDN/>
        <w:spacing w:line="360" w:lineRule="auto"/>
        <w:ind w:firstLine="482" w:firstLineChars="200"/>
        <w:rPr>
          <w:b/>
          <w:bCs/>
          <w:color w:val="000000" w:themeColor="text1"/>
          <w:kern w:val="0"/>
          <w:sz w:val="24"/>
          <w:szCs w:val="20"/>
          <w14:textFill>
            <w14:solidFill>
              <w14:schemeClr w14:val="tx1"/>
            </w14:solidFill>
          </w14:textFill>
        </w:rPr>
      </w:pPr>
      <w:r>
        <w:rPr>
          <w:b/>
          <w:bCs/>
          <w:color w:val="000000" w:themeColor="text1"/>
          <w:kern w:val="0"/>
          <w:sz w:val="24"/>
          <w:szCs w:val="20"/>
          <w14:textFill>
            <w14:solidFill>
              <w14:schemeClr w14:val="tx1"/>
            </w14:solidFill>
          </w14:textFill>
        </w:rPr>
        <w:t>（2）物质风险识别</w:t>
      </w:r>
    </w:p>
    <w:p>
      <w:pPr>
        <w:tabs>
          <w:tab w:val="left" w:pos="5370"/>
        </w:tabs>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按照《</w:t>
      </w:r>
      <w:bookmarkStart w:id="522" w:name="OLE_LINK28"/>
      <w:r>
        <w:rPr>
          <w:color w:val="000000" w:themeColor="text1"/>
          <w:kern w:val="0"/>
          <w:sz w:val="24"/>
          <w:szCs w:val="20"/>
          <w14:textFill>
            <w14:solidFill>
              <w14:schemeClr w14:val="tx1"/>
            </w14:solidFill>
          </w14:textFill>
        </w:rPr>
        <w:t>危险化学品重大危险源辨识（GB18218-2018</w:t>
      </w:r>
      <w:bookmarkEnd w:id="522"/>
      <w:r>
        <w:rPr>
          <w:color w:val="000000" w:themeColor="text1"/>
          <w:kern w:val="0"/>
          <w:sz w:val="24"/>
          <w:szCs w:val="20"/>
          <w14:textFill>
            <w14:solidFill>
              <w14:schemeClr w14:val="tx1"/>
            </w14:solidFill>
          </w14:textFill>
        </w:rPr>
        <w:t>）》中相关标准，重大危险源是指长期或者临时的生产、搬运、使用或者储存危险物品，且危险物品数量等于或者超过临界量的单元。其中柴油的临界量为2500t，项目不设储油罐，单个油箱约100L，油箱储存量共100L（约84kg，0号柴油的密度约0.84kg/L计算），因此不构成重大危险源。</w:t>
      </w:r>
    </w:p>
    <w:p>
      <w:pPr>
        <w:keepNext/>
        <w:keepLines/>
        <w:autoSpaceDE/>
        <w:autoSpaceDN/>
        <w:spacing w:before="120" w:beforeLines="50" w:line="360" w:lineRule="auto"/>
        <w:jc w:val="both"/>
        <w:outlineLvl w:val="3"/>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4.1</w:t>
      </w:r>
      <w:r>
        <w:rPr>
          <w:rFonts w:hint="eastAsia"/>
          <w:b/>
          <w:bCs/>
          <w:color w:val="000000" w:themeColor="text1"/>
          <w:sz w:val="24"/>
          <w:szCs w:val="24"/>
          <w:lang w:val="en-US" w:eastAsia="zh-CN"/>
          <w14:textFill>
            <w14:solidFill>
              <w14:schemeClr w14:val="tx1"/>
            </w14:solidFill>
          </w14:textFill>
        </w:rPr>
        <w:t>6</w:t>
      </w:r>
      <w:r>
        <w:rPr>
          <w:b/>
          <w:bCs/>
          <w:color w:val="000000" w:themeColor="text1"/>
          <w:sz w:val="24"/>
          <w:szCs w:val="24"/>
          <w14:textFill>
            <w14:solidFill>
              <w14:schemeClr w14:val="tx1"/>
            </w14:solidFill>
          </w14:textFill>
        </w:rPr>
        <w:t>.1.2评价等级及范围</w:t>
      </w:r>
    </w:p>
    <w:p>
      <w:pPr>
        <w:adjustRightInd w:val="0"/>
        <w:spacing w:line="360" w:lineRule="auto"/>
        <w:ind w:firstLine="482"/>
        <w:rPr>
          <w:b/>
          <w:bCs/>
          <w:color w:val="000000" w:themeColor="text1"/>
          <w:kern w:val="0"/>
          <w:sz w:val="24"/>
          <w:szCs w:val="24"/>
          <w14:textFill>
            <w14:solidFill>
              <w14:schemeClr w14:val="tx1"/>
            </w14:solidFill>
          </w14:textFill>
        </w:rPr>
      </w:pPr>
      <w:r>
        <w:rPr>
          <w:b/>
          <w:bCs/>
          <w:color w:val="000000" w:themeColor="text1"/>
          <w:kern w:val="0"/>
          <w:sz w:val="24"/>
          <w:szCs w:val="24"/>
          <w14:textFill>
            <w14:solidFill>
              <w14:schemeClr w14:val="tx1"/>
            </w14:solidFill>
          </w14:textFill>
        </w:rPr>
        <w:t>（1）评价等级</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根据《建设项目环境风险评价技术导则》（HJ/T169-2018）要求和根据《企业突发环境事件风险分级方法》（HJ941-2018）中附录A突发环境事件风险物质及临界量清单对照分析可知，确定本工程风险物质在附录A中第三部分和第八部分，涉水主要风险物质有柴油。</w:t>
      </w:r>
    </w:p>
    <w:p>
      <w:pPr>
        <w:adjustRightIn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涉水危险源辨识结果见下表。</w:t>
      </w:r>
    </w:p>
    <w:p>
      <w:pPr>
        <w:tabs>
          <w:tab w:val="left" w:pos="840"/>
          <w:tab w:val="right" w:leader="dot" w:pos="8820"/>
        </w:tabs>
        <w:autoSpaceDE/>
        <w:autoSpaceDN/>
        <w:adjustRightInd w:val="0"/>
        <w:snapToGrid w:val="0"/>
        <w:jc w:val="center"/>
        <w:textAlignment w:val="center"/>
        <w:rPr>
          <w:rFonts w:eastAsia="黑体"/>
          <w:color w:val="000000" w:themeColor="text1"/>
          <w:kern w:val="0"/>
          <w:sz w:val="24"/>
          <w:szCs w:val="24"/>
          <w14:textFill>
            <w14:solidFill>
              <w14:schemeClr w14:val="tx1"/>
            </w14:solidFill>
          </w14:textFill>
        </w:rPr>
      </w:pPr>
      <w:r>
        <w:rPr>
          <w:rFonts w:hint="eastAsia" w:eastAsia="黑体"/>
          <w:color w:val="000000" w:themeColor="text1"/>
          <w:kern w:val="0"/>
          <w:sz w:val="24"/>
          <w:szCs w:val="24"/>
          <w14:textFill>
            <w14:solidFill>
              <w14:schemeClr w14:val="tx1"/>
            </w14:solidFill>
          </w14:textFill>
        </w:rPr>
        <w:t>表4.13-1重大危险源辨识结果表（t）</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775"/>
        <w:gridCol w:w="1118"/>
        <w:gridCol w:w="1730"/>
        <w:gridCol w:w="1077"/>
        <w:gridCol w:w="1997"/>
        <w:gridCol w:w="10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位置</w:t>
            </w:r>
          </w:p>
        </w:tc>
        <w:tc>
          <w:tcPr>
            <w:tcW w:w="455"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物质</w:t>
            </w:r>
          </w:p>
        </w:tc>
        <w:tc>
          <w:tcPr>
            <w:tcW w:w="656"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危险特性</w:t>
            </w:r>
          </w:p>
        </w:tc>
        <w:tc>
          <w:tcPr>
            <w:tcW w:w="1015"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临界量W</w:t>
            </w:r>
            <w:r>
              <w:rPr>
                <w:rFonts w:hint="default"/>
                <w:b/>
                <w:bCs/>
                <w:color w:val="000000" w:themeColor="text1"/>
                <w:kern w:val="0"/>
                <w:vertAlign w:val="subscript"/>
                <w14:textFill>
                  <w14:solidFill>
                    <w14:schemeClr w14:val="tx1"/>
                  </w14:solidFill>
                </w14:textFill>
              </w:rPr>
              <w:t>n</w:t>
            </w:r>
            <w:r>
              <w:rPr>
                <w:rFonts w:hint="default"/>
                <w:b/>
                <w:bCs/>
                <w:color w:val="000000" w:themeColor="text1"/>
                <w:kern w:val="0"/>
                <w14:textFill>
                  <w14:solidFill>
                    <w14:schemeClr w14:val="tx1"/>
                  </w14:solidFill>
                </w14:textFill>
              </w:rPr>
              <w:t>（t）</w:t>
            </w:r>
          </w:p>
        </w:tc>
        <w:tc>
          <w:tcPr>
            <w:tcW w:w="632"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产生区</w:t>
            </w:r>
          </w:p>
        </w:tc>
        <w:tc>
          <w:tcPr>
            <w:tcW w:w="1169"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最大存量w</w:t>
            </w:r>
            <w:r>
              <w:rPr>
                <w:rFonts w:hint="default"/>
                <w:b/>
                <w:bCs/>
                <w:color w:val="000000" w:themeColor="text1"/>
                <w:kern w:val="0"/>
                <w:vertAlign w:val="subscript"/>
                <w14:textFill>
                  <w14:solidFill>
                    <w14:schemeClr w14:val="tx1"/>
                  </w14:solidFill>
                </w14:textFill>
              </w:rPr>
              <w:t>n</w:t>
            </w:r>
            <w:r>
              <w:rPr>
                <w:rFonts w:hint="default"/>
                <w:b/>
                <w:bCs/>
                <w:color w:val="000000" w:themeColor="text1"/>
                <w:kern w:val="0"/>
                <w14:textFill>
                  <w14:solidFill>
                    <w14:schemeClr w14:val="tx1"/>
                  </w14:solidFill>
                </w14:textFill>
              </w:rPr>
              <w:t>（t）</w:t>
            </w:r>
          </w:p>
        </w:tc>
        <w:tc>
          <w:tcPr>
            <w:tcW w:w="599"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b/>
                <w:bCs/>
                <w:color w:val="000000" w:themeColor="text1"/>
                <w:kern w:val="0"/>
                <w14:textFill>
                  <w14:solidFill>
                    <w14:schemeClr w14:val="tx1"/>
                  </w14:solidFill>
                </w14:textFill>
              </w:rPr>
            </w:pPr>
            <w:r>
              <w:rPr>
                <w:rFonts w:hint="default"/>
                <w:b/>
                <w:bCs/>
                <w:color w:val="000000" w:themeColor="text1"/>
                <w:kern w:val="0"/>
                <w14:textFill>
                  <w14:solidFill>
                    <w14:schemeClr w14:val="tx1"/>
                  </w14:solidFill>
                </w14:textFill>
              </w:rPr>
              <w:t>w</w:t>
            </w:r>
            <w:r>
              <w:rPr>
                <w:rFonts w:hint="default"/>
                <w:b/>
                <w:bCs/>
                <w:color w:val="000000" w:themeColor="text1"/>
                <w:kern w:val="0"/>
                <w:vertAlign w:val="subscript"/>
                <w14:textFill>
                  <w14:solidFill>
                    <w14:schemeClr w14:val="tx1"/>
                  </w14:solidFill>
                </w14:textFill>
              </w:rPr>
              <w:t>n</w:t>
            </w:r>
            <w:r>
              <w:rPr>
                <w:rFonts w:hint="default"/>
                <w:b/>
                <w:bCs/>
                <w:color w:val="000000" w:themeColor="text1"/>
                <w:kern w:val="0"/>
                <w14:textFill>
                  <w14:solidFill>
                    <w14:schemeClr w14:val="tx1"/>
                  </w14:solidFill>
                </w14:textFill>
              </w:rPr>
              <w:t>/W</w:t>
            </w:r>
            <w:r>
              <w:rPr>
                <w:rFonts w:hint="default"/>
                <w:b/>
                <w:bCs/>
                <w:color w:val="000000" w:themeColor="text1"/>
                <w:kern w:val="0"/>
                <w:vertAlign w:val="subscript"/>
                <w14:textFill>
                  <w14:solidFill>
                    <w14:schemeClr w14:val="tx1"/>
                  </w14:solidFill>
                </w14:textFill>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1</w:t>
            </w:r>
          </w:p>
        </w:tc>
        <w:tc>
          <w:tcPr>
            <w:tcW w:w="455"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柴油</w:t>
            </w:r>
          </w:p>
        </w:tc>
        <w:tc>
          <w:tcPr>
            <w:tcW w:w="656"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易燃物质</w:t>
            </w:r>
          </w:p>
        </w:tc>
        <w:tc>
          <w:tcPr>
            <w:tcW w:w="1015"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2500</w:t>
            </w:r>
          </w:p>
        </w:tc>
        <w:tc>
          <w:tcPr>
            <w:tcW w:w="632"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施工设备</w:t>
            </w:r>
          </w:p>
        </w:tc>
        <w:tc>
          <w:tcPr>
            <w:tcW w:w="1169" w:type="pct"/>
            <w:tcBorders>
              <w:tl2br w:val="nil"/>
              <w:tr2bl w:val="nil"/>
            </w:tcBorders>
            <w:vAlign w:val="center"/>
          </w:tcPr>
          <w:p>
            <w:pPr>
              <w:keepNext w:val="0"/>
              <w:keepLines w:val="0"/>
              <w:suppressLineNumbers w:val="0"/>
              <w:autoSpaceDE/>
              <w:autoSpaceDN/>
              <w:snapToGrid w:val="0"/>
              <w:spacing w:before="0" w:beforeAutospacing="0" w:after="0" w:afterAutospacing="0"/>
              <w:ind w:left="0" w:right="-42" w:rightChars="-20"/>
              <w:jc w:val="center"/>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0.00012</w:t>
            </w:r>
            <w:r>
              <w:rPr>
                <w:rFonts w:hint="default"/>
                <w:color w:val="000000" w:themeColor="text1"/>
                <w:kern w:val="0"/>
                <w14:textFill>
                  <w14:solidFill>
                    <w14:schemeClr w14:val="tx1"/>
                  </w14:solidFill>
                </w14:textFill>
              </w:rPr>
              <w:t>t*</w:t>
            </w:r>
            <w:r>
              <w:rPr>
                <w:rFonts w:hint="eastAsia"/>
                <w:color w:val="000000" w:themeColor="text1"/>
                <w:kern w:val="0"/>
                <w14:textFill>
                  <w14:solidFill>
                    <w14:schemeClr w14:val="tx1"/>
                  </w14:solidFill>
                </w14:textFill>
              </w:rPr>
              <w:t>200辆</w:t>
            </w:r>
          </w:p>
        </w:tc>
        <w:tc>
          <w:tcPr>
            <w:tcW w:w="599"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0.000</w:t>
            </w:r>
            <w:r>
              <w:rPr>
                <w:rFonts w:hint="eastAsia"/>
                <w:color w:val="000000" w:themeColor="text1"/>
                <w:kern w:val="0"/>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00" w:type="pct"/>
            <w:gridSpan w:val="6"/>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小计</w:t>
            </w:r>
          </w:p>
        </w:tc>
        <w:tc>
          <w:tcPr>
            <w:tcW w:w="599" w:type="pct"/>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14:textFill>
                  <w14:solidFill>
                    <w14:schemeClr w14:val="tx1"/>
                  </w14:solidFill>
                </w14:textFill>
              </w:rPr>
            </w:pPr>
            <w:r>
              <w:rPr>
                <w:rFonts w:hint="default"/>
                <w:color w:val="000000" w:themeColor="text1"/>
                <w:kern w:val="0"/>
                <w14:textFill>
                  <w14:solidFill>
                    <w14:schemeClr w14:val="tx1"/>
                  </w14:solidFill>
                </w14:textFill>
              </w:rPr>
              <w:t>0.000</w:t>
            </w:r>
            <w:r>
              <w:rPr>
                <w:rFonts w:hint="eastAsia"/>
                <w:color w:val="000000" w:themeColor="text1"/>
                <w:kern w:val="0"/>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tcBorders>
              <w:tl2br w:val="nil"/>
              <w:tr2bl w:val="nil"/>
            </w:tcBorders>
            <w:vAlign w:val="center"/>
          </w:tcPr>
          <w:p>
            <w:pPr>
              <w:keepNext w:val="0"/>
              <w:keepLines w:val="0"/>
              <w:suppressLineNumbers w:val="0"/>
              <w:autoSpaceDE/>
              <w:autoSpaceDN/>
              <w:spacing w:before="0" w:beforeAutospacing="0" w:after="0" w:afterAutospacing="0"/>
              <w:ind w:left="0" w:right="0"/>
              <w:jc w:val="center"/>
              <w:rPr>
                <w:rFonts w:hint="default"/>
                <w:color w:val="000000" w:themeColor="text1"/>
                <w:kern w:val="0"/>
                <w:highlight w:val="darkCyan"/>
                <w14:textFill>
                  <w14:solidFill>
                    <w14:schemeClr w14:val="tx1"/>
                  </w14:solidFill>
                </w14:textFill>
              </w:rPr>
            </w:pPr>
            <w:r>
              <w:rPr>
                <w:rFonts w:hint="default"/>
                <w:color w:val="000000" w:themeColor="text1"/>
                <w:kern w:val="0"/>
                <w14:textFill>
                  <w14:solidFill>
                    <w14:schemeClr w14:val="tx1"/>
                  </w14:solidFill>
                </w14:textFill>
              </w:rPr>
              <w:t>0.000</w:t>
            </w:r>
            <w:r>
              <w:rPr>
                <w:rFonts w:hint="eastAsia"/>
                <w:color w:val="000000" w:themeColor="text1"/>
                <w:kern w:val="0"/>
                <w14:textFill>
                  <w14:solidFill>
                    <w14:schemeClr w14:val="tx1"/>
                  </w14:solidFill>
                </w14:textFill>
              </w:rPr>
              <w:t>001</w:t>
            </w:r>
            <w:r>
              <w:rPr>
                <w:rFonts w:hint="default"/>
                <w:color w:val="000000" w:themeColor="text1"/>
                <w:kern w:val="0"/>
                <w14:textFill>
                  <w14:solidFill>
                    <w14:schemeClr w14:val="tx1"/>
                  </w14:solidFill>
                </w14:textFill>
              </w:rPr>
              <w:t>＜1</w:t>
            </w:r>
          </w:p>
        </w:tc>
      </w:tr>
    </w:tbl>
    <w:p>
      <w:pPr>
        <w:adjustRightInd w:val="0"/>
        <w:spacing w:line="360" w:lineRule="auto"/>
        <w:ind w:firstLine="480" w:firstLineChars="200"/>
        <w:jc w:val="both"/>
        <w:rPr>
          <w:b/>
          <w:bCs/>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由上表可见，本项目作为一个功能单元来分析，其涉水风险物质数量与其临界量比值</w:t>
      </w:r>
      <w:r>
        <w:rPr>
          <w:b/>
          <w:bCs/>
          <w:color w:val="000000" w:themeColor="text1"/>
          <w:kern w:val="0"/>
          <w:sz w:val="24"/>
          <w:szCs w:val="24"/>
          <w14:textFill>
            <w14:solidFill>
              <w14:schemeClr w14:val="tx1"/>
            </w14:solidFill>
          </w14:textFill>
        </w:rPr>
        <w:t>Q</w:t>
      </w:r>
      <w:r>
        <w:rPr>
          <w:b/>
          <w:bCs/>
          <w:color w:val="000000" w:themeColor="text1"/>
          <w:kern w:val="0"/>
          <w:sz w:val="24"/>
          <w:szCs w:val="24"/>
          <w:vertAlign w:val="subscript"/>
          <w14:textFill>
            <w14:solidFill>
              <w14:schemeClr w14:val="tx1"/>
            </w14:solidFill>
          </w14:textFill>
        </w:rPr>
        <w:t>水</w:t>
      </w:r>
      <w:r>
        <w:rPr>
          <w:b/>
          <w:bCs/>
          <w:color w:val="000000" w:themeColor="text1"/>
          <w:kern w:val="0"/>
          <w:sz w:val="24"/>
          <w:szCs w:val="24"/>
          <w14:textFill>
            <w14:solidFill>
              <w14:schemeClr w14:val="tx1"/>
            </w14:solidFill>
          </w14:textFill>
        </w:rPr>
        <w:t>=</w:t>
      </w:r>
      <w:r>
        <w:rPr>
          <w:color w:val="000000" w:themeColor="text1"/>
          <w:kern w:val="0"/>
          <w14:textFill>
            <w14:solidFill>
              <w14:schemeClr w14:val="tx1"/>
            </w14:solidFill>
          </w14:textFill>
        </w:rPr>
        <w:t>0.000</w:t>
      </w:r>
      <w:r>
        <w:rPr>
          <w:rFonts w:hint="eastAsia"/>
          <w:color w:val="000000" w:themeColor="text1"/>
          <w:kern w:val="0"/>
          <w14:textFill>
            <w14:solidFill>
              <w14:schemeClr w14:val="tx1"/>
            </w14:solidFill>
          </w14:textFill>
        </w:rPr>
        <w:t>001</w:t>
      </w:r>
      <w:r>
        <w:rPr>
          <w:color w:val="000000" w:themeColor="text1"/>
          <w:kern w:val="0"/>
          <w:sz w:val="24"/>
          <w:szCs w:val="24"/>
          <w14:textFill>
            <w14:solidFill>
              <w14:schemeClr w14:val="tx1"/>
            </w14:solidFill>
          </w14:textFill>
        </w:rPr>
        <w:t>，相应临界量的比值远小于1</w:t>
      </w:r>
      <w:r>
        <w:rPr>
          <w:b/>
          <w:bCs/>
          <w:color w:val="000000" w:themeColor="text1"/>
          <w:kern w:val="0"/>
          <w:sz w:val="24"/>
          <w:szCs w:val="24"/>
          <w14:textFill>
            <w14:solidFill>
              <w14:schemeClr w14:val="tx1"/>
            </w14:solidFill>
          </w14:textFill>
        </w:rPr>
        <w:t>。</w:t>
      </w:r>
    </w:p>
    <w:p>
      <w:pPr>
        <w:keepNext/>
        <w:keepLines/>
        <w:autoSpaceDE/>
        <w:autoSpaceDN/>
        <w:spacing w:before="140" w:after="20" w:line="360" w:lineRule="auto"/>
        <w:ind w:firstLine="562"/>
        <w:jc w:val="both"/>
        <w:outlineLvl w:val="2"/>
        <w:rPr>
          <w:rFonts w:eastAsia="黑体"/>
          <w:b/>
          <w:bCs/>
          <w:color w:val="000000" w:themeColor="text1"/>
          <w:sz w:val="28"/>
          <w:szCs w:val="24"/>
          <w14:textFill>
            <w14:solidFill>
              <w14:schemeClr w14:val="tx1"/>
            </w14:solidFill>
          </w14:textFill>
        </w:rPr>
      </w:pPr>
      <w:bookmarkStart w:id="523" w:name="_Toc70496321"/>
      <w:bookmarkStart w:id="524" w:name="_Toc26334"/>
      <w:r>
        <w:rPr>
          <w:rFonts w:eastAsia="黑体"/>
          <w:b/>
          <w:bCs/>
          <w:color w:val="000000" w:themeColor="text1"/>
          <w:sz w:val="28"/>
          <w:szCs w:val="24"/>
          <w14:textFill>
            <w14:solidFill>
              <w14:schemeClr w14:val="tx1"/>
            </w14:solidFill>
          </w14:textFill>
        </w:rPr>
        <w:t>4.1</w:t>
      </w:r>
      <w:r>
        <w:rPr>
          <w:rFonts w:hint="eastAsia" w:eastAsia="黑体"/>
          <w:b/>
          <w:bCs/>
          <w:color w:val="000000" w:themeColor="text1"/>
          <w:sz w:val="28"/>
          <w:szCs w:val="24"/>
          <w:lang w:val="en-US" w:eastAsia="zh-CN"/>
          <w14:textFill>
            <w14:solidFill>
              <w14:schemeClr w14:val="tx1"/>
            </w14:solidFill>
          </w14:textFill>
        </w:rPr>
        <w:t>6</w:t>
      </w:r>
      <w:r>
        <w:rPr>
          <w:rFonts w:eastAsia="黑体"/>
          <w:b/>
          <w:bCs/>
          <w:color w:val="000000" w:themeColor="text1"/>
          <w:sz w:val="28"/>
          <w:szCs w:val="24"/>
          <w14:textFill>
            <w14:solidFill>
              <w14:schemeClr w14:val="tx1"/>
            </w14:solidFill>
          </w14:textFill>
        </w:rPr>
        <w:t>.2风险防范措施</w:t>
      </w:r>
      <w:bookmarkEnd w:id="523"/>
      <w:bookmarkEnd w:id="524"/>
    </w:p>
    <w:p>
      <w:pPr>
        <w:tabs>
          <w:tab w:val="left" w:pos="5370"/>
        </w:tabs>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本项目施工期已完成</w:t>
      </w:r>
      <w:r>
        <w:rPr>
          <w:rFonts w:hint="eastAsia"/>
          <w:color w:val="000000" w:themeColor="text1"/>
          <w:kern w:val="0"/>
          <w:sz w:val="24"/>
          <w:szCs w:val="20"/>
          <w14:textFill>
            <w14:solidFill>
              <w14:schemeClr w14:val="tx1"/>
            </w14:solidFill>
          </w14:textFill>
        </w:rPr>
        <w:t>，在施工期间，为防止设备溢油事故发生</w:t>
      </w:r>
      <w:r>
        <w:rPr>
          <w:color w:val="000000" w:themeColor="text1"/>
          <w:kern w:val="0"/>
          <w:sz w:val="24"/>
          <w:szCs w:val="20"/>
          <w14:textFill>
            <w14:solidFill>
              <w14:schemeClr w14:val="tx1"/>
            </w14:solidFill>
          </w14:textFill>
        </w:rPr>
        <w:t>，项目制定并采取了切实可行的管理、防范措施。切实做到了“以防为主，管治结合”。</w:t>
      </w:r>
      <w:r>
        <w:rPr>
          <w:rFonts w:hint="eastAsia"/>
          <w:color w:val="000000" w:themeColor="text1"/>
          <w:kern w:val="0"/>
          <w:sz w:val="24"/>
          <w:szCs w:val="20"/>
          <w14:textFill>
            <w14:solidFill>
              <w14:schemeClr w14:val="tx1"/>
            </w14:solidFill>
          </w14:textFill>
        </w:rPr>
        <w:t>根据实际情况，</w:t>
      </w:r>
      <w:r>
        <w:rPr>
          <w:color w:val="000000" w:themeColor="text1"/>
          <w:kern w:val="0"/>
          <w:sz w:val="24"/>
          <w:szCs w:val="20"/>
          <w14:textFill>
            <w14:solidFill>
              <w14:schemeClr w14:val="tx1"/>
            </w14:solidFill>
          </w14:textFill>
        </w:rPr>
        <w:t>本项目</w:t>
      </w:r>
      <w:r>
        <w:rPr>
          <w:rFonts w:hint="eastAsia"/>
          <w:color w:val="000000" w:themeColor="text1"/>
          <w:kern w:val="0"/>
          <w:sz w:val="24"/>
          <w:szCs w:val="20"/>
          <w14:textFill>
            <w14:solidFill>
              <w14:schemeClr w14:val="tx1"/>
            </w14:solidFill>
          </w14:textFill>
        </w:rPr>
        <w:t>拟</w:t>
      </w:r>
      <w:r>
        <w:rPr>
          <w:color w:val="000000" w:themeColor="text1"/>
          <w:kern w:val="0"/>
          <w:sz w:val="24"/>
          <w:szCs w:val="20"/>
          <w14:textFill>
            <w14:solidFill>
              <w14:schemeClr w14:val="tx1"/>
            </w14:solidFill>
          </w14:textFill>
        </w:rPr>
        <w:t>进行如下防范措施：</w:t>
      </w:r>
    </w:p>
    <w:p>
      <w:pPr>
        <w:tabs>
          <w:tab w:val="left" w:pos="5370"/>
        </w:tabs>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（1）加强施工期间环保宣传教育，提高</w:t>
      </w:r>
      <w:r>
        <w:rPr>
          <w:rFonts w:hint="eastAsia"/>
          <w:color w:val="000000" w:themeColor="text1"/>
          <w:kern w:val="0"/>
          <w:sz w:val="24"/>
          <w:szCs w:val="20"/>
          <w14:textFill>
            <w14:solidFill>
              <w14:schemeClr w14:val="tx1"/>
            </w14:solidFill>
          </w14:textFill>
        </w:rPr>
        <w:t>施工</w:t>
      </w:r>
      <w:r>
        <w:rPr>
          <w:color w:val="000000" w:themeColor="text1"/>
          <w:kern w:val="0"/>
          <w:sz w:val="24"/>
          <w:szCs w:val="20"/>
          <w14:textFill>
            <w14:solidFill>
              <w14:schemeClr w14:val="tx1"/>
            </w14:solidFill>
          </w14:textFill>
        </w:rPr>
        <w:t>人员和全体人员的环保意识，提高</w:t>
      </w:r>
      <w:r>
        <w:rPr>
          <w:rFonts w:hint="eastAsia"/>
          <w:color w:val="000000" w:themeColor="text1"/>
          <w:kern w:val="0"/>
          <w:sz w:val="24"/>
          <w:szCs w:val="20"/>
          <w14:textFill>
            <w14:solidFill>
              <w14:schemeClr w14:val="tx1"/>
            </w14:solidFill>
          </w14:textFill>
        </w:rPr>
        <w:t>施工</w:t>
      </w:r>
      <w:r>
        <w:rPr>
          <w:color w:val="000000" w:themeColor="text1"/>
          <w:kern w:val="0"/>
          <w:sz w:val="24"/>
          <w:szCs w:val="20"/>
          <w14:textFill>
            <w14:solidFill>
              <w14:schemeClr w14:val="tx1"/>
            </w14:solidFill>
          </w14:textFill>
        </w:rPr>
        <w:t>人员安全生产的高度责任感和责任心，增加对溢油事故危害和污染损害严重性的认识，提高实际操作应变能力、避免人为因素</w:t>
      </w:r>
      <w:r>
        <w:rPr>
          <w:rFonts w:hint="eastAsia"/>
          <w:color w:val="000000" w:themeColor="text1"/>
          <w:kern w:val="0"/>
          <w:sz w:val="24"/>
          <w:szCs w:val="20"/>
          <w14:textFill>
            <w14:solidFill>
              <w14:schemeClr w14:val="tx1"/>
            </w14:solidFill>
          </w14:textFill>
        </w:rPr>
        <w:t>造成油品泄漏等情况发生</w:t>
      </w:r>
      <w:r>
        <w:rPr>
          <w:color w:val="000000" w:themeColor="text1"/>
          <w:kern w:val="0"/>
          <w:sz w:val="24"/>
          <w:szCs w:val="20"/>
          <w14:textFill>
            <w14:solidFill>
              <w14:schemeClr w14:val="tx1"/>
            </w14:solidFill>
          </w14:textFill>
        </w:rPr>
        <w:t>。</w:t>
      </w:r>
    </w:p>
    <w:p>
      <w:pPr>
        <w:tabs>
          <w:tab w:val="left" w:pos="5370"/>
        </w:tabs>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（2）工程施工过程中，</w:t>
      </w:r>
      <w:r>
        <w:rPr>
          <w:rFonts w:hint="eastAsia"/>
          <w:color w:val="000000" w:themeColor="text1"/>
          <w:kern w:val="0"/>
          <w:sz w:val="24"/>
          <w:szCs w:val="20"/>
          <w14:textFill>
            <w14:solidFill>
              <w14:schemeClr w14:val="tx1"/>
            </w14:solidFill>
          </w14:textFill>
        </w:rPr>
        <w:t>对</w:t>
      </w:r>
      <w:r>
        <w:rPr>
          <w:color w:val="000000" w:themeColor="text1"/>
          <w:kern w:val="0"/>
          <w:sz w:val="24"/>
          <w:szCs w:val="20"/>
          <w14:textFill>
            <w14:solidFill>
              <w14:schemeClr w14:val="tx1"/>
            </w14:solidFill>
          </w14:textFill>
        </w:rPr>
        <w:t>施工单位进行监督，施工单位</w:t>
      </w:r>
      <w:r>
        <w:rPr>
          <w:rFonts w:hint="eastAsia"/>
          <w:color w:val="000000" w:themeColor="text1"/>
          <w:kern w:val="0"/>
          <w:sz w:val="24"/>
          <w:szCs w:val="20"/>
          <w14:textFill>
            <w14:solidFill>
              <w14:schemeClr w14:val="tx1"/>
            </w14:solidFill>
          </w14:textFill>
        </w:rPr>
        <w:t>需</w:t>
      </w:r>
      <w:r>
        <w:rPr>
          <w:color w:val="000000" w:themeColor="text1"/>
          <w:kern w:val="0"/>
          <w:sz w:val="24"/>
          <w:szCs w:val="20"/>
          <w14:textFill>
            <w14:solidFill>
              <w14:schemeClr w14:val="tx1"/>
            </w14:solidFill>
          </w14:textFill>
        </w:rPr>
        <w:t>使用专用的施工机械，禁止使用改造机械，按规章制度和施工程序进行施工，严禁超载域超速，</w:t>
      </w:r>
      <w:r>
        <w:rPr>
          <w:rFonts w:hint="eastAsia"/>
          <w:color w:val="000000" w:themeColor="text1"/>
          <w:kern w:val="0"/>
          <w:sz w:val="24"/>
          <w:szCs w:val="20"/>
          <w14:textFill>
            <w14:solidFill>
              <w14:schemeClr w14:val="tx1"/>
            </w14:solidFill>
          </w14:textFill>
        </w:rPr>
        <w:t>可</w:t>
      </w:r>
      <w:r>
        <w:rPr>
          <w:color w:val="000000" w:themeColor="text1"/>
          <w:kern w:val="0"/>
          <w:sz w:val="24"/>
          <w:szCs w:val="20"/>
          <w14:textFill>
            <w14:solidFill>
              <w14:schemeClr w14:val="tx1"/>
            </w14:solidFill>
          </w14:textFill>
        </w:rPr>
        <w:t>在一定程度上降低机械事故发生机率。</w:t>
      </w:r>
    </w:p>
    <w:p>
      <w:pPr>
        <w:tabs>
          <w:tab w:val="left" w:pos="5370"/>
        </w:tabs>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（3）在</w:t>
      </w:r>
      <w:r>
        <w:rPr>
          <w:rFonts w:hint="eastAsia"/>
          <w:color w:val="000000" w:themeColor="text1"/>
          <w:kern w:val="0"/>
          <w:sz w:val="24"/>
          <w:szCs w:val="20"/>
          <w14:textFill>
            <w14:solidFill>
              <w14:schemeClr w14:val="tx1"/>
            </w14:solidFill>
          </w14:textFill>
        </w:rPr>
        <w:t>成都市龙泉驿区东风渠、东干渠麻石桥集中式饮用水水源地准保护区</w:t>
      </w:r>
      <w:r>
        <w:rPr>
          <w:color w:val="000000" w:themeColor="text1"/>
          <w:kern w:val="0"/>
          <w:sz w:val="24"/>
          <w:szCs w:val="20"/>
          <w14:textFill>
            <w14:solidFill>
              <w14:schemeClr w14:val="tx1"/>
            </w14:solidFill>
          </w14:textFill>
        </w:rPr>
        <w:t>附近</w:t>
      </w:r>
      <w:r>
        <w:rPr>
          <w:rFonts w:hint="eastAsia"/>
          <w:color w:val="000000" w:themeColor="text1"/>
          <w:kern w:val="0"/>
          <w:sz w:val="24"/>
          <w:szCs w:val="20"/>
          <w14:textFill>
            <w14:solidFill>
              <w14:schemeClr w14:val="tx1"/>
            </w14:solidFill>
          </w14:textFill>
        </w:rPr>
        <w:t>和龙泉花果山风景名胜区（十陵景区）内</w:t>
      </w:r>
      <w:r>
        <w:rPr>
          <w:color w:val="000000" w:themeColor="text1"/>
          <w:kern w:val="0"/>
          <w:sz w:val="24"/>
          <w:szCs w:val="20"/>
          <w14:textFill>
            <w14:solidFill>
              <w14:schemeClr w14:val="tx1"/>
            </w14:solidFill>
          </w14:textFill>
        </w:rPr>
        <w:t>设置警示牌，同时公布对应单位联系电话及事故应急计划，合理规划施工区域和施工方式，杜绝了发生风险事故。</w:t>
      </w:r>
    </w:p>
    <w:p>
      <w:pPr>
        <w:tabs>
          <w:tab w:val="left" w:pos="5370"/>
        </w:tabs>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（4）</w:t>
      </w:r>
      <w:r>
        <w:rPr>
          <w:rFonts w:hint="eastAsia"/>
          <w:color w:val="000000" w:themeColor="text1"/>
          <w:kern w:val="0"/>
          <w:sz w:val="24"/>
          <w:szCs w:val="20"/>
          <w14:textFill>
            <w14:solidFill>
              <w14:schemeClr w14:val="tx1"/>
            </w14:solidFill>
          </w14:textFill>
        </w:rPr>
        <w:t>施工</w:t>
      </w:r>
      <w:r>
        <w:rPr>
          <w:color w:val="000000" w:themeColor="text1"/>
          <w:kern w:val="0"/>
          <w:sz w:val="24"/>
          <w:szCs w:val="20"/>
          <w14:textFill>
            <w14:solidFill>
              <w14:schemeClr w14:val="tx1"/>
            </w14:solidFill>
          </w14:textFill>
        </w:rPr>
        <w:t>作业期间禁止机械排放污染物。</w:t>
      </w:r>
    </w:p>
    <w:p>
      <w:pPr>
        <w:tabs>
          <w:tab w:val="left" w:pos="5370"/>
        </w:tabs>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（5）施工期间</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施工机械设置溢油拦截设备、溢油回收设备（吸油毡、吸油机）等事故溢油应急设备。</w:t>
      </w:r>
    </w:p>
    <w:p>
      <w:pPr>
        <w:tabs>
          <w:tab w:val="left" w:pos="5370"/>
        </w:tabs>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（6）对废水处理设施定期巡检，发生事故时，应立即停止施工。</w:t>
      </w:r>
    </w:p>
    <w:p>
      <w:pPr>
        <w:tabs>
          <w:tab w:val="left" w:pos="5370"/>
        </w:tabs>
        <w:autoSpaceDE/>
        <w:autoSpaceDN/>
        <w:adjustRightInd w:val="0"/>
        <w:snapToGrid w:val="0"/>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w:t>
      </w:r>
      <w:r>
        <w:rPr>
          <w:rFonts w:hint="eastAsia"/>
          <w:color w:val="000000" w:themeColor="text1"/>
          <w:kern w:val="0"/>
          <w:sz w:val="24"/>
          <w:szCs w:val="20"/>
          <w14:textFill>
            <w14:solidFill>
              <w14:schemeClr w14:val="tx1"/>
            </w14:solidFill>
          </w14:textFill>
        </w:rPr>
        <w:t>7</w:t>
      </w:r>
      <w:r>
        <w:rPr>
          <w:color w:val="000000" w:themeColor="text1"/>
          <w:kern w:val="0"/>
          <w:sz w:val="24"/>
          <w:szCs w:val="20"/>
          <w14:textFill>
            <w14:solidFill>
              <w14:schemeClr w14:val="tx1"/>
            </w14:solidFill>
          </w14:textFill>
        </w:rPr>
        <w:t>）加强</w:t>
      </w:r>
      <w:r>
        <w:rPr>
          <w:rFonts w:hint="eastAsia"/>
          <w:color w:val="000000" w:themeColor="text1"/>
          <w:kern w:val="0"/>
          <w:sz w:val="24"/>
          <w:szCs w:val="20"/>
          <w14:textFill>
            <w14:solidFill>
              <w14:schemeClr w14:val="tx1"/>
            </w14:solidFill>
          </w14:textFill>
        </w:rPr>
        <w:t>施工期间</w:t>
      </w:r>
      <w:r>
        <w:rPr>
          <w:color w:val="000000" w:themeColor="text1"/>
          <w:kern w:val="0"/>
          <w:sz w:val="24"/>
          <w:szCs w:val="20"/>
          <w14:textFill>
            <w14:solidFill>
              <w14:schemeClr w14:val="tx1"/>
            </w14:solidFill>
          </w14:textFill>
        </w:rPr>
        <w:t>施工机械安全监管。</w:t>
      </w:r>
    </w:p>
    <w:p>
      <w:pPr>
        <w:keepNext/>
        <w:keepLines/>
        <w:autoSpaceDE/>
        <w:autoSpaceDN/>
        <w:spacing w:before="140" w:after="20" w:line="360" w:lineRule="auto"/>
        <w:ind w:firstLine="562"/>
        <w:jc w:val="both"/>
        <w:outlineLvl w:val="2"/>
        <w:rPr>
          <w:rFonts w:eastAsia="黑体"/>
          <w:b/>
          <w:bCs/>
          <w:color w:val="000000" w:themeColor="text1"/>
          <w:sz w:val="28"/>
          <w:szCs w:val="24"/>
          <w14:textFill>
            <w14:solidFill>
              <w14:schemeClr w14:val="tx1"/>
            </w14:solidFill>
          </w14:textFill>
        </w:rPr>
      </w:pPr>
      <w:bookmarkStart w:id="525" w:name="_Toc70496322"/>
      <w:bookmarkStart w:id="526" w:name="_Toc15500"/>
      <w:r>
        <w:rPr>
          <w:rFonts w:eastAsia="黑体"/>
          <w:b/>
          <w:bCs/>
          <w:color w:val="000000" w:themeColor="text1"/>
          <w:sz w:val="28"/>
          <w:szCs w:val="24"/>
          <w14:textFill>
            <w14:solidFill>
              <w14:schemeClr w14:val="tx1"/>
            </w14:solidFill>
          </w14:textFill>
        </w:rPr>
        <w:t>4.1</w:t>
      </w:r>
      <w:r>
        <w:rPr>
          <w:rFonts w:hint="eastAsia" w:eastAsia="黑体"/>
          <w:b/>
          <w:bCs/>
          <w:color w:val="000000" w:themeColor="text1"/>
          <w:sz w:val="28"/>
          <w:szCs w:val="24"/>
          <w:lang w:val="en-US" w:eastAsia="zh-CN"/>
          <w14:textFill>
            <w14:solidFill>
              <w14:schemeClr w14:val="tx1"/>
            </w14:solidFill>
          </w14:textFill>
        </w:rPr>
        <w:t>6</w:t>
      </w:r>
      <w:r>
        <w:rPr>
          <w:rFonts w:eastAsia="黑体"/>
          <w:b/>
          <w:bCs/>
          <w:color w:val="000000" w:themeColor="text1"/>
          <w:sz w:val="28"/>
          <w:szCs w:val="24"/>
          <w14:textFill>
            <w14:solidFill>
              <w14:schemeClr w14:val="tx1"/>
            </w14:solidFill>
          </w14:textFill>
        </w:rPr>
        <w:t>.3环境风险评价结论</w:t>
      </w:r>
      <w:bookmarkEnd w:id="525"/>
      <w:bookmarkEnd w:id="526"/>
    </w:p>
    <w:p>
      <w:pPr>
        <w:tabs>
          <w:tab w:val="left" w:pos="5370"/>
        </w:tabs>
        <w:autoSpaceDE/>
        <w:autoSpaceDN/>
        <w:spacing w:line="360" w:lineRule="auto"/>
        <w:ind w:firstLine="480" w:firstLineChars="200"/>
        <w:jc w:val="both"/>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本项目主要的环境风险为施工机械作业期间发生溢油事故造成</w:t>
      </w:r>
      <w:r>
        <w:rPr>
          <w:rFonts w:hint="eastAsia"/>
          <w:color w:val="000000" w:themeColor="text1"/>
          <w:kern w:val="0"/>
          <w:sz w:val="24"/>
          <w:szCs w:val="20"/>
          <w14:textFill>
            <w14:solidFill>
              <w14:schemeClr w14:val="tx1"/>
            </w14:solidFill>
          </w14:textFill>
        </w:rPr>
        <w:t>的油品</w:t>
      </w:r>
      <w:r>
        <w:rPr>
          <w:color w:val="000000" w:themeColor="text1"/>
          <w:kern w:val="0"/>
          <w:sz w:val="24"/>
          <w:szCs w:val="20"/>
          <w14:textFill>
            <w14:solidFill>
              <w14:schemeClr w14:val="tx1"/>
            </w14:solidFill>
          </w14:textFill>
        </w:rPr>
        <w:t>泄漏风险</w:t>
      </w:r>
      <w:r>
        <w:rPr>
          <w:rFonts w:hint="eastAsia"/>
          <w:color w:val="000000" w:themeColor="text1"/>
          <w:kern w:val="0"/>
          <w:sz w:val="24"/>
          <w:szCs w:val="20"/>
          <w14:textFill>
            <w14:solidFill>
              <w14:schemeClr w14:val="tx1"/>
            </w14:solidFill>
          </w14:textFill>
        </w:rPr>
        <w:t>和废水处理设施故障风险，</w:t>
      </w:r>
      <w:r>
        <w:rPr>
          <w:color w:val="000000" w:themeColor="text1"/>
          <w:kern w:val="0"/>
          <w:sz w:val="24"/>
          <w:szCs w:val="20"/>
          <w14:textFill>
            <w14:solidFill>
              <w14:schemeClr w14:val="tx1"/>
            </w14:solidFill>
          </w14:textFill>
        </w:rPr>
        <w:t>经现场勘查</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本项目施工期已结束</w:t>
      </w:r>
      <w:r>
        <w:rPr>
          <w:rFonts w:hint="eastAsia"/>
          <w:color w:val="000000" w:themeColor="text1"/>
          <w:kern w:val="0"/>
          <w:sz w:val="24"/>
          <w:szCs w:val="20"/>
          <w14:textFill>
            <w14:solidFill>
              <w14:schemeClr w14:val="tx1"/>
            </w14:solidFill>
          </w14:textFill>
        </w:rPr>
        <w:t>，本项目在严格按照上述风险方案、应急措施处置后，</w:t>
      </w:r>
      <w:r>
        <w:rPr>
          <w:color w:val="000000" w:themeColor="text1"/>
          <w:kern w:val="0"/>
          <w:sz w:val="24"/>
          <w:szCs w:val="20"/>
          <w14:textFill>
            <w14:solidFill>
              <w14:schemeClr w14:val="tx1"/>
            </w14:solidFill>
          </w14:textFill>
        </w:rPr>
        <w:t>施工期间未发生任何环境风险。因此</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本项目环境风险是可以接受的。</w:t>
      </w:r>
    </w:p>
    <w:p>
      <w:pPr>
        <w:autoSpaceDE/>
        <w:autoSpaceDN/>
        <w:spacing w:line="360" w:lineRule="auto"/>
        <w:ind w:firstLine="643"/>
        <w:jc w:val="both"/>
        <w:outlineLvl w:val="1"/>
        <w:rPr>
          <w:rFonts w:hint="default" w:eastAsia="黑体"/>
          <w:b/>
          <w:bCs/>
          <w:color w:val="000000" w:themeColor="text1"/>
          <w:kern w:val="0"/>
          <w:sz w:val="32"/>
          <w:szCs w:val="32"/>
          <w:lang w:val="en-US" w:eastAsia="zh-CN"/>
          <w14:textFill>
            <w14:solidFill>
              <w14:schemeClr w14:val="tx1"/>
            </w14:solidFill>
          </w14:textFill>
        </w:rPr>
      </w:pPr>
      <w:bookmarkStart w:id="527" w:name="_Toc23026"/>
      <w:r>
        <w:rPr>
          <w:rFonts w:eastAsia="黑体"/>
          <w:b/>
          <w:bCs/>
          <w:color w:val="000000" w:themeColor="text1"/>
          <w:kern w:val="0"/>
          <w:sz w:val="32"/>
          <w:szCs w:val="32"/>
          <w14:textFill>
            <w14:solidFill>
              <w14:schemeClr w14:val="tx1"/>
            </w14:solidFill>
          </w14:textFill>
        </w:rPr>
        <w:t>4.1</w:t>
      </w:r>
      <w:r>
        <w:rPr>
          <w:rFonts w:hint="eastAsia" w:eastAsia="黑体"/>
          <w:b/>
          <w:bCs/>
          <w:color w:val="000000" w:themeColor="text1"/>
          <w:kern w:val="0"/>
          <w:sz w:val="32"/>
          <w:szCs w:val="32"/>
          <w:lang w:val="en-US" w:eastAsia="zh-CN"/>
          <w14:textFill>
            <w14:solidFill>
              <w14:schemeClr w14:val="tx1"/>
            </w14:solidFill>
          </w14:textFill>
        </w:rPr>
        <w:t>7工程灌溉退水影响分析</w:t>
      </w:r>
      <w:bookmarkEnd w:id="527"/>
    </w:p>
    <w:p>
      <w:pPr>
        <w:tabs>
          <w:tab w:val="left" w:pos="5370"/>
        </w:tabs>
        <w:autoSpaceDE/>
        <w:autoSpaceDN/>
        <w:spacing w:line="360" w:lineRule="auto"/>
        <w:ind w:firstLine="480" w:firstLineChars="200"/>
        <w:jc w:val="both"/>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1、污染源影响分析</w:t>
      </w:r>
    </w:p>
    <w:p>
      <w:pPr>
        <w:tabs>
          <w:tab w:val="left" w:pos="5370"/>
        </w:tabs>
        <w:autoSpaceDE/>
        <w:autoSpaceDN/>
        <w:spacing w:line="360" w:lineRule="auto"/>
        <w:ind w:firstLine="480" w:firstLineChars="200"/>
        <w:jc w:val="both"/>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根据工程现状调查，本工程仅北支一渠和南五、南六支渠绕城外的部分渠段周围存在少量耕地，董家堰补水渠（上、下）渠道四周现状为公园；故本工程灌溉退水不会新增农业面源污染，仅渠道内可能存在少量生活垃圾，经清理后不会造成污染源增加。</w:t>
      </w:r>
    </w:p>
    <w:p>
      <w:pPr>
        <w:tabs>
          <w:tab w:val="left" w:pos="5370"/>
        </w:tabs>
        <w:autoSpaceDE/>
        <w:autoSpaceDN/>
        <w:spacing w:line="360" w:lineRule="auto"/>
        <w:ind w:firstLine="480" w:firstLineChars="200"/>
        <w:jc w:val="both"/>
        <w:rPr>
          <w:rFonts w:hint="default" w:ascii="Times New Roman" w:hAnsi="Times New Roman" w:eastAsia="宋体" w:cs="Times New Roman"/>
          <w:color w:val="000000" w:themeColor="text1"/>
          <w:kern w:val="0"/>
          <w:sz w:val="24"/>
          <w:szCs w:val="20"/>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2、退水区水质影响分析</w:t>
      </w:r>
    </w:p>
    <w:p>
      <w:pPr>
        <w:tabs>
          <w:tab w:val="left" w:pos="5370"/>
        </w:tabs>
        <w:autoSpaceDE/>
        <w:autoSpaceDN/>
        <w:spacing w:line="360" w:lineRule="auto"/>
        <w:ind w:firstLine="480" w:firstLineChars="200"/>
        <w:jc w:val="both"/>
        <w:rPr>
          <w:rFonts w:hint="default" w:ascii="Times New Roman" w:hAnsi="Times New Roman" w:eastAsia="宋体" w:cs="Times New Roman"/>
          <w:color w:val="000000" w:themeColor="text1"/>
          <w:kern w:val="0"/>
          <w:sz w:val="24"/>
          <w:szCs w:val="20"/>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本项目运营期不产生污染物，工程渠段内无新增污染源，对退水区水质几乎不会造成影响。</w:t>
      </w:r>
    </w:p>
    <w:p>
      <w:pPr>
        <w:tabs>
          <w:tab w:val="left" w:pos="5370"/>
        </w:tabs>
        <w:autoSpaceDE/>
        <w:autoSpaceDN/>
        <w:spacing w:line="360" w:lineRule="auto"/>
        <w:ind w:firstLine="480" w:firstLineChars="200"/>
        <w:jc w:val="both"/>
        <w:rPr>
          <w:rFonts w:hint="default" w:ascii="Times New Roman" w:hAnsi="Times New Roman" w:eastAsia="宋体" w:cs="Times New Roman"/>
          <w:color w:val="000000" w:themeColor="text1"/>
          <w:kern w:val="0"/>
          <w:sz w:val="24"/>
          <w:szCs w:val="20"/>
          <w:lang w:val="en-US" w:eastAsia="zh-CN"/>
          <w14:textFill>
            <w14:solidFill>
              <w14:schemeClr w14:val="tx1"/>
            </w14:solidFill>
          </w14:textFill>
        </w:rPr>
      </w:pPr>
    </w:p>
    <w:p>
      <w:pPr>
        <w:tabs>
          <w:tab w:val="left" w:pos="5370"/>
        </w:tabs>
        <w:autoSpaceDE/>
        <w:autoSpaceDN/>
        <w:spacing w:line="360" w:lineRule="auto"/>
        <w:ind w:firstLine="480" w:firstLineChars="200"/>
        <w:jc w:val="both"/>
        <w:rPr>
          <w:rFonts w:hint="default" w:ascii="Times New Roman" w:hAnsi="Times New Roman" w:eastAsia="宋体" w:cs="Times New Roman"/>
          <w:color w:val="000000" w:themeColor="text1"/>
          <w:kern w:val="0"/>
          <w:sz w:val="24"/>
          <w:szCs w:val="20"/>
          <w:lang w:val="en-US" w:eastAsia="zh-CN"/>
          <w14:textFill>
            <w14:solidFill>
              <w14:schemeClr w14:val="tx1"/>
            </w14:solidFill>
          </w14:textFill>
        </w:rPr>
      </w:pPr>
    </w:p>
    <w:p>
      <w:pPr>
        <w:tabs>
          <w:tab w:val="left" w:pos="5370"/>
        </w:tabs>
        <w:autoSpaceDE/>
        <w:autoSpaceDN/>
        <w:spacing w:line="360" w:lineRule="auto"/>
        <w:ind w:firstLine="480" w:firstLineChars="200"/>
        <w:jc w:val="both"/>
        <w:rPr>
          <w:rFonts w:hint="default" w:ascii="Times New Roman" w:hAnsi="Times New Roman" w:eastAsia="宋体" w:cs="Times New Roman"/>
          <w:color w:val="000000" w:themeColor="text1"/>
          <w:kern w:val="0"/>
          <w:sz w:val="24"/>
          <w:szCs w:val="20"/>
          <w:lang w:val="en-US" w:eastAsia="zh-CN"/>
          <w14:textFill>
            <w14:solidFill>
              <w14:schemeClr w14:val="tx1"/>
            </w14:solidFill>
          </w14:textFill>
        </w:rPr>
      </w:pPr>
    </w:p>
    <w:p>
      <w:pPr>
        <w:tabs>
          <w:tab w:val="left" w:pos="5370"/>
        </w:tabs>
        <w:autoSpaceDE/>
        <w:autoSpaceDN/>
        <w:spacing w:line="360" w:lineRule="auto"/>
        <w:ind w:firstLine="480" w:firstLineChars="200"/>
        <w:jc w:val="both"/>
        <w:rPr>
          <w:rFonts w:hint="default" w:ascii="Times New Roman" w:hAnsi="Times New Roman" w:eastAsia="宋体" w:cs="Times New Roman"/>
          <w:color w:val="000000" w:themeColor="text1"/>
          <w:kern w:val="0"/>
          <w:sz w:val="24"/>
          <w:szCs w:val="20"/>
          <w:lang w:val="en-US" w:eastAsia="zh-CN"/>
          <w14:textFill>
            <w14:solidFill>
              <w14:schemeClr w14:val="tx1"/>
            </w14:solidFill>
          </w14:textFill>
        </w:rPr>
        <w:sectPr>
          <w:headerReference r:id="rId14" w:type="default"/>
          <w:footerReference r:id="rId15" w:type="default"/>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pPr>
    </w:p>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528" w:name="7.0污染防治措施及可行性分析"/>
      <w:bookmarkEnd w:id="528"/>
      <w:bookmarkStart w:id="529" w:name="_bookmark123"/>
      <w:bookmarkEnd w:id="529"/>
      <w:bookmarkStart w:id="530" w:name="_Toc27651"/>
      <w:bookmarkStart w:id="531" w:name="_Toc30940"/>
      <w:bookmarkStart w:id="532" w:name="_Toc12267"/>
      <w:bookmarkStart w:id="533" w:name="_Toc116"/>
      <w:bookmarkStart w:id="534" w:name="_Toc70496323"/>
      <w:bookmarkStart w:id="535" w:name="_Toc159"/>
      <w:r>
        <w:rPr>
          <w:rFonts w:ascii="Times New Roman" w:hAnsi="Times New Roman" w:cs="Times New Roman"/>
          <w:color w:val="000000" w:themeColor="text1"/>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环境保护措施及其可行性论证</w:t>
      </w:r>
      <w:bookmarkEnd w:id="530"/>
      <w:bookmarkEnd w:id="531"/>
      <w:bookmarkEnd w:id="532"/>
      <w:bookmarkEnd w:id="533"/>
      <w:bookmarkEnd w:id="534"/>
      <w:bookmarkEnd w:id="535"/>
    </w:p>
    <w:p>
      <w:pPr>
        <w:pStyle w:val="3"/>
        <w:spacing w:line="360" w:lineRule="auto"/>
        <w:ind w:left="0" w:firstLine="640"/>
        <w:rPr>
          <w:rFonts w:eastAsia="黑体"/>
          <w:color w:val="000000" w:themeColor="text1"/>
          <w14:textFill>
            <w14:solidFill>
              <w14:schemeClr w14:val="tx1"/>
            </w14:solidFill>
          </w14:textFill>
        </w:rPr>
      </w:pPr>
      <w:bookmarkStart w:id="536" w:name="_bookmark124"/>
      <w:bookmarkEnd w:id="536"/>
      <w:bookmarkStart w:id="537" w:name="7.1施工期污染防治措施及可行性分析"/>
      <w:bookmarkEnd w:id="537"/>
      <w:bookmarkStart w:id="538" w:name="_Toc4613"/>
      <w:bookmarkStart w:id="539" w:name="_Toc28926"/>
      <w:bookmarkStart w:id="540" w:name="_Toc26886"/>
      <w:bookmarkStart w:id="541" w:name="_Toc20304"/>
      <w:bookmarkStart w:id="542" w:name="_Toc70496324"/>
      <w:bookmarkStart w:id="543" w:name="_Toc16751"/>
      <w:r>
        <w:rPr>
          <w:rFonts w:eastAsia="黑体"/>
          <w:color w:val="000000" w:themeColor="text1"/>
          <w14:textFill>
            <w14:solidFill>
              <w14:schemeClr w14:val="tx1"/>
            </w14:solidFill>
          </w14:textFill>
        </w:rPr>
        <w:t>5.1施工期污染防治措施及可行性分析</w:t>
      </w:r>
      <w:bookmarkEnd w:id="538"/>
      <w:bookmarkEnd w:id="539"/>
      <w:bookmarkEnd w:id="540"/>
      <w:bookmarkEnd w:id="541"/>
      <w:bookmarkEnd w:id="542"/>
      <w:bookmarkEnd w:id="543"/>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44" w:name="7.1.1施工废气污染防治措施及可行性"/>
      <w:bookmarkEnd w:id="544"/>
      <w:bookmarkStart w:id="545" w:name="_bookmark125"/>
      <w:bookmarkEnd w:id="545"/>
      <w:bookmarkStart w:id="546" w:name="_Toc70496325"/>
      <w:bookmarkStart w:id="547" w:name="_Toc14464"/>
      <w:bookmarkStart w:id="548" w:name="_Toc24252"/>
      <w:bookmarkStart w:id="549" w:name="_Toc3113"/>
      <w:bookmarkStart w:id="550" w:name="_Toc27474"/>
      <w:bookmarkStart w:id="551" w:name="_Toc26094"/>
      <w:r>
        <w:rPr>
          <w:rFonts w:ascii="Times New Roman" w:hAnsi="Times New Roman" w:cs="Times New Roman"/>
          <w:color w:val="000000" w:themeColor="text1"/>
          <w14:textFill>
            <w14:solidFill>
              <w14:schemeClr w14:val="tx1"/>
            </w14:solidFill>
          </w14:textFill>
        </w:rPr>
        <w:t>5.1.1施工废气污染防治措施及可行性</w:t>
      </w:r>
      <w:bookmarkEnd w:id="546"/>
      <w:bookmarkEnd w:id="547"/>
      <w:bookmarkEnd w:id="548"/>
      <w:bookmarkEnd w:id="549"/>
      <w:bookmarkEnd w:id="550"/>
      <w:bookmarkEnd w:id="551"/>
    </w:p>
    <w:p>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1、施工扬尘措施</w:t>
      </w:r>
    </w:p>
    <w:p>
      <w:pPr>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项目在施工建设过程中的大气污染主要来自于施工场地的扬尘和车辆运输起尘，施工单位应采取以下措施：</w:t>
      </w:r>
    </w:p>
    <w:p>
      <w:pPr>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（1）施工工区</w:t>
      </w:r>
    </w:p>
    <w:p>
      <w:pPr>
        <w:snapToGrid w:val="0"/>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项目施工工区主要作为堆放材料和模具加工厂。工程砂浆和混凝土均外购，不在工区内拌合，产生的扬尘主要为材料装卸</w:t>
      </w:r>
      <w:r>
        <w:rPr>
          <w:rFonts w:hint="eastAsia"/>
          <w:color w:val="000000" w:themeColor="text1"/>
          <w:sz w:val="24"/>
          <w:lang w:val="en-US" w:eastAsia="zh-CN"/>
          <w14:textFill>
            <w14:solidFill>
              <w14:schemeClr w14:val="tx1"/>
            </w14:solidFill>
          </w14:textFill>
        </w:rPr>
        <w:t>及车辆进出</w:t>
      </w:r>
      <w:r>
        <w:rPr>
          <w:rFonts w:hint="eastAsia"/>
          <w:color w:val="000000" w:themeColor="text1"/>
          <w:sz w:val="24"/>
          <w14:textFill>
            <w14:solidFill>
              <w14:schemeClr w14:val="tx1"/>
            </w14:solidFill>
          </w14:textFill>
        </w:rPr>
        <w:t>时产生</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通过</w:t>
      </w:r>
      <w:r>
        <w:rPr>
          <w:rFonts w:hint="eastAsia"/>
          <w:color w:val="000000" w:themeColor="text1"/>
          <w:sz w:val="24"/>
          <w:lang w:val="en-US" w:eastAsia="zh-CN"/>
          <w14:textFill>
            <w14:solidFill>
              <w14:schemeClr w14:val="tx1"/>
            </w14:solidFill>
          </w14:textFill>
        </w:rPr>
        <w:t>在</w:t>
      </w:r>
      <w:r>
        <w:rPr>
          <w:rFonts w:hint="eastAsia" w:ascii="Times New Roman" w:hAnsi="Times New Roman" w:eastAsia="宋体" w:cs="Times New Roman"/>
          <w:color w:val="000000" w:themeColor="text1"/>
          <w:sz w:val="24"/>
          <w14:textFill>
            <w14:solidFill>
              <w14:schemeClr w14:val="tx1"/>
            </w14:solidFill>
          </w14:textFill>
        </w:rPr>
        <w:t>施工工区大门内侧设置挡水带、排水沟、</w:t>
      </w:r>
      <w:r>
        <w:rPr>
          <w:rFonts w:hint="eastAsia" w:cs="Times New Roman"/>
          <w:color w:val="000000" w:themeColor="text1"/>
          <w:sz w:val="24"/>
          <w:lang w:eastAsia="zh-CN"/>
          <w14:textFill>
            <w14:solidFill>
              <w14:schemeClr w14:val="tx1"/>
            </w14:solidFill>
          </w14:textFill>
        </w:rPr>
        <w:t>一级沉淀池</w:t>
      </w:r>
      <w:r>
        <w:rPr>
          <w:rFonts w:hint="eastAsia" w:ascii="Times New Roman" w:hAnsi="Times New Roman" w:eastAsia="宋体" w:cs="Times New Roman"/>
          <w:color w:val="000000" w:themeColor="text1"/>
          <w:sz w:val="24"/>
          <w14:textFill>
            <w14:solidFill>
              <w14:schemeClr w14:val="tx1"/>
            </w14:solidFill>
          </w14:textFill>
        </w:rPr>
        <w:t>，门口设高压冲洗设施，冲洗区外侧铺设串联成片的麻袋、地毯等吸水材料，确保车辆不带泥上路</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采取设置密闭工区，加装洒水降尘装置等措施后，能很好地减少扬尘产生量，对周围环境不会造成影响。</w:t>
      </w:r>
    </w:p>
    <w:p>
      <w:pPr>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（2）临时堆土场</w:t>
      </w:r>
    </w:p>
    <w:p>
      <w:pPr>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共设置1个临时堆土场（董家堰临时堆土场），内设表土堆放区，用于堆放施工期产生的弃土和表土。由于董家堰临时堆土场容量有限，项目产生的多余弃土，直接运送至建设单位“成都市环城生态区农田综合整治及农业灌区设施建设项目”范围内的南五、南六支渠余土摊平处理区，进行弃土回填利用；回填和运输期间应做好扬尘等污染物防治措施。主要如下：</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①临时堆土场在大风天气或空气干燥易产生扬尘的天气条件下，采用洒水</w:t>
      </w:r>
      <w:r>
        <w:rPr>
          <w:rFonts w:hint="eastAsia"/>
          <w:color w:val="000000" w:themeColor="text1"/>
          <w:sz w:val="24"/>
          <w:lang w:val="en-US" w:eastAsia="zh-CN"/>
          <w14:textFill>
            <w14:solidFill>
              <w14:schemeClr w14:val="tx1"/>
            </w14:solidFill>
          </w14:textFill>
        </w:rPr>
        <w:t>降尘</w:t>
      </w:r>
      <w:r>
        <w:rPr>
          <w:rFonts w:hint="eastAsia"/>
          <w:color w:val="000000" w:themeColor="text1"/>
          <w:sz w:val="24"/>
          <w14:textFill>
            <w14:solidFill>
              <w14:schemeClr w14:val="tx1"/>
            </w14:solidFill>
          </w14:textFill>
        </w:rPr>
        <w:t>等措施，减少扬尘污染；</w:t>
      </w:r>
    </w:p>
    <w:p>
      <w:pPr>
        <w:spacing w:line="360" w:lineRule="auto"/>
        <w:ind w:firstLine="480" w:firstLineChars="200"/>
        <w:rPr>
          <w:rFonts w:eastAsia="宋体"/>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②</w:t>
      </w:r>
      <w:bookmarkStart w:id="552" w:name="_Hlk83370708"/>
      <w:r>
        <w:rPr>
          <w:rFonts w:hint="eastAsia" w:ascii="Times New Roman" w:hAnsi="Times New Roman" w:eastAsia="宋体" w:cs="Times New Roman"/>
          <w:color w:val="000000" w:themeColor="text1"/>
          <w:sz w:val="24"/>
          <w14:textFill>
            <w14:solidFill>
              <w14:schemeClr w14:val="tx1"/>
            </w14:solidFill>
          </w14:textFill>
        </w:rPr>
        <w:t>临时堆土场采用毡布进行覆盖，裸露地面应覆盖防尘布或防尘网；</w:t>
      </w:r>
      <w:bookmarkEnd w:id="552"/>
      <w:r>
        <w:rPr>
          <w:rFonts w:hint="eastAsia" w:ascii="Times New Roman" w:hAnsi="Times New Roman" w:eastAsia="宋体" w:cs="Times New Roman"/>
          <w:color w:val="000000" w:themeColor="text1"/>
          <w:sz w:val="24"/>
          <w:lang w:val="en-US" w:eastAsia="zh-CN"/>
          <w14:textFill>
            <w14:solidFill>
              <w14:schemeClr w14:val="tx1"/>
            </w14:solidFill>
          </w14:textFill>
        </w:rPr>
        <w:t>在风力大于4级时停止开挖和回填等作业；</w:t>
      </w:r>
      <w:r>
        <w:rPr>
          <w:rFonts w:hint="eastAsia" w:eastAsia="宋体"/>
          <w:color w:val="000000" w:themeColor="text1"/>
          <w:sz w:val="24"/>
          <w14:textFill>
            <w14:solidFill>
              <w14:schemeClr w14:val="tx1"/>
            </w14:solidFill>
          </w14:textFill>
        </w:rPr>
        <w:t>并在临时堆土场这边设置洒水降尘装置；</w:t>
      </w:r>
    </w:p>
    <w:p>
      <w:pPr>
        <w:spacing w:line="360" w:lineRule="auto"/>
        <w:ind w:firstLine="480" w:firstLineChars="200"/>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14:textFill>
            <w14:solidFill>
              <w14:schemeClr w14:val="tx1"/>
            </w14:solidFill>
          </w14:textFill>
        </w:rPr>
        <w:t>③</w:t>
      </w:r>
      <w:r>
        <w:rPr>
          <w:rFonts w:eastAsia="宋体"/>
          <w:color w:val="000000" w:themeColor="text1"/>
          <w:sz w:val="24"/>
          <w14:textFill>
            <w14:solidFill>
              <w14:schemeClr w14:val="tx1"/>
            </w14:solidFill>
          </w14:textFill>
        </w:rPr>
        <w:t>对运输渣土的机动车辆定期清洗车轮和车体、用帆布覆盖易起扬尘的物料以防在运输过程中发生渣土撒漏，污染国道、省道或其他城乡道路，减少扬尘的产生</w:t>
      </w:r>
      <w:r>
        <w:rPr>
          <w:rFonts w:hint="eastAsia"/>
          <w:color w:val="000000" w:themeColor="text1"/>
          <w:sz w:val="24"/>
          <w:lang w:eastAsia="zh-CN"/>
          <w14:textFill>
            <w14:solidFill>
              <w14:schemeClr w14:val="tx1"/>
            </w14:solidFill>
          </w14:textFill>
        </w:rPr>
        <w:t>；</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④对</w:t>
      </w:r>
      <w:r>
        <w:rPr>
          <w:rFonts w:hint="eastAsia"/>
          <w:color w:val="000000" w:themeColor="text1"/>
          <w:sz w:val="24"/>
          <w:lang w:val="en-US" w:eastAsia="zh-CN"/>
          <w14:textFill>
            <w14:solidFill>
              <w14:schemeClr w14:val="tx1"/>
            </w14:solidFill>
          </w14:textFill>
        </w:rPr>
        <w:t>临时堆土场</w:t>
      </w:r>
      <w:r>
        <w:rPr>
          <w:rFonts w:hint="eastAsia"/>
          <w:color w:val="000000" w:themeColor="text1"/>
          <w:sz w:val="24"/>
          <w14:textFill>
            <w14:solidFill>
              <w14:schemeClr w14:val="tx1"/>
            </w14:solidFill>
          </w14:textFill>
        </w:rPr>
        <w:t>临近居民点一侧设置围栏，</w:t>
      </w:r>
      <w:r>
        <w:rPr>
          <w:rFonts w:hint="eastAsia"/>
          <w:color w:val="000000" w:themeColor="text1"/>
          <w:sz w:val="24"/>
          <w:lang w:val="en-US" w:eastAsia="zh-CN"/>
          <w14:textFill>
            <w14:solidFill>
              <w14:schemeClr w14:val="tx1"/>
            </w14:solidFill>
          </w14:textFill>
        </w:rPr>
        <w:t>并增加洒水降尘频次，</w:t>
      </w:r>
      <w:r>
        <w:rPr>
          <w:rFonts w:hint="eastAsia"/>
          <w:color w:val="000000" w:themeColor="text1"/>
          <w:sz w:val="24"/>
          <w14:textFill>
            <w14:solidFill>
              <w14:schemeClr w14:val="tx1"/>
            </w14:solidFill>
          </w14:textFill>
        </w:rPr>
        <w:t>以减小扬尘对附近敏感点的影响。</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（3）施工场地</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项目渠道分段施工，施工期间主要采取以下措施：</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①施工原材料场地应堆放整齐，水泥等容易产生粉尘的物料在临时存放时必须采取防风遮盖措施；</w:t>
      </w:r>
    </w:p>
    <w:p>
      <w:pPr>
        <w:spacing w:line="360" w:lineRule="auto"/>
        <w:ind w:firstLine="480" w:firstLineChars="200"/>
        <w:rPr>
          <w:rFonts w:hint="eastAsia" w:eastAsia="宋体"/>
          <w:color w:val="000000" w:themeColor="text1"/>
          <w:sz w:val="24"/>
          <w14:textFill>
            <w14:solidFill>
              <w14:schemeClr w14:val="tx1"/>
            </w14:solidFill>
          </w14:textFill>
        </w:rPr>
      </w:pPr>
      <w:r>
        <w:rPr>
          <w:rFonts w:hint="eastAsia" w:eastAsia="宋体"/>
          <w:color w:val="000000" w:themeColor="text1"/>
          <w:sz w:val="24"/>
          <w14:textFill>
            <w14:solidFill>
              <w14:schemeClr w14:val="tx1"/>
            </w14:solidFill>
          </w14:textFill>
        </w:rPr>
        <w:t>②开挖施工过程中产生的扬尘，采用洒水车定期对作业面和土堆洒水，使其保持一定湿度，降低施工期的粉尘散发量；在施工现场进行合理化管理，统一堆放材料，设置专门库房堆放水泥，尽量减少搬运环节，搬运时轻举轻放，防止包装袋破裂；施工现场设置围栏或部分围栏，缩小施工扬尘的扩散范围</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③施工区段配备1台洒水设备，注意洒水降尘；及时清除路面尘土；施工场地需定期进行湿法清理，开挖土石方、施工材料等堆场应相对集中堆放。</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④出入施工场地应配备车辆清洗设备和人员，设置洗车平台，运输车辆泥土和路面尘土及时清除并洒水抑尘。</w:t>
      </w:r>
    </w:p>
    <w:p>
      <w:pPr>
        <w:spacing w:line="360" w:lineRule="auto"/>
        <w:ind w:firstLine="480" w:firstLineChars="200"/>
        <w:rPr>
          <w:rFonts w:hint="eastAsia" w:ascii="Times New Roman" w:hAnsi="Times New Roman" w:eastAsia="宋体" w:cs="Times New Roman"/>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⑤</w:t>
      </w:r>
      <w:r>
        <w:rPr>
          <w:rFonts w:hint="eastAsia" w:ascii="Times New Roman" w:hAnsi="Times New Roman" w:eastAsia="宋体" w:cs="Times New Roman"/>
          <w:color w:val="000000" w:themeColor="text1"/>
          <w:sz w:val="24"/>
          <w14:textFill>
            <w14:solidFill>
              <w14:schemeClr w14:val="tx1"/>
            </w14:solidFill>
          </w14:textFill>
        </w:rPr>
        <w:t>在施工场地内对施工车辆实施限速，设置车辆冲洗设施，</w:t>
      </w:r>
      <w:r>
        <w:rPr>
          <w:rFonts w:hint="eastAsia"/>
          <w:color w:val="000000" w:themeColor="text1"/>
          <w:sz w:val="24"/>
          <w14:textFill>
            <w14:solidFill>
              <w14:schemeClr w14:val="tx1"/>
            </w14:solidFill>
          </w14:textFill>
        </w:rPr>
        <w:t>保持外观清洁，严禁带泥上路、杜绝“跑、冒、滴、漏”现象的发生</w:t>
      </w:r>
      <w:r>
        <w:rPr>
          <w:rFonts w:hint="eastAsia"/>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加强路面及车辆清洗，减少扬尘对周边环境的影响。</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⑥严格控制运输车辆运输路线和行驶速度，施工期运输路线应尽量避开人口聚集区、学校等区域，施工车辆进出施工现场和施工场地应低速、限速行驶禁止超速、超载行驶，减少扬尘产生量。</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⑦车辆卸货时禁止直接倾倒、抛撒；施工期材料尽可能适量、适时采购，运至施工场地后，应尽快使用，禁止在施工场地长时间堆放。</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⑧风速大于4m/s时，禁止进行开挖、材料运输等作业。</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⑨待整个工程施工完毕后，应及时清理施工场地废弃物，建筑垃圾等必须及时清运处理，禁止遗留在施工场地。</w:t>
      </w:r>
    </w:p>
    <w:p>
      <w:pPr>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⑩施工现场设置硬质围挡并设置喷雾装置抑尘。北支一渠与董家堰补水渠</w:t>
      </w:r>
      <w:r>
        <w:rPr>
          <w:rFonts w:hint="eastAsia" w:ascii="Times New Roman" w:hAnsi="Times New Roman" w:eastAsia="宋体" w:cs="Times New Roman"/>
          <w:color w:val="000000" w:themeColor="text1"/>
          <w:sz w:val="24"/>
          <w14:textFill>
            <w14:solidFill>
              <w14:schemeClr w14:val="tx1"/>
            </w14:solidFill>
          </w14:textFill>
        </w:rPr>
        <w:t>附近居民点较多，施工时在临近居民点一侧应增加洒水降尘频次，减少车辆进出次数。</w:t>
      </w:r>
    </w:p>
    <w:p>
      <w:pPr>
        <w:snapToGrid w:val="0"/>
        <w:spacing w:line="360" w:lineRule="auto"/>
        <w:ind w:firstLine="480" w:firstLineChars="200"/>
        <w:rPr>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同时，严格执行成都市住房和城乡建设局、成都市生态环境局发布的《成都市文明施工示范引领地技术标准》（成住建发〔2023〕65号）的相关要求并全面督查建设工地现场管理“十必须”、“十不准”执行情况，确保达到《四川省施工场地扬尘排放标准》（DB51/2682-2020）限值要求；严格按照大气污染防治的相关要求，落实对施工机械和运输车辆的管理要求；根据成都市重污染天气应急预案相关要求，落实重污染天气状况下大气污染防治和应急措施要求。</w:t>
      </w:r>
    </w:p>
    <w:p>
      <w:pPr>
        <w:pStyle w:val="76"/>
        <w:spacing w:line="360" w:lineRule="auto"/>
        <w:ind w:firstLine="482" w:firstLineChars="200"/>
        <w:jc w:val="both"/>
        <w:rPr>
          <w:rFonts w:ascii="Times New Roman" w:cs="Times New Roman"/>
          <w:b/>
          <w:color w:val="000000" w:themeColor="text1"/>
          <w14:textFill>
            <w14:solidFill>
              <w14:schemeClr w14:val="tx1"/>
            </w14:solidFill>
          </w14:textFill>
        </w:rPr>
      </w:pPr>
      <w:r>
        <w:rPr>
          <w:rFonts w:ascii="Times New Roman" w:cs="Times New Roman"/>
          <w:b/>
          <w:color w:val="000000" w:themeColor="text1"/>
          <w14:textFill>
            <w14:solidFill>
              <w14:schemeClr w14:val="tx1"/>
            </w14:solidFill>
          </w14:textFill>
        </w:rPr>
        <w:t>2、施工燃油废气处置措施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施工机械及运输车辆定期检修与保养，及时清洗、维修，确保施工机械及运输车辆始终处于良好的工作状态，减少有害气体排放量，确保施工机械废气排放符合环保要求。加强大型施工机械和车辆的管理，执行定期检查维护制度。</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所有燃油机械和车辆尾气排放执行《汽车大气污染物排放标准》(GBl4761.1-14761.7-93)，若其尾气不能达标排放，必须配置消烟除尘设备。严格执行《在用汽车报废标准》，推行强制更新报废制度，特别是对发动机耗油多、效率低、排放尾气严重超标的老旧车辆，不准进入施工区进行施工。</w:t>
      </w:r>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3、</w:t>
      </w:r>
      <w:r>
        <w:rPr>
          <w:rFonts w:hint="eastAsia"/>
          <w:b/>
          <w:color w:val="000000" w:themeColor="text1"/>
          <w:sz w:val="24"/>
          <w:szCs w:val="24"/>
          <w14:textFill>
            <w14:solidFill>
              <w14:schemeClr w14:val="tx1"/>
            </w14:solidFill>
          </w14:textFill>
        </w:rPr>
        <w:t>底泥</w:t>
      </w:r>
      <w:r>
        <w:rPr>
          <w:b/>
          <w:color w:val="000000" w:themeColor="text1"/>
          <w:sz w:val="24"/>
          <w:szCs w:val="24"/>
          <w14:textFill>
            <w14:solidFill>
              <w14:schemeClr w14:val="tx1"/>
            </w14:solidFill>
          </w14:textFill>
        </w:rPr>
        <w:t>恶臭处置措施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本项目施工期产生的恶臭气体来自</w:t>
      </w:r>
      <w:r>
        <w:rPr>
          <w:rFonts w:hint="eastAsia" w:ascii="Times New Roman" w:cs="Times New Roman"/>
          <w:color w:val="000000" w:themeColor="text1"/>
          <w14:textFill>
            <w14:solidFill>
              <w14:schemeClr w14:val="tx1"/>
            </w14:solidFill>
          </w14:textFill>
        </w:rPr>
        <w:t>渠道</w:t>
      </w:r>
      <w:r>
        <w:rPr>
          <w:rFonts w:ascii="Times New Roman" w:cs="Times New Roman"/>
          <w:color w:val="000000" w:themeColor="text1"/>
          <w14:textFill>
            <w14:solidFill>
              <w14:schemeClr w14:val="tx1"/>
            </w14:solidFill>
          </w14:textFill>
        </w:rPr>
        <w:t>底泥，</w:t>
      </w:r>
      <w:r>
        <w:rPr>
          <w:rFonts w:hint="eastAsia" w:ascii="宋体" w:eastAsia="宋体" w:cs="宋体"/>
          <w:bCs/>
          <w:color w:val="000000" w:themeColor="text1"/>
          <w:lang w:val="en-US" w:eastAsia="zh-CN"/>
          <w14:textFill>
            <w14:solidFill>
              <w14:schemeClr w14:val="tx1"/>
            </w14:solidFill>
          </w14:textFill>
        </w:rPr>
        <w:t>项目</w:t>
      </w:r>
      <w:r>
        <w:rPr>
          <w:rFonts w:hint="eastAsia" w:ascii="宋体" w:eastAsia="宋体" w:cs="宋体"/>
          <w:bCs/>
          <w:color w:val="000000" w:themeColor="text1"/>
          <w14:textFill>
            <w14:solidFill>
              <w14:schemeClr w14:val="tx1"/>
            </w14:solidFill>
          </w14:textFill>
        </w:rPr>
        <w:t>清淤时段避开灌溉期，安排在断水期间，清淤前先进行抽排、翻晒，使淤泥在渠道内进行晾晒干化（约</w:t>
      </w:r>
      <w:r>
        <w:rPr>
          <w:rFonts w:ascii="宋体" w:eastAsia="宋体" w:cs="宋体"/>
          <w:bCs/>
          <w:color w:val="000000" w:themeColor="text1"/>
          <w14:textFill>
            <w14:solidFill>
              <w14:schemeClr w14:val="tx1"/>
            </w14:solidFill>
          </w14:textFill>
        </w:rPr>
        <w:t>3</w:t>
      </w:r>
      <w:r>
        <w:rPr>
          <w:rFonts w:hint="default" w:ascii="Times New Roman" w:hAnsi="Times New Roman" w:eastAsia="宋体" w:cs="Times New Roman"/>
          <w:bCs/>
          <w:color w:val="000000" w:themeColor="text1"/>
          <w14:textFill>
            <w14:solidFill>
              <w14:schemeClr w14:val="tx1"/>
            </w14:solidFill>
          </w14:textFill>
        </w:rPr>
        <w:t>~</w:t>
      </w:r>
      <w:r>
        <w:rPr>
          <w:rFonts w:ascii="宋体" w:eastAsia="宋体" w:cs="宋体"/>
          <w:bCs/>
          <w:color w:val="000000" w:themeColor="text1"/>
          <w14:textFill>
            <w14:solidFill>
              <w14:schemeClr w14:val="tx1"/>
            </w14:solidFill>
          </w14:textFill>
        </w:rPr>
        <w:t>5天</w:t>
      </w:r>
      <w:r>
        <w:rPr>
          <w:rFonts w:hint="eastAsia" w:ascii="宋体" w:eastAsia="宋体" w:cs="宋体"/>
          <w:bCs/>
          <w:color w:val="000000" w:themeColor="text1"/>
          <w14:textFill>
            <w14:solidFill>
              <w14:schemeClr w14:val="tx1"/>
            </w14:solidFill>
          </w14:textFill>
        </w:rPr>
        <w:t>）</w:t>
      </w:r>
      <w:r>
        <w:rPr>
          <w:rFonts w:hint="eastAsia" w:ascii="Times New Roman" w:cs="Times New Roman"/>
          <w:color w:val="000000" w:themeColor="text1"/>
          <w14:textFill>
            <w14:solidFill>
              <w14:schemeClr w14:val="tx1"/>
            </w14:solidFill>
          </w14:textFill>
        </w:rPr>
        <w:t>，清淤</w:t>
      </w:r>
      <w:r>
        <w:rPr>
          <w:rFonts w:ascii="Times New Roman" w:cs="Times New Roman"/>
          <w:color w:val="000000" w:themeColor="text1"/>
          <w14:textFill>
            <w14:solidFill>
              <w14:schemeClr w14:val="tx1"/>
            </w14:solidFill>
          </w14:textFill>
        </w:rPr>
        <w:t>工程属于</w:t>
      </w:r>
      <w:r>
        <w:rPr>
          <w:rFonts w:ascii="宋体" w:eastAsia="宋体" w:cs="宋体"/>
          <w:bCs/>
          <w:color w:val="000000" w:themeColor="text1"/>
          <w14:textFill>
            <w14:solidFill>
              <w14:schemeClr w14:val="tx1"/>
            </w14:solidFill>
          </w14:textFill>
        </w:rPr>
        <w:t>开放式作业，</w:t>
      </w:r>
      <w:r>
        <w:rPr>
          <w:rFonts w:hint="eastAsia" w:ascii="宋体" w:eastAsia="宋体" w:cs="宋体"/>
          <w:bCs/>
          <w:color w:val="000000" w:themeColor="text1"/>
          <w:lang w:val="en-US" w:eastAsia="zh-CN"/>
          <w14:textFill>
            <w14:solidFill>
              <w14:schemeClr w14:val="tx1"/>
            </w14:solidFill>
          </w14:textFill>
        </w:rPr>
        <w:t>淤泥恶臭主要是淤泥干化期间产生。</w:t>
      </w:r>
      <w:r>
        <w:rPr>
          <w:rFonts w:ascii="宋体" w:eastAsia="宋体" w:cs="宋体"/>
          <w:bCs/>
          <w:color w:val="000000" w:themeColor="text1"/>
          <w14:textFill>
            <w14:solidFill>
              <w14:schemeClr w14:val="tx1"/>
            </w14:solidFill>
          </w14:textFill>
        </w:rPr>
        <w:t>施工过程</w:t>
      </w:r>
      <w:r>
        <w:rPr>
          <w:rFonts w:ascii="Times New Roman" w:cs="Times New Roman"/>
          <w:color w:val="000000" w:themeColor="text1"/>
          <w14:textFill>
            <w14:solidFill>
              <w14:schemeClr w14:val="tx1"/>
            </w14:solidFill>
          </w14:textFill>
        </w:rPr>
        <w:t>中，应采取相应的防范措施后，可减少恶臭气体的影响。</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bCs/>
          <w:color w:val="000000" w:themeColor="text1"/>
          <w:lang w:val="en-US" w:eastAsia="zh-CN"/>
          <w14:textFill>
            <w14:solidFill>
              <w14:schemeClr w14:val="tx1"/>
            </w14:solidFill>
          </w14:textFill>
        </w:rPr>
        <w:t>工程</w:t>
      </w:r>
      <w:r>
        <w:rPr>
          <w:bCs/>
          <w:color w:val="000000" w:themeColor="text1"/>
          <w14:textFill>
            <w14:solidFill>
              <w14:schemeClr w14:val="tx1"/>
            </w14:solidFill>
          </w14:textFill>
        </w:rPr>
        <w:t>选择在</w:t>
      </w:r>
      <w:r>
        <w:rPr>
          <w:rFonts w:hint="eastAsia"/>
          <w:color w:val="000000" w:themeColor="text1"/>
          <w14:textFill>
            <w14:solidFill>
              <w14:schemeClr w14:val="tx1"/>
            </w14:solidFill>
          </w14:textFill>
        </w:rPr>
        <w:t>秋冬季</w:t>
      </w:r>
      <w:r>
        <w:rPr>
          <w:rFonts w:hint="eastAsia"/>
          <w:color w:val="000000" w:themeColor="text1"/>
          <w:lang w:val="en-US" w:eastAsia="zh-CN"/>
          <w14:textFill>
            <w14:solidFill>
              <w14:schemeClr w14:val="tx1"/>
            </w14:solidFill>
          </w14:textFill>
        </w:rPr>
        <w:t>进行清淤</w:t>
      </w:r>
      <w:r>
        <w:rPr>
          <w:color w:val="000000" w:themeColor="text1"/>
          <w14:textFill>
            <w14:solidFill>
              <w14:schemeClr w14:val="tx1"/>
            </w14:solidFill>
          </w14:textFill>
        </w:rPr>
        <w:t>施工</w:t>
      </w:r>
      <w:r>
        <w:rPr>
          <w:bCs/>
          <w:color w:val="000000" w:themeColor="text1"/>
          <w14:textFill>
            <w14:solidFill>
              <w14:schemeClr w14:val="tx1"/>
            </w14:solidFill>
          </w14:textFill>
        </w:rPr>
        <w:t>，恶臭扩散速度和强度均较小。</w:t>
      </w:r>
      <w:r>
        <w:rPr>
          <w:rFonts w:hint="eastAsia"/>
          <w:color w:val="000000" w:themeColor="text1"/>
          <w14:textFill>
            <w14:solidFill>
              <w14:schemeClr w14:val="tx1"/>
            </w14:solidFill>
          </w14:textFill>
        </w:rPr>
        <w:t>环评要求：</w:t>
      </w:r>
      <w:r>
        <w:rPr>
          <w:color w:val="000000" w:themeColor="text1"/>
          <w14:textFill>
            <w14:solidFill>
              <w14:schemeClr w14:val="tx1"/>
            </w14:solidFill>
          </w14:textFill>
        </w:rPr>
        <w:t>在清淤过程应喷洒生</w:t>
      </w:r>
      <w:r>
        <w:rPr>
          <w:rFonts w:hint="eastAsia"/>
          <w:color w:val="000000" w:themeColor="text1"/>
          <w14:textFill>
            <w14:solidFill>
              <w14:schemeClr w14:val="tx1"/>
            </w14:solidFill>
          </w14:textFill>
        </w:rPr>
        <w:t>石灰</w:t>
      </w:r>
      <w:r>
        <w:rPr>
          <w:color w:val="000000" w:themeColor="text1"/>
          <w14:textFill>
            <w14:solidFill>
              <w14:schemeClr w14:val="tx1"/>
            </w14:solidFill>
          </w14:textFill>
        </w:rPr>
        <w:t>、除臭剂来减少恶臭的扩散</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渠道淤泥在渠道内</w:t>
      </w:r>
      <w:r>
        <w:rPr>
          <w:rFonts w:hint="eastAsia"/>
          <w:color w:val="000000" w:themeColor="text1"/>
          <w:lang w:val="en-US" w:eastAsia="zh-CN"/>
          <w14:textFill>
            <w14:solidFill>
              <w14:schemeClr w14:val="tx1"/>
            </w14:solidFill>
          </w14:textFill>
        </w:rPr>
        <w:t>干化期间，应尽量做到在远离居民区的地方干化，干化期间增加喷洒生石灰、除臭剂的次数；</w:t>
      </w:r>
      <w:r>
        <w:rPr>
          <w:rFonts w:hint="eastAsia"/>
          <w:color w:val="000000" w:themeColor="text1"/>
          <w14:textFill>
            <w14:solidFill>
              <w14:schemeClr w14:val="tx1"/>
            </w14:solidFill>
          </w14:textFill>
        </w:rPr>
        <w:t>干化后应及时</w:t>
      </w:r>
      <w:r>
        <w:rPr>
          <w:rFonts w:hint="eastAsia"/>
          <w:color w:val="000000" w:themeColor="text1"/>
          <w:lang w:val="en-US" w:eastAsia="zh-CN"/>
          <w14:textFill>
            <w14:solidFill>
              <w14:schemeClr w14:val="tx1"/>
            </w14:solidFill>
          </w14:textFill>
        </w:rPr>
        <w:t>采用</w:t>
      </w:r>
      <w:r>
        <w:rPr>
          <w:color w:val="000000" w:themeColor="text1"/>
          <w14:textFill>
            <w14:solidFill>
              <w14:schemeClr w14:val="tx1"/>
            </w14:solidFill>
          </w14:textFill>
        </w:rPr>
        <w:t>专用</w:t>
      </w:r>
      <w:r>
        <w:rPr>
          <w:rFonts w:hint="eastAsia"/>
          <w:color w:val="000000" w:themeColor="text1"/>
          <w:lang w:val="en-US" w:eastAsia="zh-CN"/>
          <w14:textFill>
            <w14:solidFill>
              <w14:schemeClr w14:val="tx1"/>
            </w14:solidFill>
          </w14:textFill>
        </w:rPr>
        <w:t>密闭</w:t>
      </w:r>
      <w:r>
        <w:rPr>
          <w:color w:val="000000" w:themeColor="text1"/>
          <w14:textFill>
            <w14:solidFill>
              <w14:schemeClr w14:val="tx1"/>
            </w14:solidFill>
          </w14:textFill>
        </w:rPr>
        <w:t>运输车辆</w:t>
      </w:r>
      <w:r>
        <w:rPr>
          <w:rFonts w:hint="eastAsia"/>
          <w:color w:val="000000" w:themeColor="text1"/>
          <w:lang w:val="en-US" w:eastAsia="zh-CN"/>
          <w14:textFill>
            <w14:solidFill>
              <w14:schemeClr w14:val="tx1"/>
            </w14:solidFill>
          </w14:textFill>
        </w:rPr>
        <w:t>进行</w:t>
      </w:r>
      <w:r>
        <w:rPr>
          <w:rFonts w:hint="eastAsia"/>
          <w:color w:val="000000" w:themeColor="text1"/>
          <w14:textFill>
            <w14:solidFill>
              <w14:schemeClr w14:val="tx1"/>
            </w14:solidFill>
          </w14:textFill>
        </w:rPr>
        <w:t>清运</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运输路线尽量避开居民集中区域。</w:t>
      </w:r>
      <w:r>
        <w:rPr>
          <w:rFonts w:hint="eastAsia"/>
          <w:color w:val="000000" w:themeColor="text1"/>
          <w:lang w:val="en-US" w:eastAsia="zh-CN"/>
          <w14:textFill>
            <w14:solidFill>
              <w14:schemeClr w14:val="tx1"/>
            </w14:solidFill>
          </w14:textFill>
        </w:rPr>
        <w:t>由于</w:t>
      </w:r>
      <w:r>
        <w:rPr>
          <w:color w:val="000000" w:themeColor="text1"/>
          <w14:textFill>
            <w14:solidFill>
              <w14:schemeClr w14:val="tx1"/>
            </w14:solidFill>
          </w14:textFill>
        </w:rPr>
        <w:t>施工时间有限，恶臭影响将会随着施工</w:t>
      </w:r>
      <w:r>
        <w:rPr>
          <w:rFonts w:hint="eastAsia"/>
          <w:color w:val="000000" w:themeColor="text1"/>
          <w:lang w:val="en-US" w:eastAsia="zh-CN"/>
          <w14:textFill>
            <w14:solidFill>
              <w14:schemeClr w14:val="tx1"/>
            </w14:solidFill>
          </w14:textFill>
        </w:rPr>
        <w:t>的</w:t>
      </w:r>
      <w:r>
        <w:rPr>
          <w:color w:val="000000" w:themeColor="text1"/>
          <w14:textFill>
            <w14:solidFill>
              <w14:schemeClr w14:val="tx1"/>
            </w14:solidFill>
          </w14:textFill>
        </w:rPr>
        <w:t>结束而消失</w:t>
      </w:r>
      <w:r>
        <w:rPr>
          <w:rFonts w:ascii="Times New Roman" w:cs="Times New Roman"/>
          <w:color w:val="000000" w:themeColor="text1"/>
          <w14:textFill>
            <w14:solidFill>
              <w14:schemeClr w14:val="tx1"/>
            </w14:solidFill>
          </w14:textFill>
        </w:rPr>
        <w:t>。</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53" w:name="_bookmark126"/>
      <w:bookmarkEnd w:id="553"/>
      <w:bookmarkStart w:id="554" w:name="7.1.2施工废水污染防治措施及可行性"/>
      <w:bookmarkEnd w:id="554"/>
      <w:bookmarkStart w:id="555" w:name="_Toc70496326"/>
      <w:bookmarkStart w:id="556" w:name="_Toc13577"/>
      <w:bookmarkStart w:id="557" w:name="_Toc10212"/>
      <w:bookmarkStart w:id="558" w:name="_Toc24315"/>
      <w:bookmarkStart w:id="559" w:name="_Toc12557"/>
      <w:bookmarkStart w:id="560" w:name="_Toc16746"/>
      <w:r>
        <w:rPr>
          <w:rFonts w:ascii="Times New Roman" w:hAnsi="Times New Roman" w:cs="Times New Roman"/>
          <w:color w:val="000000" w:themeColor="text1"/>
          <w14:textFill>
            <w14:solidFill>
              <w14:schemeClr w14:val="tx1"/>
            </w14:solidFill>
          </w14:textFill>
        </w:rPr>
        <w:t>5.1.2施工废水污染防治措施及可行性</w:t>
      </w:r>
      <w:bookmarkEnd w:id="555"/>
      <w:bookmarkEnd w:id="556"/>
      <w:bookmarkEnd w:id="557"/>
      <w:bookmarkEnd w:id="558"/>
      <w:bookmarkEnd w:id="559"/>
      <w:bookmarkEnd w:id="560"/>
    </w:p>
    <w:p>
      <w:pPr>
        <w:adjustRightInd w:val="0"/>
        <w:snapToGrid w:val="0"/>
        <w:spacing w:line="360" w:lineRule="auto"/>
        <w:ind w:firstLine="482" w:firstLineChars="200"/>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1、生活污水</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施工期不设置施工营地，不设置食宿设施，工人均租用附近现有的民房，施工人员生活污水依托当地污水收集、处理系统，纳入城市污水处理厂处置</w:t>
      </w:r>
      <w:r>
        <w:rPr>
          <w:rFonts w:hint="eastAsia"/>
          <w:color w:val="000000" w:themeColor="text1"/>
          <w:sz w:val="24"/>
          <w14:textFill>
            <w14:solidFill>
              <w14:schemeClr w14:val="tx1"/>
            </w14:solidFill>
          </w14:textFill>
        </w:rPr>
        <w:t>后外排</w:t>
      </w:r>
      <w:r>
        <w:rPr>
          <w:color w:val="000000" w:themeColor="text1"/>
          <w:sz w:val="24"/>
          <w14:textFill>
            <w14:solidFill>
              <w14:schemeClr w14:val="tx1"/>
            </w14:solidFill>
          </w14:textFill>
        </w:rPr>
        <w:t>。</w:t>
      </w:r>
    </w:p>
    <w:p>
      <w:pPr>
        <w:adjustRightInd w:val="0"/>
        <w:snapToGrid w:val="0"/>
        <w:spacing w:line="360" w:lineRule="auto"/>
        <w:ind w:firstLine="482" w:firstLineChars="200"/>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2、机械及车辆冲洗废水处理</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本工程</w:t>
      </w:r>
      <w:r>
        <w:rPr>
          <w:color w:val="000000" w:themeColor="text1"/>
          <w:sz w:val="24"/>
          <w:szCs w:val="24"/>
          <w14:textFill>
            <w14:solidFill>
              <w14:schemeClr w14:val="tx1"/>
            </w14:solidFill>
          </w14:textFill>
        </w:rPr>
        <w:t>对施工机械的</w:t>
      </w:r>
      <w:r>
        <w:rPr>
          <w:rFonts w:hint="eastAsia"/>
          <w:color w:val="000000" w:themeColor="text1"/>
          <w:sz w:val="24"/>
          <w:szCs w:val="24"/>
          <w14:textFill>
            <w14:solidFill>
              <w14:schemeClr w14:val="tx1"/>
            </w14:solidFill>
          </w14:textFill>
        </w:rPr>
        <w:t>进行</w:t>
      </w:r>
      <w:r>
        <w:rPr>
          <w:color w:val="000000" w:themeColor="text1"/>
          <w:sz w:val="24"/>
          <w:szCs w:val="24"/>
          <w14:textFill>
            <w14:solidFill>
              <w14:schemeClr w14:val="tx1"/>
            </w14:solidFill>
          </w14:textFill>
        </w:rPr>
        <w:t>冲洗，</w:t>
      </w:r>
      <w:r>
        <w:rPr>
          <w:rFonts w:hint="eastAsia"/>
          <w:color w:val="000000" w:themeColor="text1"/>
          <w:sz w:val="24"/>
          <w:szCs w:val="24"/>
          <w14:textFill>
            <w14:solidFill>
              <w14:schemeClr w14:val="tx1"/>
            </w14:solidFill>
          </w14:textFill>
        </w:rPr>
        <w:t>会产生</w:t>
      </w:r>
      <w:r>
        <w:rPr>
          <w:color w:val="000000" w:themeColor="text1"/>
          <w:sz w:val="24"/>
          <w:szCs w:val="24"/>
          <w14:textFill>
            <w14:solidFill>
              <w14:schemeClr w14:val="tx1"/>
            </w14:solidFill>
          </w14:textFill>
        </w:rPr>
        <w:t>一定的车辆冲洗废水，主要含有泥沙等污染物，排放特点是分布分散、强度小、间歇排放。</w:t>
      </w:r>
    </w:p>
    <w:p>
      <w:pPr>
        <w:adjustRightInd w:val="0"/>
        <w:snapToGrid w:val="0"/>
        <w:spacing w:line="360" w:lineRule="auto"/>
        <w:ind w:firstLine="482" w:firstLineChars="200"/>
        <w:jc w:val="both"/>
        <w:rPr>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治理措施：</w:t>
      </w:r>
      <w:r>
        <w:rPr>
          <w:rFonts w:hint="eastAsia"/>
          <w:color w:val="000000" w:themeColor="text1"/>
          <w:sz w:val="24"/>
          <w:szCs w:val="24"/>
          <w14:textFill>
            <w14:solidFill>
              <w14:schemeClr w14:val="tx1"/>
            </w14:solidFill>
          </w14:textFill>
        </w:rPr>
        <w:t>工程拟在施工工区设置1个10m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的沉淀池</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一级</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用于处理施工机械及运输车辆清洗废水。施工机械和汽车冲洗废水入沉淀池，经沉淀后的清水通过沉淀池溢流口排放进入清水池，并回用于施工场地洒水。废水处理工艺流程图如下：</w:t>
      </w:r>
    </w:p>
    <w:p>
      <w:pPr>
        <w:adjustRightInd w:val="0"/>
        <w:snapToGrid w:val="0"/>
        <w:spacing w:line="360" w:lineRule="auto"/>
        <w:jc w:val="both"/>
        <w:rPr>
          <w:color w:val="000000" w:themeColor="text1"/>
          <w:sz w:val="24"/>
          <w:szCs w:val="24"/>
          <w14:textFill>
            <w14:solidFill>
              <w14:schemeClr w14:val="tx1"/>
            </w14:solidFill>
          </w14:textFill>
        </w:rPr>
      </w:pPr>
      <w:r>
        <w:rPr>
          <w:color w:val="000000" w:themeColor="text1"/>
          <w:sz w:val="24"/>
          <w14:textFill>
            <w14:solidFill>
              <w14:schemeClr w14:val="tx1"/>
            </w14:solidFill>
          </w14:textFill>
        </w:rPr>
        <mc:AlternateContent>
          <mc:Choice Requires="wpc">
            <w:drawing>
              <wp:inline distT="0" distB="0" distL="114300" distR="114300">
                <wp:extent cx="5486400" cy="1673860"/>
                <wp:effectExtent l="0" t="0" r="0" b="0"/>
                <wp:docPr id="5" name="画布 5"/>
                <wp:cNvGraphicFramePr/>
                <a:graphic xmlns:a="http://schemas.openxmlformats.org/drawingml/2006/main">
                  <a:graphicData uri="http://schemas.microsoft.com/office/word/2010/wordprocessingCanvas">
                    <wpc:wpc>
                      <wpc:bg/>
                      <wpc:whole/>
                      <wps:wsp>
                        <wps:cNvPr id="9" name="矩形 9"/>
                        <wps:cNvSpPr/>
                        <wps:spPr>
                          <a:xfrm>
                            <a:off x="239395" y="376555"/>
                            <a:ext cx="1190625" cy="475615"/>
                          </a:xfrm>
                          <a:prstGeom prst="rect">
                            <a:avLst/>
                          </a:prstGeom>
                          <a:no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施工机械、运输车辆冲洗废水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 name="矩形 13"/>
                        <wps:cNvSpPr/>
                        <wps:spPr>
                          <a:xfrm>
                            <a:off x="1925955" y="417830"/>
                            <a:ext cx="626745" cy="372745"/>
                          </a:xfrm>
                          <a:prstGeom prst="rect">
                            <a:avLst/>
                          </a:prstGeom>
                          <a:no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 name="矩形 21"/>
                        <wps:cNvSpPr/>
                        <wps:spPr>
                          <a:xfrm>
                            <a:off x="3045460" y="433705"/>
                            <a:ext cx="626745" cy="372745"/>
                          </a:xfrm>
                          <a:prstGeom prst="rect">
                            <a:avLst/>
                          </a:prstGeom>
                          <a:no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清水池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 name="矩形 22"/>
                        <wps:cNvSpPr/>
                        <wps:spPr>
                          <a:xfrm>
                            <a:off x="4108450" y="426085"/>
                            <a:ext cx="1125855" cy="427990"/>
                          </a:xfrm>
                          <a:prstGeom prst="rect">
                            <a:avLst/>
                          </a:prstGeom>
                          <a:noFill/>
                          <a:ln w="31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场地洒水降尘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 name="直接箭头连接符 23"/>
                        <wps:cNvCnPr>
                          <a:stCxn id="9" idx="3"/>
                        </wps:cNvCnPr>
                        <wps:spPr>
                          <a:xfrm flipV="1">
                            <a:off x="1430020" y="610870"/>
                            <a:ext cx="468630" cy="381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4" name="直接箭头连接符 24"/>
                        <wps:cNvCnPr/>
                        <wps:spPr>
                          <a:xfrm flipV="1">
                            <a:off x="2576195" y="616585"/>
                            <a:ext cx="468630" cy="381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5" name="直接箭头连接符 25"/>
                        <wps:cNvCnPr/>
                        <wps:spPr>
                          <a:xfrm flipV="1">
                            <a:off x="3679825" y="632460"/>
                            <a:ext cx="468630" cy="381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6" name="直接箭头连接符 26"/>
                        <wps:cNvCnPr/>
                        <wps:spPr>
                          <a:xfrm rot="5400000" flipV="1">
                            <a:off x="2036445" y="1021715"/>
                            <a:ext cx="468630" cy="3810"/>
                          </a:xfrm>
                          <a:prstGeom prst="straightConnector1">
                            <a:avLst/>
                          </a:prstGeom>
                          <a:ln>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7" name="矩形 27"/>
                        <wps:cNvSpPr/>
                        <wps:spPr>
                          <a:xfrm>
                            <a:off x="1862455" y="1259205"/>
                            <a:ext cx="1006475" cy="325120"/>
                          </a:xfrm>
                          <a:prstGeom prst="rect">
                            <a:avLst/>
                          </a:prstGeom>
                          <a:noFill/>
                          <a:ln w="31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泥沙、沉渣</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131.8pt;width:432pt;" coordsize="5486400,1673860" editas="canvas" o:gfxdata="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">
                <o:lock v:ext="edit" aspectratio="f"/>
                <v:shape id="_x0000_s1026" o:spid="_x0000_s1026" style="position:absolute;left:0;top:0;height:1673860;width:5486400;" filled="f" stroked="f" coordsize="21600,21600" o:gfxdata="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">
                  <v:fill on="f" focussize="0,0"/>
                  <v:stroke on="f"/>
                  <v:imagedata o:title=""/>
                  <o:lock v:ext="edit" aspectratio="f"/>
                </v:shape>
                <v:rect id="_x0000_s1026" o:spid="_x0000_s1026" o:spt="1" style="position:absolute;left:239395;top:376555;height:475615;width:1190625;v-text-anchor:middle;" filled="f" stroked="t" coordsize="21600,21600" o:gfxdata="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yTZQRdQAAAAFAQAADwAAAAAAAAABACAAAAAiAAAAZHJz&#10;L2Rvd25yZXYueG1sUEsBAhQAFAAAAAgAh07iQLkHAOp6AgAA3wQAAA4AAAAAAAAAAQAgAAAAIwEA&#10;AGRycy9lMm9Eb2MueG1sUEsFBgAAAAAGAAYAWQEAAA8GAAAAAA==&#10;">
                  <v:fill on="f" focussize="0,0"/>
                  <v:stroke weight="0.25pt" color="#000000 [3213]" miterlimit="8" joinstyle="miter"/>
                  <v:imagedata o:title=""/>
                  <o:lock v:ext="edit" aspectratio="f"/>
                  <v:textbo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施工机械、运输车辆冲洗废水</w:t>
                        </w:r>
                      </w:p>
                    </w:txbxContent>
                  </v:textbox>
                </v:rect>
                <v:rect id="_x0000_s1026" o:spid="_x0000_s1026" o:spt="1" style="position:absolute;left:1925955;top:417830;height:372745;width:626745;v-text-anchor:middle;" filled="f" stroked="t" coordsize="21600,21600" o:gfxdata="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TZQRdQAAAAFAQAADwAAAAAAAAABACAAAAAiAAAAZHJzL2Rv&#10;d25yZXYueG1sUEsBAhQAFAAAAAgAh07iQE8TA453AgAA4QQAAA4AAAAAAAAAAQAgAAAAIwEAAGRy&#10;cy9lMm9Eb2MueG1sUEsFBgAAAAAGAAYAWQEAAAwGAAAAAA==&#10;">
                  <v:fill on="f" focussize="0,0"/>
                  <v:stroke weight="0.25pt" color="#000000 [3213]" miterlimit="8" joinstyle="miter"/>
                  <v:imagedata o:title=""/>
                  <o:lock v:ext="edit" aspectratio="f"/>
                  <v:textbo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沉淀池</w:t>
                        </w:r>
                      </w:p>
                    </w:txbxContent>
                  </v:textbox>
                </v:rect>
                <v:rect id="_x0000_s1026" o:spid="_x0000_s1026" o:spt="1" style="position:absolute;left:3045460;top:433705;height:372745;width:626745;v-text-anchor:middle;" filled="f" stroked="t" coordsize="21600,21600" o:gfxdata="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TZQRdQAAAAFAQAADwAAAAAAAAABACAAAAAiAAAAZHJzL2Rv&#10;d25yZXYueG1sUEsBAhQAFAAAAAgAh07iQIw3Evt3AgAA4QQAAA4AAAAAAAAAAQAgAAAAIwEAAGRy&#10;cy9lMm9Eb2MueG1sUEsFBgAAAAAGAAYAWQEAAAwGAAAAAA==&#10;">
                  <v:fill on="f" focussize="0,0"/>
                  <v:stroke weight="0.25pt" color="#000000 [3213]" miterlimit="8" joinstyle="miter"/>
                  <v:imagedata o:title=""/>
                  <o:lock v:ext="edit" aspectratio="f"/>
                  <v:textbo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清水池</w:t>
                        </w:r>
                      </w:p>
                    </w:txbxContent>
                  </v:textbox>
                </v:rect>
                <v:rect id="_x0000_s1026" o:spid="_x0000_s1026" o:spt="1" style="position:absolute;left:4108450;top:426085;height:427990;width:1125855;v-text-anchor:middle;" filled="f" stroked="f" coordsize="21600,21600" o:gfxdata="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jvAgDVAAAABQEAAA8AAAAAAAAAAQAgAAAAIgAAAGRycy9kb3ducmV2LnhtbFBL&#10;AQIUABQAAAAIAIdO4kA8cQH1awIAALkEAAAOAAAAAAAAAAEAIAAAACQBAABkcnMvZTJvRG9jLnht&#10;bFBLBQYAAAAABgAGAFkBAAABBgAAAAA=&#10;">
                  <v:fill on="f" focussize="0,0"/>
                  <v:stroke on="f" weight="0.25pt" miterlimit="8" joinstyle="miter"/>
                  <v:imagedata o:title=""/>
                  <o:lock v:ext="edit" aspectratio="f"/>
                  <v:textbo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场地洒水降尘</w:t>
                        </w:r>
                      </w:p>
                    </w:txbxContent>
                  </v:textbox>
                </v:rect>
                <v:shape id="_x0000_s1026" o:spid="_x0000_s1026" o:spt="32" type="#_x0000_t32" style="position:absolute;left:1430020;top:610870;flip:y;height:3810;width:468630;" filled="f" stroked="t" coordsize="21600,21600" o:gfxdata="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cFbVXTAAAABQEAAA8AAAAAAAAAAQAgAAAAIgAAAGRycy9k&#10;b3ducmV2LnhtbFBLAQIUABQAAAAIAIdO4kClYbXsQAIAAEsEAAAOAAAAAAAAAAEAIAAAACIBAABk&#10;cnMvZTJvRG9jLnhtbFBLBQYAAAAABgAGAFkBAADUBQAAAAA=&#10;">
                  <v:fill on="f" focussize="0,0"/>
                  <v:stroke weight="1pt" color="#000000 [3213]" miterlimit="8" joinstyle="miter" endarrow="block"/>
                  <v:imagedata o:title=""/>
                  <o:lock v:ext="edit" aspectratio="f"/>
                </v:shape>
                <v:shape id="_x0000_s1026" o:spid="_x0000_s1026" o:spt="32" type="#_x0000_t32" style="position:absolute;left:2576195;top:616585;flip:y;height:3810;width:468630;" filled="f" stroked="t" coordsize="21600,21600" o:gfxdata="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CcFbVXTAAAABQEAAA8AAAAAAAAAAQAgAAAAIgAAAGRycy9kb3ducmV2LnhtbFBLAQIU&#10;ABQAAAAIAIdO4kA3/RJeMQIAACUEAAAOAAAAAAAAAAEAIAAAACIBAABkcnMvZTJvRG9jLnhtbFBL&#10;BQYAAAAABgAGAFkBAADFBQAAAAA=&#10;">
                  <v:fill on="f" focussize="0,0"/>
                  <v:stroke weight="1pt" color="#000000 [3213]" miterlimit="8" joinstyle="miter" endarrow="block"/>
                  <v:imagedata o:title=""/>
                  <o:lock v:ext="edit" aspectratio="f"/>
                </v:shape>
                <v:shape id="_x0000_s1026" o:spid="_x0000_s1026" o:spt="32" type="#_x0000_t32" style="position:absolute;left:3679825;top:632460;flip:y;height:3810;width:468630;" filled="f" stroked="t" coordsize="21600,21600" o:gfxdata="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nBW1V0wAAAAUBAAAPAAAAAAAAAAEAIAAAACIAAABkcnMvZG93bnJldi54bWxQSwECFAAU&#10;AAAACACHTuJAl/FB9C8CAAAlBAAADgAAAAAAAAABACAAAAAiAQAAZHJzL2Uyb0RvYy54bWxQSwUG&#10;AAAAAAYABgBZAQAAwwUAAAAA&#10;">
                  <v:fill on="f" focussize="0,0"/>
                  <v:stroke weight="1pt" color="#000000 [3213]" miterlimit="8" joinstyle="miter" endarrow="block"/>
                  <v:imagedata o:title=""/>
                  <o:lock v:ext="edit" aspectratio="f"/>
                </v:shape>
                <v:shape id="_x0000_s1026" o:spid="_x0000_s1026" o:spt="32" type="#_x0000_t32" style="position:absolute;left:2036445;top:1021715;flip:y;height:3810;width:468630;rotation:-5898240f;" filled="f" stroked="t" coordsize="21600,21600" o:gfxdata="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5j4pTVAAAABQEAAA8AAAAAAAAAAQAgAAAAIgAAAGRycy9kb3ducmV2&#10;LnhtbFBLAQIUABQAAAAIAIdO4kDh81/0OAIAADMEAAAOAAAAAAAAAAEAIAAAACQBAABkcnMvZTJv&#10;RG9jLnhtbFBLBQYAAAAABgAGAFkBAADOBQAAAAA=&#10;">
                  <v:fill on="f" focussize="0,0"/>
                  <v:stroke weight="1pt" color="#000000 [3213]" miterlimit="8" joinstyle="miter" dashstyle="dash" endarrow="block"/>
                  <v:imagedata o:title=""/>
                  <o:lock v:ext="edit" aspectratio="f"/>
                </v:shape>
                <v:rect id="_x0000_s1026" o:spid="_x0000_s1026" o:spt="1" style="position:absolute;left:1862455;top:1259205;height:325120;width:1006475;v-text-anchor:middle;" filled="f" stroked="f" coordsize="21600,21600" o:gfxdata="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6O8CANUAAAAFAQAADwAAAAAAAAABACAAAAAiAAAAZHJzL2Rvd25yZXYueG1sUEsB&#10;AhQAFAAAAAgAh07iQCqp8+pqAgAAugQAAA4AAAAAAAAAAQAgAAAAJAEAAGRycy9lMm9Eb2MueG1s&#10;UEsFBgAAAAAGAAYAWQEAAAAGAAAAAA==&#10;">
                  <v:fill on="f" focussize="0,0"/>
                  <v:stroke on="f" weight="0.25pt" miterlimit="8" joinstyle="miter"/>
                  <v:imagedata o:title=""/>
                  <o:lock v:ext="edit" aspectratio="f"/>
                  <v:textbox>
                    <w:txbxContent>
                      <w:p>
                        <w:pPr>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泥沙、沉渣</w:t>
                        </w:r>
                      </w:p>
                    </w:txbxContent>
                  </v:textbox>
                </v:rect>
                <w10:wrap type="none"/>
                <w10:anchorlock/>
              </v:group>
            </w:pict>
          </mc:Fallback>
        </mc:AlternateContent>
      </w:r>
    </w:p>
    <w:p>
      <w:pPr>
        <w:autoSpaceDE/>
        <w:autoSpaceDN/>
        <w:jc w:val="center"/>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图5.1-1含油废水处理工艺流程图</w:t>
      </w:r>
    </w:p>
    <w:p>
      <w:pPr>
        <w:snapToGrid w:val="0"/>
        <w:spacing w:line="360" w:lineRule="auto"/>
        <w:ind w:firstLine="482" w:firstLineChars="200"/>
        <w:rPr>
          <w:rFonts w:cs="宋体"/>
          <w:b/>
          <w:bCs/>
          <w:color w:val="000000" w:themeColor="text1"/>
          <w:sz w:val="24"/>
          <w14:textFill>
            <w14:solidFill>
              <w14:schemeClr w14:val="tx1"/>
            </w14:solidFill>
          </w14:textFill>
        </w:rPr>
      </w:pPr>
      <w:r>
        <w:rPr>
          <w:rFonts w:hint="eastAsia" w:cs="宋体"/>
          <w:b/>
          <w:bCs/>
          <w:color w:val="000000" w:themeColor="text1"/>
          <w:sz w:val="24"/>
          <w14:textFill>
            <w14:solidFill>
              <w14:schemeClr w14:val="tx1"/>
            </w14:solidFill>
          </w14:textFill>
        </w:rPr>
        <w:t>3、混凝土养护废水</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混凝土浇筑后为提高混凝土质量，通常需进行养护，本项目使用清水养护，会产生少量的混凝土养护废水。</w:t>
      </w:r>
    </w:p>
    <w:p>
      <w:pPr>
        <w:adjustRightInd w:val="0"/>
        <w:snapToGrid w:val="0"/>
        <w:spacing w:line="360" w:lineRule="auto"/>
        <w:ind w:firstLine="482" w:firstLineChars="200"/>
        <w:jc w:val="both"/>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治理措施：</w:t>
      </w:r>
      <w:r>
        <w:rPr>
          <w:rFonts w:hint="eastAsia"/>
          <w:color w:val="000000" w:themeColor="text1"/>
          <w:sz w:val="24"/>
          <w:szCs w:val="24"/>
          <w14:textFill>
            <w14:solidFill>
              <w14:schemeClr w14:val="tx1"/>
            </w14:solidFill>
          </w14:textFill>
        </w:rPr>
        <w:t>由于产生的养护废水较少，产生后直接在地表蒸发，不会对周围地表水产生影响。</w:t>
      </w:r>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rFonts w:hint="eastAsia"/>
          <w:b/>
          <w:color w:val="000000" w:themeColor="text1"/>
          <w:sz w:val="24"/>
          <w:szCs w:val="24"/>
          <w14:textFill>
            <w14:solidFill>
              <w14:schemeClr w14:val="tx1"/>
            </w14:solidFill>
          </w14:textFill>
        </w:rPr>
        <w:t>4</w:t>
      </w:r>
      <w:r>
        <w:rPr>
          <w:b/>
          <w:color w:val="000000" w:themeColor="text1"/>
          <w:sz w:val="24"/>
          <w:szCs w:val="24"/>
          <w14:textFill>
            <w14:solidFill>
              <w14:schemeClr w14:val="tx1"/>
            </w14:solidFill>
          </w14:textFill>
        </w:rPr>
        <w:t>、基坑排水处理</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初期排水包括基坑积水、渗水和降水，经常性排水包括围堰和基坑的渗水、降水、地层含水、基岩冲洗及砼养护弃水等。</w:t>
      </w:r>
    </w:p>
    <w:p>
      <w:pPr>
        <w:adjustRightInd w:val="0"/>
        <w:snapToGrid w:val="0"/>
        <w:spacing w:line="360" w:lineRule="auto"/>
        <w:ind w:firstLine="482" w:firstLineChars="200"/>
        <w:jc w:val="both"/>
        <w:rPr>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治理措施：</w:t>
      </w:r>
      <w:r>
        <w:rPr>
          <w:color w:val="000000" w:themeColor="text1"/>
          <w:sz w:val="24"/>
          <w:szCs w:val="24"/>
          <w14:textFill>
            <w14:solidFill>
              <w14:schemeClr w14:val="tx1"/>
            </w14:solidFill>
          </w14:textFill>
        </w:rPr>
        <w:t>基坑初期排水质与</w:t>
      </w:r>
      <w:r>
        <w:rPr>
          <w:rFonts w:hint="eastAsia"/>
          <w:color w:val="000000" w:themeColor="text1"/>
          <w:sz w:val="24"/>
          <w:szCs w:val="24"/>
          <w14:textFill>
            <w14:solidFill>
              <w14:schemeClr w14:val="tx1"/>
            </w14:solidFill>
          </w14:textFill>
        </w:rPr>
        <w:t>渠道本来水质</w:t>
      </w:r>
      <w:r>
        <w:rPr>
          <w:color w:val="000000" w:themeColor="text1"/>
          <w:sz w:val="24"/>
          <w:szCs w:val="24"/>
          <w14:textFill>
            <w14:solidFill>
              <w14:schemeClr w14:val="tx1"/>
            </w14:solidFill>
          </w14:textFill>
        </w:rPr>
        <w:t>相当，在施工场地设置水泵抽出，对于基坑经常性排水，类比相关水利工程项目对基坑废水的处理经验，</w:t>
      </w:r>
      <w:r>
        <w:rPr>
          <w:rFonts w:hint="eastAsia"/>
          <w:color w:val="000000" w:themeColor="text1"/>
          <w:sz w:val="24"/>
          <w:szCs w:val="24"/>
          <w14:textFill>
            <w14:solidFill>
              <w14:schemeClr w14:val="tx1"/>
            </w14:solidFill>
          </w14:textFill>
        </w:rPr>
        <w:t>根据实际情况</w:t>
      </w:r>
      <w:r>
        <w:rPr>
          <w:color w:val="000000" w:themeColor="text1"/>
          <w:sz w:val="24"/>
          <w:szCs w:val="24"/>
          <w14:textFill>
            <w14:solidFill>
              <w14:schemeClr w14:val="tx1"/>
            </w14:solidFill>
          </w14:textFill>
        </w:rPr>
        <w:t>在施工场地布置排水干、支沟排水于沉淀池，经沉淀池沉淀后的基坑废水用于开挖区洒水降尘，</w:t>
      </w:r>
      <w:r>
        <w:rPr>
          <w:color w:val="000000" w:themeColor="text1"/>
          <w:kern w:val="0"/>
          <w:sz w:val="24"/>
          <w:szCs w:val="24"/>
          <w:lang w:val="zh-CN"/>
          <w14:textFill>
            <w14:solidFill>
              <w14:schemeClr w14:val="tx1"/>
            </w14:solidFill>
          </w14:textFill>
        </w:rPr>
        <w:t>多余水沉淀处理后就近排入地表水体，对周围地表水影响较小</w:t>
      </w:r>
      <w:r>
        <w:rPr>
          <w:color w:val="000000" w:themeColor="text1"/>
          <w:sz w:val="24"/>
          <w:szCs w:val="24"/>
          <w14:textFill>
            <w14:solidFill>
              <w14:schemeClr w14:val="tx1"/>
            </w14:solidFill>
          </w14:textFill>
        </w:rPr>
        <w:t>。</w:t>
      </w:r>
    </w:p>
    <w:p>
      <w:pPr>
        <w:adjustRightInd w:val="0"/>
        <w:snapToGrid w:val="0"/>
        <w:spacing w:line="360" w:lineRule="auto"/>
        <w:ind w:firstLine="482" w:firstLineChars="200"/>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可行性分析：</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施工期设置的临时沉淀池容积不大，防渗要求不高，仅为临时使用，造价不高，相比整个项目环保投资来看是可行的。施工期废水产生量不大，水质较简单，以SS为主，部分施工用水和洒水降尘用水对水质要求较低，通过设置临时沉淀池对废水进行处理后，回用施工及洒水降尘可行。基坑废水采用沉淀处理，沉淀处理后水质较好，可达标排放。淤泥余水采用沉淀处理工艺，该工艺针对悬浮物处理效果显著，出水水质较优。本报告认为项目施工期采取的废水治理措施可行。</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61" w:name="7.1.3施工噪声污染防治措施及可行性_"/>
      <w:bookmarkEnd w:id="561"/>
      <w:bookmarkStart w:id="562" w:name="_bookmark127"/>
      <w:bookmarkEnd w:id="562"/>
      <w:bookmarkStart w:id="563" w:name="_Toc755"/>
      <w:bookmarkStart w:id="564" w:name="_Toc13180"/>
      <w:bookmarkStart w:id="565" w:name="_Toc27271"/>
      <w:bookmarkStart w:id="566" w:name="_Toc70496327"/>
      <w:bookmarkStart w:id="567" w:name="_Toc11681"/>
      <w:bookmarkStart w:id="568" w:name="_Toc6428"/>
      <w:r>
        <w:rPr>
          <w:rFonts w:ascii="Times New Roman" w:hAnsi="Times New Roman" w:cs="Times New Roman"/>
          <w:color w:val="000000" w:themeColor="text1"/>
          <w14:textFill>
            <w14:solidFill>
              <w14:schemeClr w14:val="tx1"/>
            </w14:solidFill>
          </w14:textFill>
        </w:rPr>
        <w:t>5.1.3施工噪声污染防治措施及可行性</w:t>
      </w:r>
      <w:bookmarkEnd w:id="563"/>
      <w:bookmarkEnd w:id="564"/>
      <w:bookmarkEnd w:id="565"/>
      <w:bookmarkEnd w:id="566"/>
      <w:bookmarkEnd w:id="567"/>
      <w:bookmarkEnd w:id="568"/>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为了减轻施工期对周围环境的影响，施工单位应严格遵守《中华人民共和国环境噪声污染防治法》中关于建筑施工噪声污染防治的有关规定和GB12523-2011《建筑施工场界环境噪声排放标准》的要求，合理安排施工计划并采取较严格的施工管理措施，应做到：</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（1）施工单位要在施工准备时有施工组织设计，施工现场要制定环境保护措施，使各项作业有组织、有计划地进行，尽可能避免高噪声设备同时运作。</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2）选用效率高、噪声低的机械，禁止噪声超标的机械进场；对各种产生噪声和振动的机械设备应当采取消声防振措施，使其噪声和振动符合有关标准，并注意对机械的维护保养和正确操作，保证在良好的条件下使用，减少运行噪声。</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eastAsia="宋体" w:cs="Times New Roman"/>
          <w:color w:val="000000" w:themeColor="text1"/>
          <w14:textFill>
            <w14:solidFill>
              <w14:schemeClr w14:val="tx1"/>
            </w14:solidFill>
          </w14:textFill>
        </w:rPr>
        <w:t>（3）</w:t>
      </w:r>
      <w:r>
        <w:rPr>
          <w:rFonts w:hint="eastAsia"/>
          <w:color w:val="000000" w:themeColor="text1"/>
          <w:sz w:val="24"/>
          <w14:textFill>
            <w14:solidFill>
              <w14:schemeClr w14:val="tx1"/>
            </w14:solidFill>
          </w14:textFill>
        </w:rPr>
        <w:t>合理安排施工时间，制定施工计划避免大量高</w:t>
      </w:r>
      <w:r>
        <w:rPr>
          <w:rFonts w:hint="eastAsia" w:ascii="Times New Roman" w:hAnsi="Times New Roman" w:eastAsia="宋体" w:cs="Times New Roman"/>
          <w:color w:val="000000" w:themeColor="text1"/>
          <w:sz w:val="24"/>
          <w14:textFill>
            <w14:solidFill>
              <w14:schemeClr w14:val="tx1"/>
            </w14:solidFill>
          </w14:textFill>
        </w:rPr>
        <w:t>噪声设备同时运行。严格落实成都市住房和城乡建设局《关于进一步加强全市房屋建筑和市政基础设施工程项目夜间施工噪声管理的通知》（成住建发〔2020〕118号）要求。</w:t>
      </w:r>
      <w:r>
        <w:rPr>
          <w:rFonts w:ascii="Times New Roman" w:eastAsia="宋体" w:cs="Times New Roman"/>
          <w:color w:val="000000" w:themeColor="text1"/>
          <w14:textFill>
            <w14:solidFill>
              <w14:schemeClr w14:val="tx1"/>
            </w14:solidFill>
          </w14:textFill>
        </w:rPr>
        <w:t>在居民区附近施工时严格执行当地政府控制规定，特别是居民区，严禁在夜间（晚上10时至次日6时）、午休时间、中高考期间进行高噪声施工。若必须在夜间施工需向环保部门申请，批准后才能根据规定施工</w:t>
      </w:r>
      <w:r>
        <w:rPr>
          <w:rFonts w:hint="eastAsia" w:ascii="Times New Roman" w:eastAsia="宋体" w:cs="Times New Roman"/>
          <w:color w:val="000000" w:themeColor="text1"/>
          <w:lang w:eastAsia="zh-CN"/>
          <w14:textFill>
            <w14:solidFill>
              <w14:schemeClr w14:val="tx1"/>
            </w14:solidFill>
          </w14:textFill>
        </w:rPr>
        <w:t>，</w:t>
      </w:r>
      <w:r>
        <w:rPr>
          <w:rFonts w:ascii="Times New Roman" w:cs="Times New Roman"/>
          <w:color w:val="000000" w:themeColor="text1"/>
          <w14:textFill>
            <w14:solidFill>
              <w14:schemeClr w14:val="tx1"/>
            </w14:solidFill>
          </w14:textFill>
        </w:rPr>
        <w:t>并公告附近的居民。</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（4）应实现施工场地封闭化、围挡标准化，减少对周围环境的污染和影响。夯土机、吊车、空压机等高噪声机械在居民区较近的区域施工时，</w:t>
      </w:r>
      <w:r>
        <w:rPr>
          <w:rFonts w:hint="eastAsia" w:ascii="Times New Roman" w:cs="Times New Roman"/>
          <w:color w:val="000000" w:themeColor="text1"/>
          <w:lang w:val="en-US" w:eastAsia="zh-CN"/>
          <w14:textFill>
            <w14:solidFill>
              <w14:schemeClr w14:val="tx1"/>
            </w14:solidFill>
          </w14:textFill>
        </w:rPr>
        <w:t>采用</w:t>
      </w:r>
      <w:r>
        <w:rPr>
          <w:rFonts w:ascii="Times New Roman" w:cs="Times New Roman"/>
          <w:color w:val="000000" w:themeColor="text1"/>
          <w14:textFill>
            <w14:solidFill>
              <w14:schemeClr w14:val="tx1"/>
            </w14:solidFill>
          </w14:textFill>
        </w:rPr>
        <w:t>围挡板与居民区隔离，阻隔噪声传播。</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加强施工机械的维护管理工作，使设备正常平稳运转，避免设备非正常工况产生的高噪声污染；安排人工轮流进行机械操作，减少接触高噪声的时间；对在声源附近工作时间较长的工人，发放防声耳塞、头盔等，对工人进行自身保护。</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w:t>
      </w:r>
      <w:r>
        <w:rPr>
          <w:rFonts w:hint="eastAsia" w:ascii="Times New Roman" w:hAnsi="Times New Roman" w:eastAsia="宋体" w:cs="Times New Roman"/>
          <w:color w:val="000000" w:themeColor="text1"/>
          <w:sz w:val="24"/>
          <w14:textFill>
            <w14:solidFill>
              <w14:schemeClr w14:val="tx1"/>
            </w14:solidFill>
          </w14:textFill>
        </w:rPr>
        <w:t>建设单位应加强与周围居民沟通</w:t>
      </w:r>
      <w:r>
        <w:rPr>
          <w:rFonts w:hint="eastAsia" w:ascii="Times New Roman" w:hAnsi="Times New Roman" w:eastAsia="宋体" w:cs="Times New Roman"/>
          <w:color w:val="000000" w:themeColor="text1"/>
          <w:sz w:val="24"/>
          <w:lang w:eastAsia="zh-CN"/>
          <w14:textFill>
            <w14:solidFill>
              <w14:schemeClr w14:val="tx1"/>
            </w14:solidFill>
          </w14:textFill>
        </w:rPr>
        <w:t>，</w:t>
      </w:r>
      <w:r>
        <w:rPr>
          <w:color w:val="000000" w:themeColor="text1"/>
          <w:sz w:val="24"/>
          <w:szCs w:val="24"/>
          <w14:textFill>
            <w14:solidFill>
              <w14:schemeClr w14:val="tx1"/>
            </w14:solidFill>
          </w14:textFill>
        </w:rPr>
        <w:t>施工单位应处理好与施工场界周围群众的关系，避免因噪声污染引发纠纷，影响社会稳定。</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（7）</w:t>
      </w:r>
      <w:r>
        <w:rPr>
          <w:rFonts w:hint="eastAsia" w:ascii="Times New Roman" w:hAnsi="Times New Roman" w:eastAsia="宋体" w:cs="Times New Roman"/>
          <w:color w:val="000000" w:themeColor="text1"/>
          <w:sz w:val="24"/>
          <w14:textFill>
            <w14:solidFill>
              <w14:schemeClr w14:val="tx1"/>
            </w14:solidFill>
          </w14:textFill>
        </w:rPr>
        <w:t>合理布置施工总平及安排车辆运输路线和运输时间，靠近周围居民点时减速慢行、禁止鸣笛</w:t>
      </w:r>
      <w:r>
        <w:rPr>
          <w:rFonts w:hint="eastAsia"/>
          <w:color w:val="000000" w:themeColor="text1"/>
          <w:sz w:val="24"/>
          <w14:textFill>
            <w14:solidFill>
              <w14:schemeClr w14:val="tx1"/>
            </w14:solidFill>
          </w14:textFill>
        </w:rPr>
        <w:t>。</w:t>
      </w:r>
      <w:r>
        <w:rPr>
          <w:rFonts w:hint="eastAsia"/>
          <w:color w:val="000000" w:themeColor="text1"/>
          <w:sz w:val="24"/>
          <w:szCs w:val="24"/>
          <w14:textFill>
            <w14:solidFill>
              <w14:schemeClr w14:val="tx1"/>
            </w14:solidFill>
          </w14:textFill>
        </w:rPr>
        <w:t>针对北支一渠临近</w:t>
      </w:r>
      <w:r>
        <w:rPr>
          <w:rFonts w:hint="eastAsia"/>
          <w:color w:val="000000" w:themeColor="text1"/>
          <w:sz w:val="24"/>
          <w:szCs w:val="24"/>
          <w:lang w:val="en-US" w:eastAsia="zh-CN"/>
          <w14:textFill>
            <w14:solidFill>
              <w14:schemeClr w14:val="tx1"/>
            </w14:solidFill>
          </w14:textFill>
        </w:rPr>
        <w:t>保利湖心岛</w:t>
      </w:r>
      <w:r>
        <w:rPr>
          <w:rFonts w:hint="eastAsia"/>
          <w:color w:val="000000" w:themeColor="text1"/>
          <w:sz w:val="24"/>
          <w:szCs w:val="24"/>
          <w14:textFill>
            <w14:solidFill>
              <w14:schemeClr w14:val="tx1"/>
            </w14:solidFill>
          </w14:textFill>
        </w:rPr>
        <w:t>居民侧，设置2.</w:t>
      </w:r>
      <w:r>
        <w:rPr>
          <w:rFonts w:hint="eastAsia"/>
          <w:color w:val="000000" w:themeColor="text1"/>
          <w:sz w:val="24"/>
          <w:szCs w:val="24"/>
          <w:lang w:val="en-US" w:eastAsia="zh-CN"/>
          <w14:textFill>
            <w14:solidFill>
              <w14:schemeClr w14:val="tx1"/>
            </w14:solidFill>
          </w14:textFill>
        </w:rPr>
        <w:t>0</w:t>
      </w:r>
      <w:r>
        <w:rPr>
          <w:rFonts w:hint="eastAsia"/>
          <w:color w:val="000000" w:themeColor="text1"/>
          <w:sz w:val="24"/>
          <w:szCs w:val="24"/>
          <w14:textFill>
            <w14:solidFill>
              <w14:schemeClr w14:val="tx1"/>
            </w14:solidFill>
          </w14:textFill>
        </w:rPr>
        <w:t>m高</w:t>
      </w:r>
      <w:r>
        <w:rPr>
          <w:rFonts w:hint="eastAsia"/>
          <w:color w:val="000000" w:themeColor="text1"/>
          <w:sz w:val="24"/>
          <w:szCs w:val="24"/>
          <w:lang w:val="en-US" w:eastAsia="zh-CN"/>
          <w14:textFill>
            <w14:solidFill>
              <w14:schemeClr w14:val="tx1"/>
            </w14:solidFill>
          </w14:textFill>
        </w:rPr>
        <w:t>临时声屏障</w:t>
      </w:r>
      <w:r>
        <w:rPr>
          <w:rFonts w:hint="eastAsia"/>
          <w:color w:val="000000" w:themeColor="text1"/>
          <w:sz w:val="24"/>
          <w:szCs w:val="24"/>
          <w14:textFill>
            <w14:solidFill>
              <w14:schemeClr w14:val="tx1"/>
            </w14:solidFill>
          </w14:textFill>
        </w:rPr>
        <w:t>，并将高噪声施工设备远离敏感点布置，阻隔噪声传播。</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（8）南五、南六支渠位于龙泉花果山内部分，应避开游客施工，并在临近游客通道处设置2.5m高围挡，减少噪声排放。</w:t>
      </w:r>
    </w:p>
    <w:p>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可行性分析：</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上述施工期噪声减缓措施基本为管理措施，施工期间建设单位加强施工管理则可达到减缓施工期噪声影响的目的。根据对施工现场调查及预测，采取措施后，施工各阶段的场界噪声符合《建筑施工场界环境噪声排放标准》（GB12523-2011）中的规定。</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综上所述，本评价提出的施工期噪声减缓措施可行。</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69" w:name="_bookmark128"/>
      <w:bookmarkEnd w:id="569"/>
      <w:bookmarkStart w:id="570" w:name="7.1.4施工固体废物的污染防治措施及可行性_"/>
      <w:bookmarkEnd w:id="570"/>
      <w:bookmarkStart w:id="571" w:name="_Toc30158"/>
      <w:bookmarkStart w:id="572" w:name="_Toc6108"/>
      <w:bookmarkStart w:id="573" w:name="_Toc70496328"/>
      <w:bookmarkStart w:id="574" w:name="_Toc23822"/>
      <w:bookmarkStart w:id="575" w:name="_Toc17701"/>
      <w:bookmarkStart w:id="576" w:name="_Toc14597"/>
      <w:r>
        <w:rPr>
          <w:rFonts w:ascii="Times New Roman" w:hAnsi="Times New Roman" w:cs="Times New Roman"/>
          <w:color w:val="000000" w:themeColor="text1"/>
          <w14:textFill>
            <w14:solidFill>
              <w14:schemeClr w14:val="tx1"/>
            </w14:solidFill>
          </w14:textFill>
        </w:rPr>
        <w:t>5.1.4施工固体废物的污染防治措施及可行性</w:t>
      </w:r>
      <w:bookmarkEnd w:id="571"/>
      <w:bookmarkEnd w:id="572"/>
      <w:bookmarkEnd w:id="573"/>
      <w:bookmarkEnd w:id="574"/>
      <w:bookmarkEnd w:id="575"/>
      <w:bookmarkEnd w:id="576"/>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1、建筑</w:t>
      </w:r>
      <w:r>
        <w:rPr>
          <w:b/>
          <w:color w:val="000000" w:themeColor="text1"/>
          <w:kern w:val="0"/>
          <w:sz w:val="24"/>
          <w:szCs w:val="20"/>
          <w14:textFill>
            <w14:solidFill>
              <w14:schemeClr w14:val="tx1"/>
            </w14:solidFill>
          </w14:textFill>
        </w:rPr>
        <w:t>垃圾</w:t>
      </w:r>
    </w:p>
    <w:p>
      <w:pPr>
        <w:snapToGrid w:val="0"/>
        <w:spacing w:line="360" w:lineRule="auto"/>
        <w:ind w:firstLine="480" w:firstLineChars="200"/>
        <w:rPr>
          <w:color w:val="000000" w:themeColor="text1"/>
          <w:kern w:val="0"/>
          <w:sz w:val="24"/>
          <w:szCs w:val="20"/>
          <w14:textFill>
            <w14:solidFill>
              <w14:schemeClr w14:val="tx1"/>
            </w14:solidFill>
          </w14:textFill>
        </w:rPr>
      </w:pPr>
      <w:r>
        <w:rPr>
          <w:rFonts w:hint="eastAsia"/>
          <w:color w:val="000000" w:themeColor="text1"/>
          <w:kern w:val="0"/>
          <w:sz w:val="24"/>
          <w:szCs w:val="20"/>
          <w14:textFill>
            <w14:solidFill>
              <w14:schemeClr w14:val="tx1"/>
            </w14:solidFill>
          </w14:textFill>
        </w:rPr>
        <w:t>本项目在施工的过程中产的工程建筑垃圾主要是对破损渠系建筑物破碎产生的混凝土废料、拆除的废旧闸门等。施工产生的废料首先考虑废料的回收利用，对拆除的设备、钢筋、钢板、木材等下角料可分类回收，送废品回收站，</w:t>
      </w:r>
      <w:r>
        <w:rPr>
          <w:color w:val="000000" w:themeColor="text1"/>
          <w:kern w:val="0"/>
          <w:sz w:val="24"/>
          <w:szCs w:val="20"/>
          <w14:textFill>
            <w14:solidFill>
              <w14:schemeClr w14:val="tx1"/>
            </w14:solidFill>
          </w14:textFill>
        </w:rPr>
        <w:t>不能利用的</w:t>
      </w:r>
      <w:r>
        <w:rPr>
          <w:rFonts w:hint="eastAsia"/>
          <w:color w:val="000000" w:themeColor="text1"/>
          <w:kern w:val="0"/>
          <w:sz w:val="24"/>
          <w:szCs w:val="20"/>
          <w14:textFill>
            <w14:solidFill>
              <w14:schemeClr w14:val="tx1"/>
            </w14:solidFill>
          </w14:textFill>
        </w:rPr>
        <w:t>砖、石、砂等</w:t>
      </w:r>
      <w:r>
        <w:rPr>
          <w:color w:val="000000" w:themeColor="text1"/>
          <w:kern w:val="0"/>
          <w:sz w:val="24"/>
          <w:szCs w:val="20"/>
          <w14:textFill>
            <w14:solidFill>
              <w14:schemeClr w14:val="tx1"/>
            </w14:solidFill>
          </w14:textFill>
        </w:rPr>
        <w:t>集中堆置，</w:t>
      </w:r>
      <w:r>
        <w:rPr>
          <w:rFonts w:hint="eastAsia" w:ascii="Times New Roman" w:hAnsi="Times New Roman" w:eastAsia="宋体" w:cs="Times New Roman"/>
          <w:color w:val="000000" w:themeColor="text1"/>
          <w:kern w:val="0"/>
          <w:sz w:val="24"/>
          <w:lang w:val="zh-CN"/>
          <w14:textFill>
            <w14:solidFill>
              <w14:schemeClr w14:val="tx1"/>
            </w14:solidFill>
          </w14:textFill>
        </w:rPr>
        <w:t>不能综合利用的建筑垃圾运至政府指定建筑垃圾堆放场处置</w:t>
      </w:r>
      <w:r>
        <w:rPr>
          <w:color w:val="000000" w:themeColor="text1"/>
          <w:kern w:val="0"/>
          <w:sz w:val="24"/>
          <w:szCs w:val="20"/>
          <w14:textFill>
            <w14:solidFill>
              <w14:schemeClr w14:val="tx1"/>
            </w14:solidFill>
          </w14:textFill>
        </w:rPr>
        <w:t>。</w:t>
      </w:r>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2、</w:t>
      </w:r>
      <w:r>
        <w:rPr>
          <w:b/>
          <w:color w:val="000000" w:themeColor="text1"/>
          <w:kern w:val="0"/>
          <w:sz w:val="24"/>
          <w:szCs w:val="20"/>
          <w14:textFill>
            <w14:solidFill>
              <w14:schemeClr w14:val="tx1"/>
            </w14:solidFill>
          </w14:textFill>
        </w:rPr>
        <w:t>土石方、淤泥</w:t>
      </w:r>
      <w:r>
        <w:rPr>
          <w:rFonts w:hint="eastAsia"/>
          <w:b/>
          <w:color w:val="000000" w:themeColor="text1"/>
          <w:kern w:val="0"/>
          <w:sz w:val="24"/>
          <w:szCs w:val="20"/>
          <w14:textFill>
            <w14:solidFill>
              <w14:schemeClr w14:val="tx1"/>
            </w14:solidFill>
          </w14:textFill>
        </w:rPr>
        <w:t>、沉淀池沉渣</w:t>
      </w:r>
    </w:p>
    <w:p>
      <w:pPr>
        <w:adjustRightInd w:val="0"/>
        <w:snapToGrid w:val="0"/>
        <w:spacing w:line="360" w:lineRule="auto"/>
        <w:ind w:firstLine="480" w:firstLineChars="200"/>
        <w:rPr>
          <w:rFonts w:hint="eastAsia"/>
          <w:color w:val="000000" w:themeColor="text1"/>
          <w:sz w:val="24"/>
          <w:lang w:val="zh-CN"/>
          <w14:textFill>
            <w14:solidFill>
              <w14:schemeClr w14:val="tx1"/>
            </w14:solidFill>
          </w14:textFill>
        </w:rPr>
      </w:pPr>
      <w:r>
        <w:rPr>
          <w:rFonts w:hint="eastAsia"/>
          <w:color w:val="000000" w:themeColor="text1"/>
          <w:sz w:val="24"/>
          <w:szCs w:val="24"/>
          <w14:textFill>
            <w14:solidFill>
              <w14:schemeClr w14:val="tx1"/>
            </w14:solidFill>
          </w14:textFill>
        </w:rPr>
        <w:t>本项目弃</w:t>
      </w:r>
      <w:r>
        <w:rPr>
          <w:color w:val="000000" w:themeColor="text1"/>
          <w:sz w:val="24"/>
          <w:szCs w:val="24"/>
          <w14:textFill>
            <w14:solidFill>
              <w14:schemeClr w14:val="tx1"/>
            </w14:solidFill>
          </w14:textFill>
        </w:rPr>
        <w:t>方</w:t>
      </w:r>
      <w:r>
        <w:rPr>
          <w:rFonts w:hint="eastAsia"/>
          <w:color w:val="000000" w:themeColor="text1"/>
          <w:sz w:val="24"/>
          <w:szCs w:val="24"/>
          <w14:textFill>
            <w14:solidFill>
              <w14:schemeClr w14:val="tx1"/>
            </w14:solidFill>
          </w14:textFill>
        </w:rPr>
        <w:t>2.45</w:t>
      </w:r>
      <w:r>
        <w:rPr>
          <w:color w:val="000000" w:themeColor="text1"/>
          <w:sz w:val="24"/>
          <w:szCs w:val="24"/>
          <w14:textFill>
            <w14:solidFill>
              <w14:schemeClr w14:val="tx1"/>
            </w14:solidFill>
          </w14:textFill>
        </w:rPr>
        <w:t>万m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，余方主要为灌排渠道工程开挖土石方</w:t>
      </w:r>
      <w:r>
        <w:rPr>
          <w:rFonts w:hint="eastAsia"/>
          <w:color w:val="000000" w:themeColor="text1"/>
          <w:sz w:val="24"/>
          <w:szCs w:val="24"/>
          <w14:textFill>
            <w14:solidFill>
              <w14:schemeClr w14:val="tx1"/>
            </w14:solidFill>
          </w14:textFill>
        </w:rPr>
        <w:t>。</w:t>
      </w:r>
      <w:r>
        <w:rPr>
          <w:rFonts w:hint="eastAsia" w:eastAsia="宋"/>
          <w:color w:val="000000" w:themeColor="text1"/>
          <w:sz w:val="24"/>
          <w14:textFill>
            <w14:solidFill>
              <w14:schemeClr w14:val="tx1"/>
            </w14:solidFill>
          </w14:textFill>
        </w:rPr>
        <w:t>工程施工前剥离的表土在施工结束后用于渠道施工现场、临时占地区域的表土回填。</w:t>
      </w: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在</w:t>
      </w:r>
      <w:r>
        <w:rPr>
          <w:rFonts w:hint="eastAsia" w:ascii="Times New Roman" w:hAnsi="Times New Roman" w:eastAsia="宋体" w:cs="Times New Roman"/>
          <w:color w:val="000000" w:themeColor="text1"/>
          <w:kern w:val="0"/>
          <w:sz w:val="24"/>
          <w:szCs w:val="20"/>
          <w:lang w:val="zh-CN" w:eastAsia="zh-Hans"/>
          <w14:textFill>
            <w14:solidFill>
              <w14:schemeClr w14:val="tx1"/>
            </w14:solidFill>
          </w14:textFill>
        </w:rPr>
        <w:t>施工场地剥离的</w:t>
      </w:r>
      <w:r>
        <w:rPr>
          <w:rFonts w:hint="eastAsia" w:ascii="Times New Roman" w:hAnsi="Times New Roman" w:eastAsia="宋体" w:cs="Times New Roman"/>
          <w:color w:val="000000" w:themeColor="text1"/>
          <w:kern w:val="0"/>
          <w:sz w:val="24"/>
          <w:szCs w:val="20"/>
          <w:lang w:val="zh-CN" w:eastAsia="zh-CN"/>
          <w14:textFill>
            <w14:solidFill>
              <w14:schemeClr w14:val="tx1"/>
            </w14:solidFill>
          </w14:textFill>
        </w:rPr>
        <w:t>表土</w:t>
      </w: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用于渠道施工现场、临时占地区域的复耕、植被恢复。围堰拆除的砂卵石、土石方均用于填筑堤脚回填。</w:t>
      </w:r>
      <w:r>
        <w:rPr>
          <w:rFonts w:hint="eastAsia"/>
          <w:color w:val="000000" w:themeColor="text1"/>
          <w:sz w:val="24"/>
          <w14:textFill>
            <w14:solidFill>
              <w14:schemeClr w14:val="tx1"/>
            </w14:solidFill>
          </w14:textFill>
        </w:rPr>
        <w:t>淤泥主要以泥沙淤积为主，</w:t>
      </w:r>
      <w:r>
        <w:rPr>
          <w:rFonts w:hint="eastAsia" w:eastAsia="宋"/>
          <w:color w:val="000000" w:themeColor="text1"/>
          <w:sz w:val="24"/>
          <w14:textFill>
            <w14:solidFill>
              <w14:schemeClr w14:val="tx1"/>
            </w14:solidFill>
          </w14:textFill>
        </w:rPr>
        <w:t>同开挖土石余方一起，</w:t>
      </w:r>
      <w:r>
        <w:rPr>
          <w:rFonts w:hint="eastAsia"/>
          <w:color w:val="000000" w:themeColor="text1"/>
          <w:sz w:val="24"/>
          <w:lang w:val="zh-CN"/>
          <w14:textFill>
            <w14:solidFill>
              <w14:schemeClr w14:val="tx1"/>
            </w14:solidFill>
          </w14:textFill>
        </w:rPr>
        <w:t>全部运至</w:t>
      </w:r>
      <w:r>
        <w:rPr>
          <w:rFonts w:hint="eastAsia"/>
          <w:color w:val="000000" w:themeColor="text1"/>
          <w:sz w:val="24"/>
          <w14:textFill>
            <w14:solidFill>
              <w14:schemeClr w14:val="tx1"/>
            </w14:solidFill>
          </w14:textFill>
        </w:rPr>
        <w:t>指定弃土消纳场（临时堆土场）暂存，之后</w:t>
      </w:r>
      <w:r>
        <w:rPr>
          <w:rFonts w:hint="eastAsia"/>
          <w:color w:val="000000" w:themeColor="text1"/>
          <w:sz w:val="24"/>
          <w:lang w:val="zh-CN"/>
          <w14:textFill>
            <w14:solidFill>
              <w14:schemeClr w14:val="tx1"/>
            </w14:solidFill>
          </w14:textFill>
        </w:rPr>
        <w:t>运往临时堆土区用作成都市环城生态区农田综合整治及农业灌区设施建设项目农</w:t>
      </w:r>
      <w:r>
        <w:rPr>
          <w:rFonts w:hint="eastAsia"/>
          <w:color w:val="000000" w:themeColor="text1"/>
          <w:sz w:val="24"/>
          <w:lang w:val="en-US" w:eastAsia="zh-CN"/>
          <w14:textFill>
            <w14:solidFill>
              <w14:schemeClr w14:val="tx1"/>
            </w14:solidFill>
          </w14:textFill>
        </w:rPr>
        <w:t>综合利用</w:t>
      </w:r>
      <w:r>
        <w:rPr>
          <w:rFonts w:hint="eastAsia"/>
          <w:color w:val="000000" w:themeColor="text1"/>
          <w:sz w:val="24"/>
          <w:lang w:val="zh-CN"/>
          <w14:textFill>
            <w14:solidFill>
              <w14:schemeClr w14:val="tx1"/>
            </w14:solidFill>
          </w14:textFill>
        </w:rPr>
        <w:t>，或者运至</w:t>
      </w:r>
      <w:r>
        <w:rPr>
          <w:rFonts w:hint="eastAsia"/>
          <w:color w:val="000000" w:themeColor="text1"/>
          <w:sz w:val="24"/>
          <w:lang w:val="en-US" w:eastAsia="zh-CN"/>
          <w14:textFill>
            <w14:solidFill>
              <w14:schemeClr w14:val="tx1"/>
            </w14:solidFill>
          </w14:textFill>
        </w:rPr>
        <w:t>余土摊平处理区回填</w:t>
      </w:r>
      <w:r>
        <w:rPr>
          <w:rFonts w:hint="eastAsia"/>
          <w:color w:val="000000" w:themeColor="text1"/>
          <w:sz w:val="24"/>
          <w:lang w:val="zh-CN"/>
          <w14:textFill>
            <w14:solidFill>
              <w14:schemeClr w14:val="tx1"/>
            </w14:solidFill>
          </w14:textFill>
        </w:rPr>
        <w:t>利用。</w:t>
      </w:r>
    </w:p>
    <w:p>
      <w:pPr>
        <w:adjustRightInd w:val="0"/>
        <w:snapToGrid w:val="0"/>
        <w:spacing w:line="360" w:lineRule="auto"/>
        <w:ind w:firstLine="482" w:firstLineChars="200"/>
        <w:rPr>
          <w:rFonts w:hint="eastAsia"/>
          <w:b/>
          <w:bCs/>
          <w:color w:val="000000" w:themeColor="text1"/>
          <w:kern w:val="0"/>
          <w:sz w:val="24"/>
          <w:szCs w:val="20"/>
          <w:lang w:val="en-US" w:eastAsia="zh-CN"/>
          <w14:textFill>
            <w14:solidFill>
              <w14:schemeClr w14:val="tx1"/>
            </w14:solidFill>
          </w14:textFill>
        </w:rPr>
      </w:pPr>
      <w:r>
        <w:rPr>
          <w:rFonts w:hint="eastAsia"/>
          <w:b/>
          <w:bCs/>
          <w:color w:val="000000" w:themeColor="text1"/>
          <w:kern w:val="0"/>
          <w:sz w:val="24"/>
          <w:szCs w:val="20"/>
          <w:lang w:val="en-US" w:eastAsia="zh-CN"/>
          <w14:textFill>
            <w14:solidFill>
              <w14:schemeClr w14:val="tx1"/>
            </w14:solidFill>
          </w14:textFill>
        </w:rPr>
        <w:t>淤泥处置合理性分析：</w:t>
      </w:r>
    </w:p>
    <w:p>
      <w:pPr>
        <w:adjustRightInd w:val="0"/>
        <w:snapToGrid w:val="0"/>
        <w:spacing w:line="360" w:lineRule="auto"/>
        <w:ind w:firstLine="480" w:firstLineChars="200"/>
        <w:rPr>
          <w:rFonts w:hint="eastAsia" w:eastAsia="宋"/>
          <w:color w:val="000000" w:themeColor="text1"/>
          <w:sz w:val="24"/>
          <w:lang w:val="en-US" w:eastAsia="zh-CN"/>
          <w14:textFill>
            <w14:solidFill>
              <w14:schemeClr w14:val="tx1"/>
            </w14:solidFill>
          </w14:textFill>
        </w:rPr>
      </w:pPr>
      <w:r>
        <w:rPr>
          <w:rFonts w:hint="eastAsia"/>
          <w:color w:val="000000" w:themeColor="text1"/>
          <w:kern w:val="0"/>
          <w:sz w:val="24"/>
          <w:szCs w:val="20"/>
          <w14:textFill>
            <w14:solidFill>
              <w14:schemeClr w14:val="tx1"/>
            </w14:solidFill>
          </w14:textFill>
        </w:rPr>
        <w:t>本</w:t>
      </w:r>
      <w:r>
        <w:rPr>
          <w:rFonts w:hint="eastAsia" w:eastAsia="宋体"/>
          <w:color w:val="000000" w:themeColor="text1"/>
          <w:kern w:val="0"/>
          <w:sz w:val="24"/>
          <w:szCs w:val="20"/>
          <w14:textFill>
            <w14:solidFill>
              <w14:schemeClr w14:val="tx1"/>
            </w14:solidFill>
          </w14:textFill>
        </w:rPr>
        <w:t>项目</w:t>
      </w:r>
      <w:r>
        <w:rPr>
          <w:rFonts w:hint="eastAsia" w:eastAsia="宋体"/>
          <w:color w:val="000000" w:themeColor="text1"/>
          <w:kern w:val="0"/>
          <w:sz w:val="24"/>
          <w:szCs w:val="20"/>
          <w:lang w:val="en-US" w:eastAsia="zh-CN"/>
          <w14:textFill>
            <w14:solidFill>
              <w14:schemeClr w14:val="tx1"/>
            </w14:solidFill>
          </w14:textFill>
        </w:rPr>
        <w:t>渠道为</w:t>
      </w:r>
      <w:r>
        <w:rPr>
          <w:rFonts w:hint="eastAsia" w:eastAsia="宋体"/>
          <w:color w:val="000000" w:themeColor="text1"/>
          <w:kern w:val="0"/>
          <w:sz w:val="24"/>
          <w:szCs w:val="20"/>
          <w14:textFill>
            <w14:solidFill>
              <w14:schemeClr w14:val="tx1"/>
            </w14:solidFill>
          </w14:textFill>
        </w:rPr>
        <w:t>排涝、灌溉</w:t>
      </w:r>
      <w:r>
        <w:rPr>
          <w:rFonts w:hint="eastAsia" w:eastAsia="宋体"/>
          <w:color w:val="000000" w:themeColor="text1"/>
          <w:kern w:val="0"/>
          <w:sz w:val="24"/>
          <w:szCs w:val="20"/>
          <w:lang w:val="en-US" w:eastAsia="zh-CN"/>
          <w14:textFill>
            <w14:solidFill>
              <w14:schemeClr w14:val="tx1"/>
            </w14:solidFill>
          </w14:textFill>
        </w:rPr>
        <w:t>渠，不涉及行洪。</w:t>
      </w:r>
      <w:r>
        <w:rPr>
          <w:rFonts w:hint="eastAsia" w:eastAsia="宋体"/>
          <w:color w:val="000000" w:themeColor="text1"/>
          <w:kern w:val="0"/>
          <w:sz w:val="24"/>
          <w:szCs w:val="20"/>
          <w14:textFill>
            <w14:solidFill>
              <w14:schemeClr w14:val="tx1"/>
            </w14:solidFill>
          </w14:textFill>
        </w:rPr>
        <w:t>清淤时间段避开灌溉期，</w:t>
      </w:r>
      <w:r>
        <w:rPr>
          <w:rFonts w:hint="eastAsia" w:eastAsia="宋体"/>
          <w:color w:val="000000" w:themeColor="text1"/>
          <w:kern w:val="0"/>
          <w:sz w:val="24"/>
          <w:szCs w:val="20"/>
          <w:lang w:val="en-US" w:eastAsia="zh-CN"/>
          <w14:textFill>
            <w14:solidFill>
              <w14:schemeClr w14:val="tx1"/>
            </w14:solidFill>
          </w14:textFill>
        </w:rPr>
        <w:t>并在渠道上游进行闸门断水。渠道</w:t>
      </w:r>
      <w:r>
        <w:rPr>
          <w:rFonts w:hint="eastAsia" w:eastAsia="宋体"/>
          <w:color w:val="000000" w:themeColor="text1"/>
          <w:kern w:val="0"/>
          <w:sz w:val="24"/>
          <w:szCs w:val="20"/>
          <w14:textFill>
            <w14:solidFill>
              <w14:schemeClr w14:val="tx1"/>
            </w14:solidFill>
          </w14:textFill>
        </w:rPr>
        <w:t>淤泥</w:t>
      </w:r>
      <w:r>
        <w:rPr>
          <w:rFonts w:hint="eastAsia" w:eastAsia="宋体"/>
          <w:color w:val="000000" w:themeColor="text1"/>
          <w:kern w:val="0"/>
          <w:sz w:val="24"/>
          <w:szCs w:val="20"/>
          <w:lang w:val="en-US" w:eastAsia="zh-CN"/>
          <w14:textFill>
            <w14:solidFill>
              <w14:schemeClr w14:val="tx1"/>
            </w14:solidFill>
          </w14:textFill>
        </w:rPr>
        <w:t>主要</w:t>
      </w:r>
      <w:r>
        <w:rPr>
          <w:rFonts w:hint="eastAsia"/>
          <w:color w:val="000000" w:themeColor="text1"/>
          <w:kern w:val="0"/>
          <w:sz w:val="24"/>
          <w:szCs w:val="20"/>
          <w14:textFill>
            <w14:solidFill>
              <w14:schemeClr w14:val="tx1"/>
            </w14:solidFill>
          </w14:textFill>
        </w:rPr>
        <w:t>来自渠道底</w:t>
      </w: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部，以周边农田、耕地掉落</w:t>
      </w:r>
      <w:r>
        <w:rPr>
          <w:rFonts w:hint="eastAsia" w:eastAsia="宋体"/>
          <w:color w:val="000000" w:themeColor="text1"/>
          <w:kern w:val="0"/>
          <w:sz w:val="24"/>
          <w:szCs w:val="20"/>
          <w:lang w:val="en-US" w:eastAsia="zh-CN"/>
          <w14:textFill>
            <w14:solidFill>
              <w14:schemeClr w14:val="tx1"/>
            </w14:solidFill>
          </w14:textFill>
        </w:rPr>
        <w:t>的土壤、泥沙为主；根据四川卡夫检测技术有限公司于2024年3月12日对本项目渠道底泥</w:t>
      </w: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的检测结果可知，渠道底泥中重金属监测结果满足《土壤环境质量农用地土壤污染风险管控标准（试行）》（GB15618-2018）表1农用地土壤污染风险筛选值（pH＞7.5）中“其他”要求，底泥不存在重金属污染；故，渠底底泥</w:t>
      </w:r>
      <w:r>
        <w:rPr>
          <w:rFonts w:hint="eastAsia" w:eastAsia="宋体" w:cs="Times New Roman"/>
          <w:color w:val="000000" w:themeColor="text1"/>
          <w:kern w:val="0"/>
          <w:sz w:val="24"/>
          <w:szCs w:val="20"/>
          <w:lang w:val="en-US" w:eastAsia="zh-CN"/>
          <w14:textFill>
            <w14:solidFill>
              <w14:schemeClr w14:val="tx1"/>
            </w14:solidFill>
          </w14:textFill>
        </w:rPr>
        <w:t>可同</w:t>
      </w: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开挖土石一起处置。沉淀池沉渣主要是泥沙等杂质，计入淤泥处置。渠道断水期间，对渠道内淤泥进行翻晒</w:t>
      </w:r>
      <w:r>
        <w:rPr>
          <w:rFonts w:hint="eastAsia"/>
          <w:color w:val="000000" w:themeColor="text1"/>
          <w:kern w:val="0"/>
          <w:sz w:val="24"/>
          <w:szCs w:val="20"/>
          <w:lang w:val="en-US" w:eastAsia="zh-CN"/>
          <w14:textFill>
            <w14:solidFill>
              <w14:schemeClr w14:val="tx1"/>
            </w14:solidFill>
          </w14:textFill>
        </w:rPr>
        <w:t>，可使淤泥在渠道内自然干化，减少含水率；淤泥干化后再进行开挖，不用单独沥水，开挖后及时</w:t>
      </w:r>
      <w:r>
        <w:rPr>
          <w:rFonts w:hint="eastAsia" w:eastAsia="宋"/>
          <w:color w:val="000000" w:themeColor="text1"/>
          <w:sz w:val="24"/>
          <w14:textFill>
            <w14:solidFill>
              <w14:schemeClr w14:val="tx1"/>
            </w14:solidFill>
          </w14:textFill>
        </w:rPr>
        <w:t>同开挖土石余方一起处置</w:t>
      </w:r>
      <w:r>
        <w:rPr>
          <w:rFonts w:hint="eastAsia" w:eastAsia="宋"/>
          <w:color w:val="000000" w:themeColor="text1"/>
          <w:sz w:val="24"/>
          <w:lang w:eastAsia="zh-CN"/>
          <w14:textFill>
            <w14:solidFill>
              <w14:schemeClr w14:val="tx1"/>
            </w14:solidFill>
          </w14:textFill>
        </w:rPr>
        <w:t>，</w:t>
      </w:r>
      <w:r>
        <w:rPr>
          <w:rFonts w:hint="eastAsia" w:eastAsia="宋"/>
          <w:color w:val="000000" w:themeColor="text1"/>
          <w:sz w:val="24"/>
          <w:lang w:val="en-US" w:eastAsia="zh-CN"/>
          <w14:textFill>
            <w14:solidFill>
              <w14:schemeClr w14:val="tx1"/>
            </w14:solidFill>
          </w14:textFill>
        </w:rPr>
        <w:t>不会对环境造成污染。由于北支一渠终点处离居民小区（保利湖心岛）较近，淤泥干化期间应尽量将淤泥集中在远离居民区的地方进行干化，并增加除臭剂、生石灰的喷洒次数，减少恶臭对周边居民的影响。因此，项目淤泥处置合理。</w:t>
      </w:r>
    </w:p>
    <w:p>
      <w:pPr>
        <w:snapToGrid w:val="0"/>
        <w:spacing w:line="360" w:lineRule="auto"/>
        <w:ind w:firstLine="482" w:firstLineChars="200"/>
        <w:rPr>
          <w:b/>
          <w:color w:val="000000" w:themeColor="text1"/>
          <w:kern w:val="0"/>
          <w:sz w:val="24"/>
          <w:szCs w:val="20"/>
          <w14:textFill>
            <w14:solidFill>
              <w14:schemeClr w14:val="tx1"/>
            </w14:solidFill>
          </w14:textFill>
        </w:rPr>
      </w:pPr>
      <w:r>
        <w:rPr>
          <w:rFonts w:hint="eastAsia"/>
          <w:b/>
          <w:color w:val="000000" w:themeColor="text1"/>
          <w:kern w:val="0"/>
          <w:sz w:val="24"/>
          <w:szCs w:val="20"/>
          <w14:textFill>
            <w14:solidFill>
              <w14:schemeClr w14:val="tx1"/>
            </w14:solidFill>
          </w14:textFill>
        </w:rPr>
        <w:t>3、</w:t>
      </w:r>
      <w:r>
        <w:rPr>
          <w:b/>
          <w:color w:val="000000" w:themeColor="text1"/>
          <w:kern w:val="0"/>
          <w:sz w:val="24"/>
          <w:szCs w:val="20"/>
          <w14:textFill>
            <w14:solidFill>
              <w14:schemeClr w14:val="tx1"/>
            </w14:solidFill>
          </w14:textFill>
        </w:rPr>
        <w:t>生活垃圾</w:t>
      </w:r>
    </w:p>
    <w:p>
      <w:pPr>
        <w:snapToGrid w:val="0"/>
        <w:spacing w:line="360" w:lineRule="auto"/>
        <w:ind w:firstLine="480" w:firstLineChars="200"/>
        <w:rPr>
          <w:color w:val="000000" w:themeColor="text1"/>
          <w:kern w:val="0"/>
          <w:sz w:val="24"/>
          <w:szCs w:val="20"/>
          <w14:textFill>
            <w14:solidFill>
              <w14:schemeClr w14:val="tx1"/>
            </w14:solidFill>
          </w14:textFill>
        </w:rPr>
      </w:pPr>
      <w:r>
        <w:rPr>
          <w:color w:val="000000" w:themeColor="text1"/>
          <w:kern w:val="0"/>
          <w:sz w:val="24"/>
          <w:szCs w:val="20"/>
          <w14:textFill>
            <w14:solidFill>
              <w14:schemeClr w14:val="tx1"/>
            </w14:solidFill>
          </w14:textFill>
        </w:rPr>
        <w:t>本项目施工人员主要为当地居民，大部分回家食宿，剩余部分租用沿线民房，</w:t>
      </w:r>
      <w:r>
        <w:rPr>
          <w:rFonts w:hint="eastAsia"/>
          <w:color w:val="000000" w:themeColor="text1"/>
          <w:kern w:val="0"/>
          <w:sz w:val="24"/>
          <w:szCs w:val="20"/>
          <w14:textFill>
            <w14:solidFill>
              <w14:schemeClr w14:val="tx1"/>
            </w14:solidFill>
          </w14:textFill>
        </w:rPr>
        <w:t>施工期施工人员产生的生活垃圾总量为2</w:t>
      </w:r>
      <w:r>
        <w:rPr>
          <w:color w:val="000000" w:themeColor="text1"/>
          <w:kern w:val="0"/>
          <w:sz w:val="24"/>
          <w:szCs w:val="20"/>
          <w14:textFill>
            <w14:solidFill>
              <w14:schemeClr w14:val="tx1"/>
            </w14:solidFill>
          </w14:textFill>
        </w:rPr>
        <w:t>kg/d，集中收集后由当地环卫部门清运处理。</w:t>
      </w:r>
    </w:p>
    <w:p>
      <w:pPr>
        <w:adjustRightInd w:val="0"/>
        <w:snapToGrid w:val="0"/>
        <w:spacing w:line="360" w:lineRule="auto"/>
        <w:ind w:firstLine="482" w:firstLineChars="200"/>
        <w:jc w:val="both"/>
        <w:rPr>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可行性分析：</w:t>
      </w:r>
      <w:r>
        <w:rPr>
          <w:color w:val="000000" w:themeColor="text1"/>
          <w:sz w:val="24"/>
          <w:szCs w:val="24"/>
          <w14:textFill>
            <w14:solidFill>
              <w14:schemeClr w14:val="tx1"/>
            </w14:solidFill>
          </w14:textFill>
        </w:rPr>
        <w:t>本项目施工期固废处置率为100%，施工期固废可得到妥善处置，本报告认为项目施工期固废治理措施可行。</w:t>
      </w:r>
      <w:bookmarkStart w:id="577" w:name="7.2运营期污染防治措施及可行性分析"/>
      <w:bookmarkEnd w:id="577"/>
      <w:bookmarkStart w:id="578" w:name="_bookmark129"/>
      <w:bookmarkEnd w:id="578"/>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79" w:name="_Toc70496329"/>
      <w:bookmarkStart w:id="580" w:name="_Toc17082"/>
      <w:r>
        <w:rPr>
          <w:rFonts w:ascii="Times New Roman" w:hAnsi="Times New Roman" w:cs="Times New Roman"/>
          <w:color w:val="000000" w:themeColor="text1"/>
          <w14:textFill>
            <w14:solidFill>
              <w14:schemeClr w14:val="tx1"/>
            </w14:solidFill>
          </w14:textFill>
        </w:rPr>
        <w:t>5.1.5施工期生态保护措施</w:t>
      </w:r>
      <w:bookmarkEnd w:id="579"/>
      <w:bookmarkEnd w:id="580"/>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1</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1植被保护恢复措施</w:t>
      </w:r>
    </w:p>
    <w:p>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1、生态</w:t>
      </w:r>
      <w:r>
        <w:rPr>
          <w:rFonts w:hint="eastAsia"/>
          <w:b/>
          <w:color w:val="000000" w:themeColor="text1"/>
          <w:sz w:val="24"/>
          <w14:textFill>
            <w14:solidFill>
              <w14:schemeClr w14:val="tx1"/>
            </w14:solidFill>
          </w14:textFill>
        </w:rPr>
        <w:t>避让</w:t>
      </w:r>
      <w:r>
        <w:rPr>
          <w:b/>
          <w:color w:val="000000" w:themeColor="text1"/>
          <w:sz w:val="24"/>
          <w14:textFill>
            <w14:solidFill>
              <w14:schemeClr w14:val="tx1"/>
            </w14:solidFill>
          </w14:textFill>
        </w:rPr>
        <w:t>措施</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（1）优化工程布置，尽量利用现有道路，减少新建施工便道数量和长度；对材料、机械等堆放，合理安排，减少施工工区、临时堆土场设置。</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（2）临时占地要考虑区域的植被分布情况，尽量避免占用林地和绿地。</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（3）施工前划定红线范围，应根据地形划定最小的施工作业区域，控制施工作业范围，施工单位严禁超范围施工；严禁施工材料乱堆乱放、施工垃圾的随意处置，不得侵占自然植被。</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（4）严禁乱砍滥伐林木和竹林、园林等。</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（5）火灾对森林植被影响极大，火灾的发生可能对评价区内植物植被带来毁灭性的伤害，项目施工方应结合工程施工规划，作好施工人员吸烟和其他用火的火源管理。</w:t>
      </w:r>
    </w:p>
    <w:p>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2、生态</w:t>
      </w:r>
      <w:r>
        <w:rPr>
          <w:rFonts w:hint="eastAsia"/>
          <w:b/>
          <w:color w:val="000000" w:themeColor="text1"/>
          <w:sz w:val="24"/>
          <w14:textFill>
            <w14:solidFill>
              <w14:schemeClr w14:val="tx1"/>
            </w14:solidFill>
          </w14:textFill>
        </w:rPr>
        <w:t>减缓</w:t>
      </w:r>
      <w:r>
        <w:rPr>
          <w:b/>
          <w:color w:val="000000" w:themeColor="text1"/>
          <w:sz w:val="24"/>
          <w14:textFill>
            <w14:solidFill>
              <w14:schemeClr w14:val="tx1"/>
            </w14:solidFill>
          </w14:textFill>
        </w:rPr>
        <w:t>措施</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（1）应将林地和绿地占用区域的表层土先行剥离，进行专门的堆存和养护，施工结束后用于植被恢复或复耕用，有利于植被恢复和生态修复，减缓地表开挖的不利影响。</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（2）施工期加强有害生物检疫，防止病虫害；施工结束进行植被恢复，要防止带入外来入侵物种。</w:t>
      </w:r>
    </w:p>
    <w:p>
      <w:pPr>
        <w:pStyle w:val="76"/>
        <w:snapToGrid w:val="0"/>
        <w:spacing w:line="360" w:lineRule="auto"/>
        <w:ind w:firstLine="482" w:firstLineChars="200"/>
        <w:jc w:val="both"/>
        <w:rPr>
          <w:rFonts w:ascii="Times New Roman" w:cs="Times New Roman"/>
          <w:b/>
          <w:color w:val="000000" w:themeColor="text1"/>
          <w:kern w:val="2"/>
          <w:szCs w:val="21"/>
          <w14:textFill>
            <w14:solidFill>
              <w14:schemeClr w14:val="tx1"/>
            </w14:solidFill>
          </w14:textFill>
        </w:rPr>
      </w:pPr>
      <w:r>
        <w:rPr>
          <w:rFonts w:hint="eastAsia" w:ascii="Times New Roman" w:cs="Times New Roman"/>
          <w:b/>
          <w:color w:val="000000" w:themeColor="text1"/>
          <w:kern w:val="2"/>
          <w:szCs w:val="21"/>
          <w14:textFill>
            <w14:solidFill>
              <w14:schemeClr w14:val="tx1"/>
            </w14:solidFill>
          </w14:textFill>
        </w:rPr>
        <w:t>3、补偿措施</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工程建设占用一部分林地、绿地等，使这些资源受到损失，须按照林地和绿地的国家相关补偿标准予以补偿，减少损失。</w:t>
      </w:r>
    </w:p>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4、生态恢复措施</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（1）临时占地恢复原则</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占地区为耕地，占用前应将表层耕作土剥离集中堆放，施工结束后，将场地平整，用剥离的表层耕作土覆盖后恢复。在临时占用过程中，建设单位应对其进行青苗赔偿。</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占地区域为林地的则按照原状恢复为林地。首先对临时占地区内地表剥离表层和土壤，专门堆放于临时堆土场，用草袋覆盖遮护，以备临时占地进行植被恢复时作表层覆盖，尽快使植被恢复原貌。即采取表土分层剥离、分层堆放、分层回填的措施。表土中富含植物根系及微生物，对植物生长极为有力，是占地区复绿的保障。</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（2）植被恢复方案</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对于工程施工形成的裸露地面等有碍景观的地段应该采取工程整治和绿化措施。应从可持续发展与保持周边环境自然景观的战略高度，充分利用一切有利地形或人工创造地形，结合必要工程措施，改善裸露处的景观。</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绿化植物的选择和种植应考虑地形、环境、气候、光照、温度湿度、水、土质、植物特性等因素，尽量选择耐、耐早、耐酸碱，冷暖适宜的优良植物组合，以维持物种多样性和生态平衡，减少后期维护工作，使其尽快形成人工植物群落。应以本地常见植物为主,乔木选择银杏、水杉、马尾树、香樟、楠木、桃树、李树、梨树、樱桃树、柑桔、柚等。灌木和草本可选择竹子、腊梅、茉莉花、玫瑰、夜来香、小叶女贞、杜鹃、红花檵木、八角金盘、蝴蝶花、麦冬等，且宜采用先灌草结合方式，迅速覆盖裸露的地表。</w:t>
      </w:r>
    </w:p>
    <w:p>
      <w:pPr>
        <w:pStyle w:val="76"/>
        <w:snapToGrid w:val="0"/>
        <w:spacing w:line="360" w:lineRule="auto"/>
        <w:ind w:firstLine="482" w:firstLineChars="200"/>
        <w:jc w:val="both"/>
        <w:rPr>
          <w:rFonts w:ascii="Times New Roman" w:cs="Times New Roman"/>
          <w:b/>
          <w:color w:val="000000" w:themeColor="text1"/>
          <w:kern w:val="2"/>
          <w:szCs w:val="21"/>
          <w14:textFill>
            <w14:solidFill>
              <w14:schemeClr w14:val="tx1"/>
            </w14:solidFill>
          </w14:textFill>
        </w:rPr>
      </w:pPr>
      <w:r>
        <w:rPr>
          <w:rFonts w:hint="eastAsia" w:ascii="Times New Roman" w:cs="Times New Roman"/>
          <w:b/>
          <w:color w:val="000000" w:themeColor="text1"/>
          <w:kern w:val="2"/>
          <w:szCs w:val="21"/>
          <w14:textFill>
            <w14:solidFill>
              <w14:schemeClr w14:val="tx1"/>
            </w14:solidFill>
          </w14:textFill>
        </w:rPr>
        <w:t>5、管理措施</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（1）加强宣传教育活动，施工前施工单位印发环境保护手册，组织专家对施工人员进行环保宣传教育；施工期严禁山火，加强森林病虫害防治，强化对现有森林的管理。</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（2）设置生态保护警示牌。施工期间，施工单位在主要施工工区、施工道路沿线设置生态保护警示牌。警示牌上标明工程施工区范围，禁止越界施工占地或砍伐林木，尽量减少占地造成的植被损失。</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（3）加强对施工人员及施工活动的管理。施工过程中，严格限制人员的活动范围，禁止越界施工，禁止施工人员对植被滥砍滥伐，破坏沿线的生态环境。</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1</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2陆生动物保护措施</w:t>
      </w:r>
    </w:p>
    <w:p>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1、生态</w:t>
      </w:r>
      <w:r>
        <w:rPr>
          <w:rFonts w:hint="eastAsia"/>
          <w:b/>
          <w:color w:val="000000" w:themeColor="text1"/>
          <w:sz w:val="24"/>
          <w14:textFill>
            <w14:solidFill>
              <w14:schemeClr w14:val="tx1"/>
            </w14:solidFill>
          </w14:textFill>
        </w:rPr>
        <w:t>避让</w:t>
      </w:r>
      <w:r>
        <w:rPr>
          <w:b/>
          <w:color w:val="000000" w:themeColor="text1"/>
          <w:sz w:val="24"/>
          <w14:textFill>
            <w14:solidFill>
              <w14:schemeClr w14:val="tx1"/>
            </w14:solidFill>
          </w14:textFill>
        </w:rPr>
        <w:t>措施</w:t>
      </w:r>
    </w:p>
    <w:p>
      <w:pPr>
        <w:pStyle w:val="73"/>
        <w:adjustRightInd w:val="0"/>
        <w:snapToGrid w:val="0"/>
        <w:spacing w:line="360" w:lineRule="auto"/>
        <w:ind w:left="0"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工程建设前，建设单位应请专业技术人员对施工区的地面仔细搜索，如发现有某些动物的卵或幼体，要妥善及时转移至合适地方，冬眠的蛇类及两栖动物，应安全移至远离工区的相似生境中，以减少这些动物后代的损失，保证该区域某些动物的种群数量的相对恒定。</w:t>
      </w:r>
    </w:p>
    <w:p>
      <w:pPr>
        <w:pStyle w:val="73"/>
        <w:adjustRightInd w:val="0"/>
        <w:snapToGrid w:val="0"/>
        <w:spacing w:line="360" w:lineRule="auto"/>
        <w:ind w:left="0"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提高施工人员的保护意识，严禁捕猎野生动物。在进场施工前，施工单位应组织施工人员学习有关国家法律和法规，学习识别国家保护动物，加强野生动物保护和生态环境的保护意识教育。建立必要的奖惩制度，约束施工人员保护生态环境和野生动物，对故意捕获野生动物的个人和组织要加大打击力度；在动物经常出入的地方要加强巡护。</w:t>
      </w:r>
    </w:p>
    <w:p>
      <w:pPr>
        <w:pStyle w:val="73"/>
        <w:adjustRightInd w:val="0"/>
        <w:snapToGrid w:val="0"/>
        <w:spacing w:line="360" w:lineRule="auto"/>
        <w:ind w:left="0"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（3）严禁越界施工，尽量少破坏动物生境。</w:t>
      </w:r>
    </w:p>
    <w:p>
      <w:pPr>
        <w:pStyle w:val="73"/>
        <w:adjustRightInd w:val="0"/>
        <w:snapToGrid w:val="0"/>
        <w:spacing w:line="360" w:lineRule="auto"/>
        <w:ind w:left="0"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（4）野生鸟类和兽类大多是晨昏或夜间觅食。施工过程中的高噪声作业要避开动物活动的高峰期。</w:t>
      </w:r>
    </w:p>
    <w:p>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2、生态</w:t>
      </w:r>
      <w:r>
        <w:rPr>
          <w:rFonts w:hint="eastAsia"/>
          <w:b/>
          <w:color w:val="000000" w:themeColor="text1"/>
          <w:sz w:val="24"/>
          <w14:textFill>
            <w14:solidFill>
              <w14:schemeClr w14:val="tx1"/>
            </w14:solidFill>
          </w14:textFill>
        </w:rPr>
        <w:t>减缓</w:t>
      </w:r>
      <w:r>
        <w:rPr>
          <w:b/>
          <w:color w:val="000000" w:themeColor="text1"/>
          <w:sz w:val="24"/>
          <w14:textFill>
            <w14:solidFill>
              <w14:schemeClr w14:val="tx1"/>
            </w14:solidFill>
          </w14:textFill>
        </w:rPr>
        <w:t>措施</w:t>
      </w:r>
    </w:p>
    <w:p>
      <w:pPr>
        <w:pStyle w:val="73"/>
        <w:adjustRightInd w:val="0"/>
        <w:snapToGrid w:val="0"/>
        <w:spacing w:line="360" w:lineRule="auto"/>
        <w:ind w:left="0"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（1）在工程施工过程中，施工单位应合理处理生产废水、施工人员生活污水及土石方余弃方等，严禁直接排入东风渠及附近的农田，避免污染两栖爬行类、涉禽以及傍水型鸟类的生境。</w:t>
      </w:r>
    </w:p>
    <w:p>
      <w:pPr>
        <w:pStyle w:val="73"/>
        <w:adjustRightInd w:val="0"/>
        <w:snapToGrid w:val="0"/>
        <w:spacing w:line="360" w:lineRule="auto"/>
        <w:ind w:left="0"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（2）施工期间施工单位限制施工车辆速度，避免对活动能力较弱的两栖爬行类造成碾压。</w:t>
      </w:r>
    </w:p>
    <w:p>
      <w:pPr>
        <w:pStyle w:val="73"/>
        <w:adjustRightInd w:val="0"/>
        <w:snapToGrid w:val="0"/>
        <w:spacing w:line="360" w:lineRule="auto"/>
        <w:ind w:left="0"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（3）鉴于鸟类对噪声、振动和施工灯光特殊要求，施工尽可能在白天进行，晚上做到少施工或不施工；严禁高噪声设备在夜间施工，尽量减少鸣笛。</w:t>
      </w:r>
    </w:p>
    <w:p>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3、生态恢复和补偿措施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由于工程修建占用了野生动物的生境，其觅食范围也相应减小，工程完工后所占据的临时用地如临时道路、施工工区等区域的植被恢复工作施工单位应尽快进行，并结合动物栖息地进行</w:t>
      </w:r>
      <w:r>
        <w:rPr>
          <w:rFonts w:hint="eastAsia" w:ascii="Times New Roman" w:cs="Times New Roman"/>
          <w:color w:val="000000" w:themeColor="text1"/>
          <w14:textFill>
            <w14:solidFill>
              <w14:schemeClr w14:val="tx1"/>
            </w14:solidFill>
          </w14:textFill>
        </w:rPr>
        <w:t>。</w:t>
      </w:r>
    </w:p>
    <w:p>
      <w:pPr>
        <w:autoSpaceDE/>
        <w:autoSpaceDN/>
        <w:adjustRightInd w:val="0"/>
        <w:snapToGrid w:val="0"/>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1</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3</w:t>
      </w:r>
      <w:r>
        <w:rPr>
          <w:b/>
          <w:color w:val="000000" w:themeColor="text1"/>
          <w:kern w:val="0"/>
          <w:sz w:val="24"/>
          <w:szCs w:val="24"/>
          <w14:textFill>
            <w14:solidFill>
              <w14:schemeClr w14:val="tx1"/>
            </w14:solidFill>
          </w14:textFill>
        </w:rPr>
        <w:t>重要物种保护措施</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除了进行一般动物的避让、减缓等保护措施外，还要重点加强有关野生动物法律法规宣传工作，在主要的施工工区设立野生动物保护的宣传栏，对重点保护动物做重点标示及说明，包括动物图片、保护级别、保护意义等。在施工期应组织相关专业技术人员开展野生动物监测工作，如发现重点保护野生动物，应立即停工，并及时汇报野生动物保护机构进行处理。</w:t>
      </w:r>
    </w:p>
    <w:p>
      <w:pPr>
        <w:autoSpaceDE/>
        <w:autoSpaceDN/>
        <w:adjustRightInd w:val="0"/>
        <w:snapToGrid w:val="0"/>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1</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4</w:t>
      </w:r>
      <w:r>
        <w:rPr>
          <w:b/>
          <w:color w:val="000000" w:themeColor="text1"/>
          <w:kern w:val="0"/>
          <w:sz w:val="24"/>
          <w:szCs w:val="24"/>
          <w14:textFill>
            <w14:solidFill>
              <w14:schemeClr w14:val="tx1"/>
            </w14:solidFill>
          </w14:textFill>
        </w:rPr>
        <w:t>生态修复及水土保持措施</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为达到有效防治水土流失的目的，根据工程总体布置、地形地貌、地质条件等环境状况和各项目建设分区的水土流失特点及状况，该工程的水土保持措施布局按照综合防治的原则进行规划，确定各区的防治重点和措施配置。项目组成水土流失防治措施将工程措施、植物措施和临时防护措施相结合，形成完整的、科学的水土流失防治措施体系和总体布局。</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（1）工程措施</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主体设计在巡渠道路一侧修建C25砼排水沟，深0.4m，宽0.4m，壁厚0.15m的C25砼排水沟约5582m，C25砼量为1256m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主体设计在渠道设计水位以上，砼压顶衬砌以上至渠顶边坡，采取C30砼护坡，框格内采用生态草袋防护12663m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（2）植物措施</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主体设计在渠道高填方背坡采用草皮护坡56849m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，坡比为1:2。</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（3）临时措施</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水保方案新增设计对新建巡渠道路的一侧及部分填筑边坡的顶部布设矩形土质临时排水沟，底宽0.4m，深0.4m，内壁夯实后采用土工布覆盖。</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水保方案新增设计在排水沟中部或末端布设土质临时沉沙池，底长2m，底宽1m，深1m，坡比1:0.5，内壁夯实后铺设土工布防渗。</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水保方案新增设计在裸露地面和填筑坡面采取彩条布遮盖约14600m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。水保方案新增设计对部分巡渠道路外侧边坡坡脚处布设土袋挡墙，顶宽0.8m，底宽1.2m，高1.0m。经估算，共需布设土袋挡墙1600m，编织袋填筑1600m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w:t>
      </w:r>
    </w:p>
    <w:p>
      <w:pPr>
        <w:autoSpaceDE/>
        <w:autoSpaceDN/>
        <w:spacing w:line="360" w:lineRule="auto"/>
        <w:jc w:val="both"/>
        <w:outlineLvl w:val="3"/>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1</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5</w:t>
      </w:r>
      <w:r>
        <w:rPr>
          <w:b/>
          <w:color w:val="000000" w:themeColor="text1"/>
          <w:kern w:val="0"/>
          <w:sz w:val="24"/>
          <w:szCs w:val="24"/>
          <w14:textFill>
            <w14:solidFill>
              <w14:schemeClr w14:val="tx1"/>
            </w14:solidFill>
          </w14:textFill>
        </w:rPr>
        <w:t>.</w:t>
      </w:r>
      <w:r>
        <w:rPr>
          <w:rFonts w:hint="eastAsia"/>
          <w:b/>
          <w:color w:val="000000" w:themeColor="text1"/>
          <w:kern w:val="0"/>
          <w:sz w:val="24"/>
          <w:szCs w:val="24"/>
          <w14:textFill>
            <w14:solidFill>
              <w14:schemeClr w14:val="tx1"/>
            </w14:solidFill>
          </w14:textFill>
        </w:rPr>
        <w:t>5生态敏感区环境</w:t>
      </w:r>
      <w:r>
        <w:rPr>
          <w:b/>
          <w:color w:val="000000" w:themeColor="text1"/>
          <w:kern w:val="0"/>
          <w:sz w:val="24"/>
          <w:szCs w:val="24"/>
          <w14:textFill>
            <w14:solidFill>
              <w14:schemeClr w14:val="tx1"/>
            </w14:solidFill>
          </w14:textFill>
        </w:rPr>
        <w:t>影响</w:t>
      </w:r>
      <w:r>
        <w:rPr>
          <w:rFonts w:hint="eastAsia"/>
          <w:b/>
          <w:color w:val="000000" w:themeColor="text1"/>
          <w:kern w:val="0"/>
          <w:sz w:val="24"/>
          <w:szCs w:val="24"/>
          <w14:textFill>
            <w14:solidFill>
              <w14:schemeClr w14:val="tx1"/>
            </w14:solidFill>
          </w14:textFill>
        </w:rPr>
        <w:t>保护</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本工程南五、南六支渠大部分渠道位于龙泉花果山风景名胜区三级保护区范围内，施工活动可能会对保护区生境造成一定影响。工程开发建设过程中要处理好与花果山风景名胜区的关系，需保持其结构的整体性和系统的完整性。主要措施如下：</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（1）加强施工人员环境保护宣传教育，减少对花果山风景名胜区及周边动植物扰动，并在各施工工区及周边设立保护宣传标牌。</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（2）加强施工管理，严禁施工人员越界施工，严禁破坏占地范围以外的植被。施工结束后对临时占地区及时进行植被覆盖。</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（3）施工期及运行期产生的建筑垃圾及生活垃圾等固体废弃物应及时收集并清运出花果山风景名胜区进行处理。花果山风景名胜区内产生生活污水，必须经处理达标后综合利用，不得排入地表水体。</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（4）与花果山风景名胜区管理单位密切合作，接受花果山风景名胜区管理单位监督，确保施工过程中不对花果山风景名胜区的正常运行造成重大影响。</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（5）对施工迹地的植被恢复应与花果山风景名胜区景观相协调，植物选择上使用本土树种和该地域适生的植物。</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81" w:name="_Toc3576"/>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6土壤环境</w:t>
      </w:r>
      <w:r>
        <w:rPr>
          <w:rFonts w:ascii="Times New Roman" w:hAnsi="Times New Roman" w:cs="Times New Roman"/>
          <w:color w:val="000000" w:themeColor="text1"/>
          <w14:textFill>
            <w14:solidFill>
              <w14:schemeClr w14:val="tx1"/>
            </w14:solidFill>
          </w14:textFill>
        </w:rPr>
        <w:t>影响</w:t>
      </w:r>
      <w:r>
        <w:rPr>
          <w:rFonts w:hint="eastAsia" w:ascii="Times New Roman" w:hAnsi="Times New Roman" w:cs="Times New Roman"/>
          <w:color w:val="000000" w:themeColor="text1"/>
          <w14:textFill>
            <w14:solidFill>
              <w14:schemeClr w14:val="tx1"/>
            </w14:solidFill>
          </w14:textFill>
        </w:rPr>
        <w:t>保护</w:t>
      </w:r>
      <w:bookmarkEnd w:id="581"/>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施工期主要是临时占地，以及施工开挖可能会对周边土壤造成一定影响。具体采取的措施如下：</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1、尽量减少工程占地，施工开始前将临时占地上的表层土集中剥离堆放，施工结束后进行清理、回填、平整土地，恢复地表植被。</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2、严格按照施工组织设计控制施工范围，大限度地减少对土壤的破坏，将临时占地控制在低限度。</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3、机械维修保养站应铺设沙子以防止含油废水污染土壤，沾油污的沙子要统一进行收集处置，工地上滴漏的油渍应及时进行清理。</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4、各种施工机械及车辆应定期进行检查维护，尽量减少跑、冒、滴、漏现象。</w:t>
      </w:r>
    </w:p>
    <w:p>
      <w:pPr>
        <w:pStyle w:val="3"/>
        <w:spacing w:line="360" w:lineRule="auto"/>
        <w:ind w:left="0" w:firstLine="640"/>
        <w:rPr>
          <w:rFonts w:eastAsia="黑体"/>
          <w:color w:val="000000" w:themeColor="text1"/>
          <w14:textFill>
            <w14:solidFill>
              <w14:schemeClr w14:val="tx1"/>
            </w14:solidFill>
          </w14:textFill>
        </w:rPr>
      </w:pPr>
      <w:bookmarkStart w:id="582" w:name="_Toc11844"/>
      <w:bookmarkStart w:id="583" w:name="_Toc13154"/>
      <w:bookmarkStart w:id="584" w:name="_Toc23066"/>
      <w:bookmarkStart w:id="585" w:name="_Toc32065"/>
      <w:bookmarkStart w:id="586" w:name="_Toc70496330"/>
      <w:bookmarkStart w:id="587" w:name="_Toc23387"/>
      <w:r>
        <w:rPr>
          <w:rFonts w:eastAsia="黑体"/>
          <w:color w:val="000000" w:themeColor="text1"/>
          <w14:textFill>
            <w14:solidFill>
              <w14:schemeClr w14:val="tx1"/>
            </w14:solidFill>
          </w14:textFill>
        </w:rPr>
        <w:t>5.2运营期</w:t>
      </w:r>
      <w:bookmarkEnd w:id="582"/>
      <w:bookmarkEnd w:id="583"/>
      <w:bookmarkEnd w:id="584"/>
      <w:bookmarkEnd w:id="585"/>
      <w:r>
        <w:rPr>
          <w:rFonts w:eastAsia="黑体"/>
          <w:color w:val="000000" w:themeColor="text1"/>
          <w14:textFill>
            <w14:solidFill>
              <w14:schemeClr w14:val="tx1"/>
            </w14:solidFill>
          </w14:textFill>
        </w:rPr>
        <w:t>环境保护对策措施及可行性分析</w:t>
      </w:r>
      <w:bookmarkEnd w:id="586"/>
      <w:bookmarkEnd w:id="587"/>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88" w:name="7.2.1运营期废气污染防治措施及可行性分析"/>
      <w:bookmarkEnd w:id="588"/>
      <w:bookmarkStart w:id="589" w:name="_bookmark130"/>
      <w:bookmarkEnd w:id="589"/>
      <w:bookmarkStart w:id="590" w:name="_Toc16048"/>
      <w:bookmarkStart w:id="591" w:name="_Toc21719"/>
      <w:bookmarkStart w:id="592" w:name="_Toc32098"/>
      <w:bookmarkStart w:id="593" w:name="_Toc18256"/>
      <w:bookmarkStart w:id="594" w:name="_Toc70496331"/>
      <w:bookmarkStart w:id="595" w:name="_Toc27985"/>
      <w:r>
        <w:rPr>
          <w:rFonts w:ascii="Times New Roman" w:hAnsi="Times New Roman" w:cs="Times New Roman"/>
          <w:color w:val="000000" w:themeColor="text1"/>
          <w14:textFill>
            <w14:solidFill>
              <w14:schemeClr w14:val="tx1"/>
            </w14:solidFill>
          </w14:textFill>
        </w:rPr>
        <w:t>5.2.1</w:t>
      </w:r>
      <w:bookmarkEnd w:id="590"/>
      <w:bookmarkEnd w:id="591"/>
      <w:bookmarkEnd w:id="592"/>
      <w:bookmarkEnd w:id="593"/>
      <w:r>
        <w:rPr>
          <w:rFonts w:ascii="Times New Roman" w:hAnsi="Times New Roman" w:cs="Times New Roman"/>
          <w:color w:val="000000" w:themeColor="text1"/>
          <w14:textFill>
            <w14:solidFill>
              <w14:schemeClr w14:val="tx1"/>
            </w14:solidFill>
          </w14:textFill>
        </w:rPr>
        <w:t>水质保障措施</w:t>
      </w:r>
      <w:bookmarkEnd w:id="594"/>
      <w:bookmarkEnd w:id="595"/>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1、源头控制与末端治理相结合</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推广低毒、低残留农药使用补助试点经验，开展农作物病虫害绿色防控和统防统治。实行测土配方施肥，推广精准施肥技术和机具。完善高标准农田建设、土地开发整理等标准规范，明确环保要求，新建高标准农田要达到相关环保要求。</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2、调整种植业结构与布局</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加强灌溉水质监测与管理，确保农业灌溉用水达到农田灌溉水质标准，严禁未经处理的工业和城市污水直接灌溉农田。加快农业高效节水体系建设。改进耕作方式，适当调整种植结构。推进农业水价改革、精准补贴和节水奖励试点工作，逐步建立农业灌溉水量控制和定额管理制度。</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3、加强流域农业节水及退水回用，提高用水效率</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大力发展农田节水灌溉，加快推进农田水利改革进程，按照“先建机制、后建工程”的要求，建立完善机制后推广喷灌、滴灌、微灌等节水灌溉技术，大力推动农业节水减排。逐步取缔大水漫灌，规范农业取水，实施农业定额取水制度，着力提高用水效率。将末端拦截消纳综合利用工程与流域截污治污工程、村落两污综合整治工程、湿地恢复建设、底泥疏浚工程、农业灌溉用水提升改造高效节水工程及高效生态农业建设等工程相结合，实施农灌用水提升改造，最大程度上加大农田高营养退水的重复利用率，以减少农田在河流的清水取水量。</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596" w:name="_bookmark131"/>
      <w:bookmarkEnd w:id="596"/>
      <w:bookmarkStart w:id="597" w:name="7.2.2运营期水污染防治措施及可行性"/>
      <w:bookmarkEnd w:id="597"/>
      <w:bookmarkStart w:id="598" w:name="_Toc13007"/>
      <w:bookmarkStart w:id="599" w:name="_Toc17577"/>
      <w:bookmarkStart w:id="600" w:name="_Toc1963"/>
      <w:bookmarkStart w:id="601" w:name="_Toc28853"/>
      <w:bookmarkStart w:id="602" w:name="_Toc70496332"/>
      <w:bookmarkStart w:id="603" w:name="_Toc29378"/>
      <w:r>
        <w:rPr>
          <w:rFonts w:ascii="Times New Roman" w:hAnsi="Times New Roman" w:cs="Times New Roman"/>
          <w:color w:val="000000" w:themeColor="text1"/>
          <w14:textFill>
            <w14:solidFill>
              <w14:schemeClr w14:val="tx1"/>
            </w14:solidFill>
          </w14:textFill>
        </w:rPr>
        <w:t>5.2.2</w:t>
      </w:r>
      <w:bookmarkEnd w:id="598"/>
      <w:bookmarkEnd w:id="599"/>
      <w:bookmarkEnd w:id="600"/>
      <w:bookmarkEnd w:id="601"/>
      <w:r>
        <w:rPr>
          <w:rFonts w:ascii="Times New Roman" w:hAnsi="Times New Roman" w:cs="Times New Roman"/>
          <w:color w:val="000000" w:themeColor="text1"/>
          <w14:textFill>
            <w14:solidFill>
              <w14:schemeClr w14:val="tx1"/>
            </w14:solidFill>
          </w14:textFill>
        </w:rPr>
        <w:t>生态监管措施</w:t>
      </w:r>
      <w:bookmarkEnd w:id="602"/>
      <w:bookmarkEnd w:id="603"/>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1、施工期</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一般情况下，因工程建设而采取的生态保护、生态补偿措施的进度落后于建设项目的进度，如态恢复工程等都必须在建设项目基本成后实施。一般按照环评的要求和实际工作情况，生态补偿工作应在施工结束后的第一年六月份开始实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②</w:t>
      </w:r>
      <w:r>
        <w:rPr>
          <w:rFonts w:ascii="Times New Roman" w:cs="Times New Roman"/>
          <w:color w:val="000000" w:themeColor="text1"/>
          <w14:textFill>
            <w14:solidFill>
              <w14:schemeClr w14:val="tx1"/>
            </w14:solidFill>
          </w14:textFill>
        </w:rPr>
        <w:t>项目竣工验收</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工程后，水利主管部门应参与项目的竣工验收，验收重点为环境保护设施、生态保护和生态补偿措施等。如果本项目环保措施未达标，不应同意本项目的竣工验收。</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③</w:t>
      </w:r>
      <w:r>
        <w:rPr>
          <w:rFonts w:ascii="Times New Roman" w:cs="Times New Roman"/>
          <w:color w:val="000000" w:themeColor="text1"/>
          <w14:textFill>
            <w14:solidFill>
              <w14:schemeClr w14:val="tx1"/>
            </w14:solidFill>
          </w14:textFill>
        </w:rPr>
        <w:t>跟踪监测</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项目对生态的影响机制比较复杂，其影响程度也很难完全准确预测。因此，在本项目施工期和建成后，应就项目对环境的影响进行跟踪监测，可委托有资质的监测部门实施监测计划。对跟踪监测中发现的超标预测影响问题，应及时上报并进行治理。</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2、运营期</w:t>
      </w:r>
    </w:p>
    <w:p>
      <w:pPr>
        <w:pStyle w:val="76"/>
        <w:snapToGrid w:val="0"/>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运营阶段，灌区运营管理单位在保护区附近沿线应定期散发宣传材料，加大鱼类等水生生物及其栖息地的宣传力度，增加人民群众对鱼类等水生生物及其栖息地的自觉意识和支持力度。运营期还需要做好闸门及渠道的运营管理，避免对保护区的声环境及水质造成污染。</w:t>
      </w:r>
    </w:p>
    <w:p>
      <w:pPr>
        <w:pStyle w:val="76"/>
        <w:snapToGrid w:val="0"/>
        <w:spacing w:line="360" w:lineRule="auto"/>
        <w:ind w:firstLine="480" w:firstLineChars="200"/>
        <w:jc w:val="both"/>
        <w:rPr>
          <w:rFonts w:hint="eastAsia"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根据工程建设特性分析，针对保护区生态影响评价结果，拟定了施工阶段及运营阶段保护措施。</w:t>
      </w:r>
    </w:p>
    <w:p>
      <w:pPr>
        <w:pStyle w:val="3"/>
        <w:spacing w:line="360" w:lineRule="auto"/>
        <w:ind w:left="0" w:firstLine="640"/>
        <w:rPr>
          <w:rFonts w:hint="eastAsia" w:ascii="Times New Roman" w:hAnsi="Times New Roman" w:eastAsia="宋体" w:cs="Times New Roman"/>
          <w:color w:val="000000" w:themeColor="text1"/>
          <w:lang w:eastAsia="zh-CN"/>
          <w14:textFill>
            <w14:solidFill>
              <w14:schemeClr w14:val="tx1"/>
            </w14:solidFill>
          </w14:textFill>
        </w:rPr>
      </w:pPr>
      <w:bookmarkStart w:id="604" w:name="_Toc29540"/>
      <w:r>
        <w:rPr>
          <w:rFonts w:hint="default" w:ascii="Times New Roman" w:hAnsi="Times New Roman" w:eastAsia="宋体" w:cs="Times New Roman"/>
          <w:color w:val="000000" w:themeColor="text1"/>
          <w14:textFill>
            <w14:solidFill>
              <w14:schemeClr w14:val="tx1"/>
            </w14:solidFill>
          </w14:textFill>
        </w:rPr>
        <w:t>5.3对</w:t>
      </w:r>
      <w:r>
        <w:rPr>
          <w:rFonts w:hint="eastAsia" w:eastAsia="宋体" w:cs="Times New Roman"/>
          <w:color w:val="000000" w:themeColor="text1"/>
          <w:lang w:val="en-US" w:eastAsia="zh-CN"/>
          <w14:textFill>
            <w14:solidFill>
              <w14:schemeClr w14:val="tx1"/>
            </w14:solidFill>
          </w14:textFill>
        </w:rPr>
        <w:t>花果山</w:t>
      </w:r>
      <w:r>
        <w:rPr>
          <w:rFonts w:hint="default" w:ascii="Times New Roman" w:hAnsi="Times New Roman" w:eastAsia="宋体" w:cs="Times New Roman"/>
          <w:color w:val="000000" w:themeColor="text1"/>
          <w14:textFill>
            <w14:solidFill>
              <w14:schemeClr w14:val="tx1"/>
            </w14:solidFill>
          </w14:textFill>
        </w:rPr>
        <w:t>风景名胜区</w:t>
      </w:r>
      <w:r>
        <w:rPr>
          <w:rFonts w:hint="eastAsia" w:eastAsia="宋体" w:cs="Times New Roman"/>
          <w:color w:val="000000" w:themeColor="text1"/>
          <w:lang w:eastAsia="zh-CN"/>
          <w14:textFill>
            <w14:solidFill>
              <w14:schemeClr w14:val="tx1"/>
            </w14:solidFill>
          </w14:textFill>
        </w:rPr>
        <w:t>（</w:t>
      </w:r>
      <w:r>
        <w:rPr>
          <w:rFonts w:hint="eastAsia" w:eastAsia="宋体" w:cs="Times New Roman"/>
          <w:color w:val="000000" w:themeColor="text1"/>
          <w:lang w:val="en-US" w:eastAsia="zh-CN"/>
          <w14:textFill>
            <w14:solidFill>
              <w14:schemeClr w14:val="tx1"/>
            </w14:solidFill>
          </w14:textFill>
        </w:rPr>
        <w:t>十陵景区</w:t>
      </w:r>
      <w:r>
        <w:rPr>
          <w:rFonts w:hint="eastAsia"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的保护措施及可行性</w:t>
      </w:r>
      <w:r>
        <w:rPr>
          <w:rFonts w:hint="eastAsia" w:eastAsia="宋体" w:cs="Times New Roman"/>
          <w:color w:val="000000" w:themeColor="text1"/>
          <w:lang w:val="en-US" w:eastAsia="zh-CN"/>
          <w14:textFill>
            <w14:solidFill>
              <w14:schemeClr w14:val="tx1"/>
            </w14:solidFill>
          </w14:textFill>
        </w:rPr>
        <w:t>分析</w:t>
      </w:r>
      <w:bookmarkEnd w:id="604"/>
    </w:p>
    <w:p>
      <w:pPr>
        <w:pStyle w:val="4"/>
        <w:spacing w:line="360" w:lineRule="auto"/>
        <w:ind w:left="0" w:firstLine="560"/>
        <w:rPr>
          <w:rFonts w:hint="default" w:ascii="Times New Roman" w:hAnsi="Times New Roman" w:cs="Times New Roman"/>
          <w:color w:val="000000" w:themeColor="text1"/>
          <w14:textFill>
            <w14:solidFill>
              <w14:schemeClr w14:val="tx1"/>
            </w14:solidFill>
          </w14:textFill>
        </w:rPr>
      </w:pPr>
      <w:bookmarkStart w:id="605" w:name="_Toc13778"/>
      <w:r>
        <w:rPr>
          <w:rFonts w:hint="default" w:ascii="Times New Roman" w:hAnsi="Times New Roman" w:cs="Times New Roman"/>
          <w:color w:val="000000" w:themeColor="text1"/>
          <w14:textFill>
            <w14:solidFill>
              <w14:schemeClr w14:val="tx1"/>
            </w14:solidFill>
          </w14:textFill>
        </w:rPr>
        <w:t>5.3.1施工期保护管理与风险防范对策措施</w:t>
      </w:r>
      <w:bookmarkEnd w:id="605"/>
    </w:p>
    <w:p>
      <w:pPr>
        <w:pStyle w:val="76"/>
        <w:snapToGrid w:val="0"/>
        <w:spacing w:line="360" w:lineRule="auto"/>
        <w:ind w:firstLine="480" w:firstLineChars="20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施工前与风景名胜区管理部门协商，确定最佳施工时间和施工方案，聘请当地环保部门和林业部门的管理人员对施工进行监督；整个施工过程注意同风景名胜区管理部门加强联系，汇报施工进度，主动接受风景名胜区主管部门的监督。加强有关野生动植物保护、森林防火等法律、法规和林业科技知识的宣传；加强施工现场监督、协调工作。</w:t>
      </w:r>
    </w:p>
    <w:p>
      <w:pPr>
        <w:pStyle w:val="76"/>
        <w:snapToGrid w:val="0"/>
        <w:spacing w:line="360" w:lineRule="auto"/>
        <w:ind w:firstLine="480" w:firstLineChars="20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在风景名胜区范围内，严格划定施工界限，禁止施工人员、施工车辆越界施工和破坏征地范围外植被的行为；施工期用地周围设置围挡，界定作业区和活动范围，防止施工人员和施工机械、车辆随意进入施工场地以外区域；风景名胜区范围内严格控制施工用地范围，确保项目建设对风景名胜区的声环境、环境空气和景区设施造成的影响减少到最小。</w:t>
      </w:r>
    </w:p>
    <w:p>
      <w:pPr>
        <w:pStyle w:val="76"/>
        <w:snapToGrid w:val="0"/>
        <w:spacing w:line="360" w:lineRule="auto"/>
        <w:ind w:firstLine="480" w:firstLineChars="20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3、遇有恶劣天气，应统一采取应急措施，做好生产安全事故应急准备工作。排除基坑、运输设备等事故隐患，做好防火、防毒和监控工作。要加强停工现场周边的巡视，发现问题立即向有关行政主管部门报告。</w:t>
      </w:r>
    </w:p>
    <w:p>
      <w:pPr>
        <w:pStyle w:val="76"/>
        <w:snapToGrid w:val="0"/>
        <w:spacing w:line="360" w:lineRule="auto"/>
        <w:ind w:firstLine="480" w:firstLineChars="20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4、施工结束后，及时清理现场，落实恢复治理方案，确保风景名胜区内生态环境尽量恢复到施工前的水平。地面绿化工程设计必须与风景名胜区景观和自然文化景物相协调。</w:t>
      </w:r>
    </w:p>
    <w:p>
      <w:pPr>
        <w:pStyle w:val="76"/>
        <w:snapToGrid w:val="0"/>
        <w:spacing w:line="360" w:lineRule="auto"/>
        <w:ind w:firstLine="480" w:firstLineChars="200"/>
        <w:jc w:val="both"/>
        <w:rPr>
          <w:rFonts w:hint="default" w:ascii="Times New Roman" w:hAns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5、花果山风景名胜区（十陵景区）在节假日游览的游客数量较多，施工期产生的施工噪声不可避免地会影响项目施工区域附近经过的游客，致使来往游客观感质量下降，因此在施工期施工时，应尽量避免在节假日进行高噪声的施工活动，合理安排施工活动时间和顺序。</w:t>
      </w:r>
    </w:p>
    <w:p>
      <w:pPr>
        <w:pStyle w:val="4"/>
        <w:spacing w:line="360" w:lineRule="auto"/>
        <w:ind w:left="0" w:firstLine="560"/>
        <w:rPr>
          <w:rFonts w:hint="default" w:ascii="Times New Roman" w:hAnsi="Times New Roman" w:cs="Times New Roman"/>
          <w:color w:val="000000" w:themeColor="text1"/>
          <w14:textFill>
            <w14:solidFill>
              <w14:schemeClr w14:val="tx1"/>
            </w14:solidFill>
          </w14:textFill>
        </w:rPr>
      </w:pPr>
      <w:bookmarkStart w:id="606" w:name="_Toc31740"/>
      <w:r>
        <w:rPr>
          <w:rFonts w:hint="default" w:ascii="Times New Roman" w:hAnsi="Times New Roman" w:cs="Times New Roman"/>
          <w:color w:val="000000" w:themeColor="text1"/>
          <w14:textFill>
            <w14:solidFill>
              <w14:schemeClr w14:val="tx1"/>
            </w14:solidFill>
          </w14:textFill>
        </w:rPr>
        <w:t>5.3.2运营期保护管理与风险防范对策措施</w:t>
      </w:r>
      <w:bookmarkEnd w:id="606"/>
    </w:p>
    <w:p>
      <w:pPr>
        <w:pStyle w:val="76"/>
        <w:snapToGrid w:val="0"/>
        <w:spacing w:line="360" w:lineRule="auto"/>
        <w:ind w:firstLine="480" w:firstLineChars="200"/>
        <w:jc w:val="both"/>
        <w:rPr>
          <w:rFonts w:hint="eastAsia"/>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对于工程施工形成的裸露地面等有碍景观的地段应该采取工程整治和绿化措施。应从可持续发展与保持周边环境自然景观的战略高度，充分利用一切有利地形或人工创造地形，结合必要工程措施，改善裸露处的景观。绿化植物的选择和种植应考虑地形、环境、气候、光照、温度、湿度、水、土质、植物特性等因素，尽量选择耐瘠、耐旱、耐酸碱，冷暖适宜的优良植物组合，以维持物种多样性和生态平衡，减少后期维护工作，使其尽快形成人工植物群落。应以本地常见植物为主，乔木选择银杏、水杉、马尾树、香樟、楠木、桃树、李树、梨树、樱桃树、柑桔、柚等。灌木和草本可选择竹子、腊梅、茉莉花、玫瑰、夜来香、小叶女贞、杜鹃、红花檵木、八角金盘、蝴蝶花、麦冬等，且宜采用先灌草结合方式，迅速覆盖裸露的地表。</w:t>
      </w:r>
    </w:p>
    <w:p>
      <w:pPr>
        <w:pStyle w:val="14"/>
        <w:spacing w:before="5"/>
        <w:ind w:firstLine="100"/>
        <w:rPr>
          <w:color w:val="000000" w:themeColor="text1"/>
          <w:sz w:val="5"/>
          <w14:textFill>
            <w14:solidFill>
              <w14:schemeClr w14:val="tx1"/>
            </w14:solidFill>
          </w14:textFill>
        </w:rPr>
      </w:pPr>
    </w:p>
    <w:p>
      <w:pPr>
        <w:rPr>
          <w:color w:val="000000" w:themeColor="text1"/>
          <w14:textFill>
            <w14:solidFill>
              <w14:schemeClr w14:val="tx1"/>
            </w14:solidFill>
          </w14:textFill>
        </w:rPr>
        <w:sectPr>
          <w:headerReference r:id="rId16" w:type="default"/>
          <w:footerReference r:id="rId17" w:type="default"/>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pPr>
    </w:p>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607" w:name="8.0环保投资及经济损益分析"/>
      <w:bookmarkEnd w:id="607"/>
      <w:bookmarkStart w:id="608" w:name="_bookmark137"/>
      <w:bookmarkEnd w:id="608"/>
      <w:bookmarkStart w:id="609" w:name="_Toc17034"/>
      <w:bookmarkStart w:id="610" w:name="_Toc70496333"/>
      <w:bookmarkStart w:id="611" w:name="_Toc31840"/>
      <w:bookmarkStart w:id="612" w:name="_Toc22159"/>
      <w:bookmarkStart w:id="613" w:name="_Toc12752"/>
      <w:bookmarkStart w:id="614" w:name="_Toc3743"/>
      <w:r>
        <w:rPr>
          <w:rFonts w:ascii="Times New Roman" w:hAnsi="Times New Roman" w:cs="Times New Roman"/>
          <w:color w:val="000000" w:themeColor="text1"/>
          <w14:textFill>
            <w14:solidFill>
              <w14:schemeClr w14:val="tx1"/>
            </w14:solidFill>
          </w14:textFill>
        </w:rPr>
        <w:t>6.环境影响经济损益分析</w:t>
      </w:r>
      <w:bookmarkEnd w:id="609"/>
      <w:bookmarkEnd w:id="610"/>
      <w:bookmarkEnd w:id="611"/>
      <w:bookmarkEnd w:id="612"/>
      <w:bookmarkEnd w:id="613"/>
      <w:bookmarkEnd w:id="614"/>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bookmarkStart w:id="615" w:name="_bookmark139"/>
      <w:bookmarkEnd w:id="615"/>
      <w:bookmarkStart w:id="616" w:name="_bookmark138"/>
      <w:bookmarkEnd w:id="616"/>
      <w:bookmarkStart w:id="617" w:name="8.2环保投资估算"/>
      <w:bookmarkEnd w:id="617"/>
      <w:bookmarkStart w:id="618" w:name="8.1分析目的及方法"/>
      <w:bookmarkEnd w:id="618"/>
      <w:r>
        <w:rPr>
          <w:color w:val="000000" w:themeColor="text1"/>
          <w:sz w:val="24"/>
          <w:szCs w:val="24"/>
          <w14:textFill>
            <w14:solidFill>
              <w14:schemeClr w14:val="tx1"/>
            </w14:solidFill>
          </w14:textFill>
        </w:rPr>
        <w:t>在进行效益分析时，不仅考虑工程对自然环境造成的影响，同时也要从提高社会经济效益为出发点，分析对社会和经济的影响。本章将对项目建设的社会、经济效益进行分析，并按照定性和定量相结合的方法，从环境经济角度分析项目对周边环境的影响程度。</w:t>
      </w:r>
    </w:p>
    <w:p>
      <w:pPr>
        <w:pStyle w:val="3"/>
        <w:spacing w:line="360" w:lineRule="auto"/>
        <w:ind w:left="0" w:firstLine="640"/>
        <w:rPr>
          <w:rFonts w:eastAsia="黑体"/>
          <w:color w:val="000000" w:themeColor="text1"/>
          <w14:textFill>
            <w14:solidFill>
              <w14:schemeClr w14:val="tx1"/>
            </w14:solidFill>
          </w14:textFill>
        </w:rPr>
      </w:pPr>
      <w:bookmarkStart w:id="619" w:name="_Toc8702"/>
      <w:bookmarkStart w:id="620" w:name="_Toc70496334"/>
      <w:bookmarkStart w:id="621" w:name="_Toc7004"/>
      <w:bookmarkStart w:id="622" w:name="_Toc7907"/>
      <w:bookmarkStart w:id="623" w:name="_Toc2660"/>
      <w:bookmarkStart w:id="624" w:name="_Toc9547"/>
      <w:r>
        <w:rPr>
          <w:rFonts w:eastAsia="黑体"/>
          <w:color w:val="000000" w:themeColor="text1"/>
          <w14:textFill>
            <w14:solidFill>
              <w14:schemeClr w14:val="tx1"/>
            </w14:solidFill>
          </w14:textFill>
        </w:rPr>
        <w:t>6.1环保投资估算</w:t>
      </w:r>
      <w:bookmarkEnd w:id="619"/>
      <w:bookmarkEnd w:id="620"/>
      <w:bookmarkEnd w:id="621"/>
      <w:bookmarkEnd w:id="622"/>
      <w:bookmarkEnd w:id="623"/>
      <w:bookmarkEnd w:id="624"/>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根据工程分析，建设项目建成投产后，所产生的污染物对环境将产生一定的影响，因此必须筹措足够的资金，采取相应的环保措施，以保证对环境的影响降低到最小程度，满足建设项目环境保护管理的要求。</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本项目总投资</w:t>
      </w:r>
      <w:r>
        <w:rPr>
          <w:rFonts w:hint="eastAsia"/>
          <w:color w:val="000000" w:themeColor="text1"/>
          <w:kern w:val="0"/>
          <w:sz w:val="24"/>
          <w:szCs w:val="24"/>
          <w14:textFill>
            <w14:solidFill>
              <w14:schemeClr w14:val="tx1"/>
            </w14:solidFill>
          </w14:textFill>
        </w:rPr>
        <w:t>4460.56</w:t>
      </w:r>
      <w:r>
        <w:rPr>
          <w:color w:val="000000" w:themeColor="text1"/>
          <w:sz w:val="24"/>
          <w14:textFill>
            <w14:solidFill>
              <w14:schemeClr w14:val="tx1"/>
            </w14:solidFill>
          </w14:textFill>
        </w:rPr>
        <w:t>万元，其中环保投</w:t>
      </w:r>
      <w:r>
        <w:rPr>
          <w:rFonts w:hint="eastAsia"/>
          <w:color w:val="000000" w:themeColor="text1"/>
          <w:sz w:val="24"/>
          <w14:textFill>
            <w14:solidFill>
              <w14:schemeClr w14:val="tx1"/>
            </w14:solidFill>
          </w14:textFill>
        </w:rPr>
        <w:t>125</w:t>
      </w:r>
      <w:r>
        <w:rPr>
          <w:color w:val="000000" w:themeColor="text1"/>
          <w:sz w:val="24"/>
          <w14:textFill>
            <w14:solidFill>
              <w14:schemeClr w14:val="tx1"/>
            </w14:solidFill>
          </w14:textFill>
        </w:rPr>
        <w:t>万元，占总投资的</w:t>
      </w:r>
      <w:r>
        <w:rPr>
          <w:rFonts w:hint="eastAsia"/>
          <w:color w:val="000000" w:themeColor="text1"/>
          <w:sz w:val="24"/>
          <w14:textFill>
            <w14:solidFill>
              <w14:schemeClr w14:val="tx1"/>
            </w14:solidFill>
          </w14:textFill>
        </w:rPr>
        <w:t>2.8</w:t>
      </w:r>
      <w:r>
        <w:rPr>
          <w:color w:val="000000" w:themeColor="text1"/>
          <w:sz w:val="24"/>
          <w14:textFill>
            <w14:solidFill>
              <w14:schemeClr w14:val="tx1"/>
            </w14:solidFill>
          </w14:textFill>
        </w:rPr>
        <w:t>%。主要用于废气、废水、固体废物污染防治及生态环境治理。</w:t>
      </w:r>
    </w:p>
    <w:p>
      <w:pPr>
        <w:adjustRightInd w:val="0"/>
        <w:snapToGrid w:val="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表6.1-1项目主要污染防治措施及环保投资一览表</w:t>
      </w:r>
    </w:p>
    <w:tbl>
      <w:tblPr>
        <w:tblStyle w:val="75"/>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9"/>
        <w:gridCol w:w="816"/>
        <w:gridCol w:w="1226"/>
        <w:gridCol w:w="4101"/>
        <w:gridCol w:w="14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40" w:type="pc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时段</w:t>
            </w:r>
          </w:p>
        </w:tc>
        <w:tc>
          <w:tcPr>
            <w:tcW w:w="479" w:type="pc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类别</w:t>
            </w:r>
          </w:p>
        </w:tc>
        <w:tc>
          <w:tcPr>
            <w:tcW w:w="720" w:type="pc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污染物</w:t>
            </w:r>
          </w:p>
        </w:tc>
        <w:tc>
          <w:tcPr>
            <w:tcW w:w="2408" w:type="pc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环保措施</w:t>
            </w:r>
          </w:p>
        </w:tc>
        <w:tc>
          <w:tcPr>
            <w:tcW w:w="852" w:type="pc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总额（万元）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施工期</w:t>
            </w:r>
          </w:p>
        </w:tc>
        <w:tc>
          <w:tcPr>
            <w:tcW w:w="47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废气</w:t>
            </w:r>
          </w:p>
        </w:tc>
        <w:tc>
          <w:tcPr>
            <w:tcW w:w="720"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扬尘</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施工区域四周设置围挡，可达一定降尘</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2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施工场地配备洒水设备，</w:t>
            </w:r>
            <w:r>
              <w:rPr>
                <w:rFonts w:hint="default"/>
                <w:color w:val="000000" w:themeColor="text1"/>
                <w14:textFill>
                  <w14:solidFill>
                    <w14:schemeClr w14:val="tx1"/>
                  </w14:solidFill>
                </w14:textFill>
              </w:rPr>
              <w:t>进行洒水降尘</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2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临时堆土场</w:t>
            </w:r>
            <w:r>
              <w:rPr>
                <w:rFonts w:hint="default"/>
                <w:color w:val="000000" w:themeColor="text1"/>
                <w14:textFill>
                  <w14:solidFill>
                    <w14:schemeClr w14:val="tx1"/>
                  </w14:solidFill>
                </w14:textFill>
              </w:rPr>
              <w:t>设置防尘网</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施工燃油废气</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对</w:t>
            </w:r>
            <w:r>
              <w:rPr>
                <w:rFonts w:hint="default"/>
                <w:color w:val="000000" w:themeColor="text1"/>
                <w14:textFill>
                  <w14:solidFill>
                    <w14:schemeClr w14:val="tx1"/>
                  </w14:solidFill>
                </w14:textFill>
              </w:rPr>
              <w:t>施工机械及运输车辆定期检修与保养，及时清洗、维修</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淤泥翻晒、干化恶臭</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对</w:t>
            </w:r>
            <w:r>
              <w:rPr>
                <w:rFonts w:hint="eastAsia"/>
                <w:color w:val="000000" w:themeColor="text1"/>
                <w14:textFill>
                  <w14:solidFill>
                    <w14:schemeClr w14:val="tx1"/>
                  </w14:solidFill>
                </w14:textFill>
              </w:rPr>
              <w:t>周边有敏感点的渠段</w:t>
            </w:r>
            <w:r>
              <w:rPr>
                <w:rFonts w:hint="default"/>
                <w:color w:val="000000" w:themeColor="text1"/>
                <w14:textFill>
                  <w14:solidFill>
                    <w14:schemeClr w14:val="tx1"/>
                  </w14:solidFill>
                </w14:textFill>
              </w:rPr>
              <w:t>进行围</w:t>
            </w:r>
            <w:r>
              <w:rPr>
                <w:rFonts w:hint="eastAsia"/>
                <w:color w:val="000000" w:themeColor="text1"/>
                <w14:textFill>
                  <w14:solidFill>
                    <w14:schemeClr w14:val="tx1"/>
                  </w14:solidFill>
                </w14:textFill>
              </w:rPr>
              <w:t>挡</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喷洒生石灰、除臭剂等，淤泥及时清运</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废水</w:t>
            </w: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生产</w:t>
            </w:r>
            <w:r>
              <w:rPr>
                <w:rFonts w:hint="default"/>
                <w:color w:val="000000" w:themeColor="text1"/>
                <w14:textFill>
                  <w14:solidFill>
                    <w14:schemeClr w14:val="tx1"/>
                  </w14:solidFill>
                </w14:textFill>
              </w:rPr>
              <w:t>废水</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本项目在施工</w:t>
            </w:r>
            <w:r>
              <w:rPr>
                <w:rFonts w:hint="eastAsia"/>
                <w:color w:val="000000" w:themeColor="text1"/>
                <w14:textFill>
                  <w14:solidFill>
                    <w14:schemeClr w14:val="tx1"/>
                  </w14:solidFill>
                </w14:textFill>
              </w:rPr>
              <w:t>工区</w:t>
            </w:r>
            <w:r>
              <w:rPr>
                <w:rFonts w:hint="default"/>
                <w:color w:val="000000" w:themeColor="text1"/>
                <w14:textFill>
                  <w14:solidFill>
                    <w14:schemeClr w14:val="tx1"/>
                  </w14:solidFill>
                </w14:textFill>
              </w:rPr>
              <w:t>设置1座沉淀池（约10m</w:t>
            </w:r>
            <w:r>
              <w:rPr>
                <w:rFonts w:hint="default"/>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），本项目产生的车辆冲洗废水等施工废水经沉淀池处理后，回用于洒水降尘，不外排</w:t>
            </w:r>
            <w:r>
              <w:rPr>
                <w:rFonts w:hint="eastAsia"/>
                <w:color w:val="000000" w:themeColor="text1"/>
                <w14:textFill>
                  <w14:solidFill>
                    <w14:schemeClr w14:val="tx1"/>
                  </w14:solidFill>
                </w14:textFill>
              </w:rPr>
              <w:t>；基坑废水用</w:t>
            </w:r>
            <w:r>
              <w:rPr>
                <w:rFonts w:hint="default"/>
                <w:color w:val="000000" w:themeColor="text1"/>
                <w14:textFill>
                  <w14:solidFill>
                    <w14:schemeClr w14:val="tx1"/>
                  </w14:solidFill>
                </w14:textFill>
              </w:rPr>
              <w:t>水泵抽出</w:t>
            </w:r>
            <w:r>
              <w:rPr>
                <w:rFonts w:hint="eastAsia"/>
                <w:color w:val="000000" w:themeColor="text1"/>
                <w14:textFill>
                  <w14:solidFill>
                    <w14:schemeClr w14:val="tx1"/>
                  </w14:solidFill>
                </w14:textFill>
              </w:rPr>
              <w:t>，经渠道旁临时沉淀池（5</w:t>
            </w:r>
            <w:r>
              <w:rPr>
                <w:rFonts w:hint="default"/>
                <w:color w:val="000000" w:themeColor="text1"/>
                <w14:textFill>
                  <w14:solidFill>
                    <w14:schemeClr w14:val="tx1"/>
                  </w14:solidFill>
                </w14:textFill>
              </w:rPr>
              <w:t>m</w:t>
            </w:r>
            <w:r>
              <w:rPr>
                <w:rFonts w:hint="default"/>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/个）沉淀后用于洒水降尘；混凝土养护废水自然蒸发，不外排；临时堆土场淋沥水经导流沟收集至沉淀池沉淀处理后，用于洒水降尘，不外排</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利用租用民房污水处理措施收集处理后进入市政污水管网</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噪声</w:t>
            </w: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设备噪声</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选用底噪设备，做好减振、降噪措施</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固体废物</w:t>
            </w: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生活垃圾交由环卫部门处置</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建筑垃圾</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能利用的回收利用，不能利用运至政府指定建筑垃圾处理场</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47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720"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土石方、淤泥</w:t>
            </w:r>
            <w:r>
              <w:rPr>
                <w:rFonts w:hint="eastAsia"/>
                <w:color w:val="000000" w:themeColor="text1"/>
                <w14:textFill>
                  <w14:solidFill>
                    <w14:schemeClr w14:val="tx1"/>
                  </w14:solidFill>
                </w14:textFill>
              </w:rPr>
              <w:t>、沉淀池沉渣</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zh-CN"/>
                <w14:textFill>
                  <w14:solidFill>
                    <w14:schemeClr w14:val="tx1"/>
                  </w14:solidFill>
                </w14:textFill>
              </w:rPr>
              <w:t>全部运至</w:t>
            </w:r>
            <w:r>
              <w:rPr>
                <w:rFonts w:hint="eastAsia" w:ascii="Times New Roman" w:hAnsi="Times New Roman" w:eastAsia="宋体" w:cs="Times New Roman"/>
                <w:color w:val="000000" w:themeColor="text1"/>
                <w14:textFill>
                  <w14:solidFill>
                    <w14:schemeClr w14:val="tx1"/>
                  </w14:solidFill>
                </w14:textFill>
              </w:rPr>
              <w:t>指定临时堆土场暂存，之后</w:t>
            </w:r>
            <w:r>
              <w:rPr>
                <w:rFonts w:hint="eastAsia" w:ascii="Times New Roman" w:hAnsi="Times New Roman" w:eastAsia="宋体" w:cs="Times New Roman"/>
                <w:color w:val="000000" w:themeColor="text1"/>
                <w:lang w:val="zh-CN"/>
                <w14:textFill>
                  <w14:solidFill>
                    <w14:schemeClr w14:val="tx1"/>
                  </w14:solidFill>
                </w14:textFill>
              </w:rPr>
              <w:t>用作成都市环城生态区农田综合整治及农业灌区设施建设项目农</w:t>
            </w:r>
            <w:r>
              <w:rPr>
                <w:rFonts w:hint="eastAsia" w:ascii="Times New Roman" w:hAnsi="Times New Roman" w:eastAsia="宋体" w:cs="Times New Roman"/>
                <w:color w:val="000000" w:themeColor="text1"/>
                <w:lang w:val="en-US" w:eastAsia="zh-CN"/>
                <w14:textFill>
                  <w14:solidFill>
                    <w14:schemeClr w14:val="tx1"/>
                  </w14:solidFill>
                </w14:textFill>
              </w:rPr>
              <w:t>综合利用</w:t>
            </w:r>
            <w:r>
              <w:rPr>
                <w:rFonts w:hint="eastAsia" w:ascii="Times New Roman" w:hAnsi="Times New Roman" w:eastAsia="宋体" w:cs="Times New Roman"/>
                <w:color w:val="000000" w:themeColor="text1"/>
                <w:lang w:val="zh-CN"/>
                <w14:textFill>
                  <w14:solidFill>
                    <w14:schemeClr w14:val="tx1"/>
                  </w14:solidFill>
                </w14:textFill>
              </w:rPr>
              <w:t>，或者运至</w:t>
            </w:r>
            <w:r>
              <w:rPr>
                <w:rFonts w:hint="eastAsia" w:ascii="Times New Roman" w:hAnsi="Times New Roman" w:eastAsia="宋体" w:cs="Times New Roman"/>
                <w:color w:val="000000" w:themeColor="text1"/>
                <w:lang w:val="en-US" w:eastAsia="zh-CN"/>
                <w14:textFill>
                  <w14:solidFill>
                    <w14:schemeClr w14:val="tx1"/>
                  </w14:solidFill>
                </w14:textFill>
              </w:rPr>
              <w:t>余土摊平处理区回填</w:t>
            </w:r>
            <w:r>
              <w:rPr>
                <w:rFonts w:hint="eastAsia" w:ascii="Times New Roman" w:hAnsi="Times New Roman" w:eastAsia="宋体" w:cs="Times New Roman"/>
                <w:color w:val="000000" w:themeColor="text1"/>
                <w:lang w:val="zh-CN"/>
                <w14:textFill>
                  <w14:solidFill>
                    <w14:schemeClr w14:val="tx1"/>
                  </w14:solidFill>
                </w14:textFill>
              </w:rPr>
              <w:t>利用。</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199" w:type="pct"/>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生态措施</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施工结束后对临时占地进行复垦、生态恢复</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199" w:type="pct"/>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环境监理</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snapToGrid w:val="0"/>
                <w:color w:val="000000" w:themeColor="text1"/>
                <w14:textFill>
                  <w14:solidFill>
                    <w14:schemeClr w14:val="tx1"/>
                  </w14:solidFill>
                </w14:textFill>
              </w:rPr>
              <w:t>检查和监督施工过程中发生的施工扬尘和施工噪声引起的环境问题</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199" w:type="pct"/>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环境监测</w:t>
            </w:r>
          </w:p>
        </w:tc>
        <w:tc>
          <w:tcPr>
            <w:tcW w:w="2408"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实施施工期扬尘、地表水、环境噪声</w:t>
            </w:r>
            <w:r>
              <w:rPr>
                <w:rFonts w:hint="default"/>
                <w:snapToGrid w:val="0"/>
                <w:color w:val="000000" w:themeColor="text1"/>
                <w14:textFill>
                  <w14:solidFill>
                    <w14:schemeClr w14:val="tx1"/>
                  </w14:solidFill>
                </w14:textFill>
              </w:rPr>
              <w:t>环境监测，</w:t>
            </w:r>
            <w:r>
              <w:rPr>
                <w:rFonts w:hint="eastAsia"/>
                <w:snapToGrid w:val="0"/>
                <w:color w:val="000000" w:themeColor="text1"/>
                <w14:textFill>
                  <w14:solidFill>
                    <w14:schemeClr w14:val="tx1"/>
                  </w14:solidFill>
                </w14:textFill>
              </w:rPr>
              <w:t>生态监测</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199" w:type="pct"/>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环保验收</w:t>
            </w:r>
          </w:p>
        </w:tc>
        <w:tc>
          <w:tcPr>
            <w:tcW w:w="2408" w:type="pct"/>
            <w:vAlign w:val="center"/>
          </w:tcPr>
          <w:p>
            <w:pPr>
              <w:pStyle w:val="60"/>
              <w:keepNext w:val="0"/>
              <w:keepLines w:val="0"/>
              <w:suppressLineNumbers w:val="0"/>
              <w:snapToGrid w:val="0"/>
              <w:spacing w:before="0" w:beforeAutospacing="0" w:after="0" w:afterAutospacing="0"/>
              <w:ind w:left="0" w:right="0"/>
              <w:rPr>
                <w:rFonts w:hint="default"/>
                <w:snapToGrid w:val="0"/>
                <w:color w:val="000000" w:themeColor="text1"/>
                <w14:textFill>
                  <w14:solidFill>
                    <w14:schemeClr w14:val="tx1"/>
                  </w14:solidFill>
                </w14:textFill>
              </w:rPr>
            </w:pPr>
            <w:r>
              <w:rPr>
                <w:rFonts w:hint="default"/>
                <w:snapToGrid w:val="0"/>
                <w:color w:val="000000" w:themeColor="text1"/>
                <w14:textFill>
                  <w14:solidFill>
                    <w14:schemeClr w14:val="tx1"/>
                  </w14:solidFill>
                </w14:textFill>
              </w:rPr>
              <w:t>竣工环保验收调查</w:t>
            </w:r>
          </w:p>
        </w:tc>
        <w:tc>
          <w:tcPr>
            <w:tcW w:w="8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540" w:type="pct"/>
            <w:vMerge w:val="continue"/>
            <w:tcBorders>
              <w:bottom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3607" w:type="pct"/>
            <w:gridSpan w:val="3"/>
            <w:tcBorders>
              <w:bottom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合计</w:t>
            </w:r>
          </w:p>
        </w:tc>
        <w:tc>
          <w:tcPr>
            <w:tcW w:w="852" w:type="pct"/>
            <w:tcBorders>
              <w:bottom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125</w:t>
            </w:r>
          </w:p>
        </w:tc>
      </w:tr>
    </w:tbl>
    <w:p>
      <w:pPr>
        <w:pStyle w:val="3"/>
        <w:spacing w:line="360" w:lineRule="auto"/>
        <w:ind w:left="0" w:firstLine="640"/>
        <w:rPr>
          <w:rFonts w:eastAsia="黑体"/>
          <w:color w:val="000000" w:themeColor="text1"/>
          <w14:textFill>
            <w14:solidFill>
              <w14:schemeClr w14:val="tx1"/>
            </w14:solidFill>
          </w14:textFill>
        </w:rPr>
      </w:pPr>
      <w:bookmarkStart w:id="625" w:name="_bookmark140"/>
      <w:bookmarkEnd w:id="625"/>
      <w:bookmarkStart w:id="626" w:name="8.3环境保护成本"/>
      <w:bookmarkEnd w:id="626"/>
      <w:bookmarkStart w:id="627" w:name="_Toc3377"/>
      <w:bookmarkStart w:id="628" w:name="_Toc23583"/>
      <w:bookmarkStart w:id="629" w:name="_Toc23580"/>
      <w:bookmarkStart w:id="630" w:name="_Toc5032"/>
      <w:bookmarkStart w:id="631" w:name="_Toc16932"/>
      <w:bookmarkStart w:id="632" w:name="_Toc70496335"/>
      <w:r>
        <w:rPr>
          <w:rFonts w:eastAsia="黑体"/>
          <w:color w:val="000000" w:themeColor="text1"/>
          <w14:textFill>
            <w14:solidFill>
              <w14:schemeClr w14:val="tx1"/>
            </w14:solidFill>
          </w14:textFill>
        </w:rPr>
        <w:t>6.2效益分析</w:t>
      </w:r>
      <w:bookmarkEnd w:id="627"/>
      <w:bookmarkEnd w:id="628"/>
      <w:bookmarkEnd w:id="629"/>
      <w:bookmarkEnd w:id="630"/>
      <w:bookmarkEnd w:id="631"/>
      <w:bookmarkEnd w:id="632"/>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33" w:name="_Toc9008"/>
      <w:bookmarkStart w:id="634" w:name="_Toc22622"/>
      <w:bookmarkStart w:id="635" w:name="_Toc70496336"/>
      <w:bookmarkStart w:id="636" w:name="_Toc8413"/>
      <w:bookmarkStart w:id="637" w:name="_Toc3813"/>
      <w:bookmarkStart w:id="638" w:name="_Toc21127"/>
      <w:r>
        <w:rPr>
          <w:rFonts w:ascii="Times New Roman" w:hAnsi="Times New Roman" w:cs="Times New Roman"/>
          <w:color w:val="000000" w:themeColor="text1"/>
          <w14:textFill>
            <w14:solidFill>
              <w14:schemeClr w14:val="tx1"/>
            </w14:solidFill>
          </w14:textFill>
        </w:rPr>
        <w:t>6.2.1社会经济效益分析</w:t>
      </w:r>
      <w:bookmarkEnd w:id="633"/>
      <w:bookmarkEnd w:id="634"/>
      <w:bookmarkEnd w:id="635"/>
      <w:bookmarkEnd w:id="636"/>
      <w:bookmarkEnd w:id="637"/>
      <w:bookmarkEnd w:id="638"/>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本工程的实施对于满足粮食安全、生态安全、经济跨越发展的需要都具有重大意义。</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通过灌区渠道改造，对水资源进行统筹利用和合理优化配置，因地制宜提出兴修水利工程，解决灌区适时适量供水，增加灌区保灌面积，提升粮食作物和经济作物产量，充分发挥灌区的潜力，将资源和区位优势转化为经济优势，促进当地经济社会的可持续发展。渠道改造后，环城生态带灌排水能力增强，粮食作物和经济作物产量增加，通过灌区建设使人民群众基本生活所需的物质条件到保证，保障粮食生产安全和城乡供水安全，提高人民群众生活水平具有重要作用。经济效益和社会效益非常显著。</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同时，本工程建设期间大量施工人员的生活需求将主要由当地的农产品及服务满足，消费需求的增加将在一定程度上促进地方农业、餐饮业和其它服务业的发展，有利于地方农业产业结构调整和第三产业的快速发展。</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39" w:name="_Toc70496337"/>
      <w:bookmarkStart w:id="640" w:name="_Toc10291"/>
      <w:bookmarkStart w:id="641" w:name="_Toc20550"/>
      <w:bookmarkStart w:id="642" w:name="_Toc16633"/>
      <w:bookmarkStart w:id="643" w:name="_Toc13196"/>
      <w:bookmarkStart w:id="644" w:name="_Toc17610"/>
      <w:r>
        <w:rPr>
          <w:rFonts w:ascii="Times New Roman" w:hAnsi="Times New Roman" w:cs="Times New Roman"/>
          <w:color w:val="000000" w:themeColor="text1"/>
          <w14:textFill>
            <w14:solidFill>
              <w14:schemeClr w14:val="tx1"/>
            </w14:solidFill>
          </w14:textFill>
        </w:rPr>
        <w:t>6.2.2环境效益</w:t>
      </w:r>
      <w:bookmarkEnd w:id="639"/>
      <w:bookmarkEnd w:id="640"/>
      <w:bookmarkEnd w:id="641"/>
      <w:bookmarkEnd w:id="642"/>
      <w:bookmarkEnd w:id="643"/>
      <w:bookmarkEnd w:id="644"/>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本项目环保治理环境收益主要表现在废水、废气、噪声等能够达标排放，固废也能得到有效暂存，环境风险得到控制，不会对环境造成明显不利影响；生活垃圾收集后交环卫部门处理，</w:t>
      </w:r>
      <w:r>
        <w:rPr>
          <w:rFonts w:hint="eastAsia"/>
          <w:color w:val="000000" w:themeColor="text1"/>
          <w:sz w:val="24"/>
          <w:szCs w:val="24"/>
          <w:lang w:val="en-US" w:eastAsia="zh-CN"/>
          <w14:textFill>
            <w14:solidFill>
              <w14:schemeClr w14:val="tx1"/>
            </w14:solidFill>
          </w14:textFill>
        </w:rPr>
        <w:t>开挖土石方及淤泥用于农田整治综合利用，</w:t>
      </w:r>
      <w:r>
        <w:rPr>
          <w:color w:val="000000" w:themeColor="text1"/>
          <w:sz w:val="24"/>
          <w:szCs w:val="24"/>
          <w14:textFill>
            <w14:solidFill>
              <w14:schemeClr w14:val="tx1"/>
            </w14:solidFill>
          </w14:textFill>
        </w:rPr>
        <w:t>建筑垃圾分类收集处置，能回收的回收综合利用，不可回收的交由</w:t>
      </w:r>
      <w:r>
        <w:rPr>
          <w:rFonts w:hint="eastAsia"/>
          <w:color w:val="000000" w:themeColor="text1"/>
          <w:sz w:val="24"/>
          <w:szCs w:val="24"/>
          <w:lang w:val="en-US" w:eastAsia="zh-CN"/>
          <w14:textFill>
            <w14:solidFill>
              <w14:schemeClr w14:val="tx1"/>
            </w14:solidFill>
          </w14:textFill>
        </w:rPr>
        <w:t>运至政府</w:t>
      </w:r>
      <w:r>
        <w:rPr>
          <w:rFonts w:hint="eastAsia" w:ascii="Times New Roman" w:hAnsi="Times New Roman" w:eastAsia="宋体" w:cs="Times New Roman"/>
          <w:color w:val="000000" w:themeColor="text1"/>
          <w:kern w:val="0"/>
          <w:sz w:val="24"/>
          <w:lang w:val="zh-CN"/>
          <w14:textFill>
            <w14:solidFill>
              <w14:schemeClr w14:val="tx1"/>
            </w14:solidFill>
          </w14:textFill>
        </w:rPr>
        <w:t>指定建筑垃圾堆放场</w:t>
      </w:r>
      <w:r>
        <w:rPr>
          <w:color w:val="000000" w:themeColor="text1"/>
          <w:sz w:val="24"/>
          <w:szCs w:val="24"/>
          <w14:textFill>
            <w14:solidFill>
              <w14:schemeClr w14:val="tx1"/>
            </w14:solidFill>
          </w14:textFill>
        </w:rPr>
        <w:t>处置，项目固体废物不会对环境产生明显影响；项目的设备噪声通过隔声、减振及消声等措施控制</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通过防渗等控制环境风险。工程对废气、废水、固体废弃物以及噪声采取的污染防治措施一方面减少了污染物排放对环境的危害，体现了较好的环境效益。</w:t>
      </w:r>
    </w:p>
    <w:p>
      <w:pPr>
        <w:pStyle w:val="3"/>
        <w:spacing w:line="360" w:lineRule="auto"/>
        <w:ind w:left="0" w:firstLine="640"/>
        <w:rPr>
          <w:rFonts w:eastAsia="黑体"/>
          <w:color w:val="000000" w:themeColor="text1"/>
          <w14:textFill>
            <w14:solidFill>
              <w14:schemeClr w14:val="tx1"/>
            </w14:solidFill>
          </w14:textFill>
        </w:rPr>
      </w:pPr>
      <w:bookmarkStart w:id="645" w:name="_Toc8469"/>
      <w:bookmarkStart w:id="646" w:name="_Toc3057"/>
      <w:bookmarkStart w:id="647" w:name="_Toc19495"/>
      <w:bookmarkStart w:id="648" w:name="_Toc29688"/>
      <w:bookmarkStart w:id="649" w:name="_Toc11716"/>
      <w:bookmarkStart w:id="650" w:name="_Toc70496338"/>
      <w:r>
        <w:rPr>
          <w:rFonts w:eastAsia="黑体"/>
          <w:color w:val="000000" w:themeColor="text1"/>
          <w14:textFill>
            <w14:solidFill>
              <w14:schemeClr w14:val="tx1"/>
            </w14:solidFill>
          </w14:textFill>
        </w:rPr>
        <w:t>6.3</w:t>
      </w:r>
      <w:bookmarkEnd w:id="645"/>
      <w:bookmarkEnd w:id="646"/>
      <w:bookmarkEnd w:id="647"/>
      <w:bookmarkEnd w:id="648"/>
      <w:r>
        <w:rPr>
          <w:rFonts w:eastAsia="黑体"/>
          <w:color w:val="000000" w:themeColor="text1"/>
          <w14:textFill>
            <w14:solidFill>
              <w14:schemeClr w14:val="tx1"/>
            </w14:solidFill>
          </w14:textFill>
        </w:rPr>
        <w:t>环境保护的技术经济合理性</w:t>
      </w:r>
      <w:bookmarkEnd w:id="649"/>
      <w:bookmarkEnd w:id="650"/>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项目实施将会给项目所在区域环境带来一定的影响，并由此还会带来一定的经济损失；在采取相应的治理措施后，这种对环境的影响是可以接受的。同时，项目施工建设与工程完成后的过程中，建设单位也将采取一定的环境保护措施，将环境影响控制在最小范围和最低程度，并且这些污染防治办法与环境保护措施在经济上是合理的、可行的。</w:t>
      </w:r>
    </w:p>
    <w:p>
      <w:pPr>
        <w:spacing w:line="360" w:lineRule="auto"/>
        <w:ind w:firstLine="480" w:firstLineChars="200"/>
        <w:jc w:val="both"/>
        <w:rPr>
          <w:color w:val="000000" w:themeColor="text1"/>
          <w:sz w:val="24"/>
          <w:szCs w:val="24"/>
          <w14:textFill>
            <w14:solidFill>
              <w14:schemeClr w14:val="tx1"/>
            </w14:solidFill>
          </w14:textFill>
        </w:rPr>
        <w:sectPr>
          <w:headerReference r:id="rId18" w:type="default"/>
          <w:footerReference r:id="rId19"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651" w:name="_bookmark147"/>
      <w:bookmarkEnd w:id="651"/>
      <w:bookmarkStart w:id="652" w:name="9.0环境管理与监测计划._"/>
      <w:bookmarkEnd w:id="652"/>
      <w:bookmarkStart w:id="653" w:name="_Toc20376"/>
      <w:bookmarkStart w:id="654" w:name="_Toc31336"/>
      <w:bookmarkStart w:id="655" w:name="_Toc4728"/>
      <w:bookmarkStart w:id="656" w:name="_Toc14876"/>
      <w:bookmarkStart w:id="657" w:name="_Toc70496339"/>
      <w:bookmarkStart w:id="658" w:name="_Toc12570"/>
      <w:r>
        <w:rPr>
          <w:rFonts w:ascii="Times New Roman" w:hAnsi="Times New Roman" w:cs="Times New Roman"/>
          <w:color w:val="000000" w:themeColor="text1"/>
          <w14:textFill>
            <w14:solidFill>
              <w14:schemeClr w14:val="tx1"/>
            </w14:solidFill>
          </w14:textFill>
        </w:rPr>
        <w:t>7.环境管理与监测计划</w:t>
      </w:r>
      <w:bookmarkEnd w:id="653"/>
      <w:bookmarkEnd w:id="654"/>
      <w:bookmarkEnd w:id="655"/>
      <w:bookmarkEnd w:id="656"/>
      <w:bookmarkEnd w:id="657"/>
      <w:bookmarkEnd w:id="658"/>
    </w:p>
    <w:p>
      <w:pPr>
        <w:pStyle w:val="71"/>
        <w:spacing w:line="360" w:lineRule="auto"/>
        <w:jc w:val="both"/>
        <w:rPr>
          <w:rFonts w:eastAsia="黑体"/>
          <w:color w:val="000000" w:themeColor="text1"/>
          <w14:textFill>
            <w14:solidFill>
              <w14:schemeClr w14:val="tx1"/>
            </w14:solidFill>
          </w14:textFill>
        </w:rPr>
      </w:pPr>
      <w:bookmarkStart w:id="659" w:name="_bookmark148"/>
      <w:bookmarkEnd w:id="659"/>
      <w:bookmarkStart w:id="660" w:name="9.1环境管理要求"/>
      <w:bookmarkEnd w:id="660"/>
      <w:bookmarkStart w:id="661" w:name="_Toc8755"/>
      <w:bookmarkStart w:id="662" w:name="_Toc4508"/>
      <w:bookmarkStart w:id="663" w:name="_Toc14885"/>
      <w:bookmarkStart w:id="664" w:name="_Toc25928"/>
      <w:r>
        <w:rPr>
          <w:color w:val="000000" w:themeColor="text1"/>
          <w14:textFill>
            <w14:solidFill>
              <w14:schemeClr w14:val="tx1"/>
            </w14:solidFill>
          </w14:textFill>
        </w:rPr>
        <w:t>施工期及营运期需设置详细的环境保护管理与监测计划，需实行“领导全面负责、分级落实、分工负责、归口管理”的体制，保证项目在施工期及营运期各项环保措施及对策能够充分落实到位，使项目的环境影响降到最低。</w:t>
      </w:r>
    </w:p>
    <w:p>
      <w:pPr>
        <w:pStyle w:val="3"/>
        <w:spacing w:line="360" w:lineRule="auto"/>
        <w:ind w:left="0" w:firstLine="640"/>
        <w:rPr>
          <w:rFonts w:eastAsia="黑体"/>
          <w:color w:val="000000" w:themeColor="text1"/>
          <w14:textFill>
            <w14:solidFill>
              <w14:schemeClr w14:val="tx1"/>
            </w14:solidFill>
          </w14:textFill>
        </w:rPr>
      </w:pPr>
      <w:bookmarkStart w:id="665" w:name="_Toc70496340"/>
      <w:bookmarkStart w:id="666" w:name="_Toc27993"/>
      <w:r>
        <w:rPr>
          <w:rFonts w:eastAsia="黑体"/>
          <w:color w:val="000000" w:themeColor="text1"/>
          <w14:textFill>
            <w14:solidFill>
              <w14:schemeClr w14:val="tx1"/>
            </w14:solidFill>
          </w14:textFill>
        </w:rPr>
        <w:t>7.1环境管理</w:t>
      </w:r>
      <w:bookmarkEnd w:id="661"/>
      <w:bookmarkEnd w:id="662"/>
      <w:bookmarkEnd w:id="663"/>
      <w:bookmarkEnd w:id="664"/>
      <w:r>
        <w:rPr>
          <w:rFonts w:eastAsia="黑体"/>
          <w:color w:val="000000" w:themeColor="text1"/>
          <w14:textFill>
            <w14:solidFill>
              <w14:schemeClr w14:val="tx1"/>
            </w14:solidFill>
          </w14:textFill>
        </w:rPr>
        <w:t>计划</w:t>
      </w:r>
      <w:bookmarkEnd w:id="665"/>
      <w:bookmarkEnd w:id="666"/>
    </w:p>
    <w:p>
      <w:pPr>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环境管理就是指工程在施工期、营运期时全面执行和遵守国家、省、市有关环境保护法律、法规、政策和标准，接受地方环境保护主管部门的环境监督，调整和制定环境保护规划和目标，力争把不利影响减小到最低，加强项目环境管理，协调解决实现目标过程中的具体问题，及时调整工程运行方式和环境保护措施，以取得更好的综合环境效益，最终达到保护环境的目的。建设项目环境管理是工程管理的重要组成部分，是工程环境保护工作能够有效实施的关键。</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67" w:name="_Toc70496341"/>
      <w:bookmarkStart w:id="668" w:name="_Toc6533"/>
      <w:r>
        <w:rPr>
          <w:rFonts w:ascii="Times New Roman" w:hAnsi="Times New Roman" w:cs="Times New Roman"/>
          <w:color w:val="000000" w:themeColor="text1"/>
          <w14:textFill>
            <w14:solidFill>
              <w14:schemeClr w14:val="tx1"/>
            </w14:solidFill>
          </w14:textFill>
        </w:rPr>
        <w:t>7.1.1环境管理目标</w:t>
      </w:r>
      <w:bookmarkEnd w:id="667"/>
      <w:bookmarkEnd w:id="668"/>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根据有关环保法规及工程特点，工程环境管理总目标为：</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（1）确保本工程符合环境保护有关法律法规的要求；</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（2）以适当的环境保护投资确保本工程各项环保措施的实施；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（3）环境影响报告书中所确认的不利影响应得到有效缓解或消除，制定的环保措施得以落实；</w:t>
      </w:r>
    </w:p>
    <w:p>
      <w:pPr>
        <w:adjustRightInd w:val="0"/>
        <w:snapToGrid w:val="0"/>
        <w:spacing w:line="360" w:lineRule="auto"/>
        <w:ind w:firstLine="480" w:firstLineChars="200"/>
        <w:jc w:val="both"/>
        <w:rPr>
          <w:b/>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（4）实现工程建设的环境效益、社会效益和经济效益的统一</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69" w:name="_Toc5956"/>
      <w:bookmarkStart w:id="670" w:name="_Toc70496342"/>
      <w:r>
        <w:rPr>
          <w:rFonts w:ascii="Times New Roman" w:hAnsi="Times New Roman" w:cs="Times New Roman"/>
          <w:color w:val="000000" w:themeColor="text1"/>
          <w14:textFill>
            <w14:solidFill>
              <w14:schemeClr w14:val="tx1"/>
            </w14:solidFill>
          </w14:textFill>
        </w:rPr>
        <w:t>7.1.2环境管理机构设置及职责</w:t>
      </w:r>
      <w:bookmarkEnd w:id="669"/>
      <w:bookmarkEnd w:id="670"/>
    </w:p>
    <w:p>
      <w:pPr>
        <w:adjustRightInd w:val="0"/>
        <w:snapToGrid w:val="0"/>
        <w:spacing w:line="360" w:lineRule="auto"/>
        <w:ind w:firstLine="482" w:firstLineChars="200"/>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1、环境管理机构设置</w:t>
      </w:r>
    </w:p>
    <w:p>
      <w:pPr>
        <w:adjustRightInd w:val="0"/>
        <w:snapToGrid w:val="0"/>
        <w:spacing w:line="360" w:lineRule="auto"/>
        <w:ind w:firstLine="480" w:firstLineChars="200"/>
        <w:jc w:val="both"/>
        <w:rPr>
          <w:b/>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项目施工期的环境管理机构为施工单位，建设单位对其进行监督；营运期的环境管理机构为建设方。为了保证环境管理工作的有效性和公正性，应成立与工程无利益冲突的独立于施工部门的环境管理机构，机构中设置专职的环境管理人员，安排专业环保人员负责施工中的环境管理工作。而运营期的环境管理是长期、复杂的工作，该项目应设立环保管理部门，设专职人员2人。环境监测可委托地方环境监测站进行。</w:t>
      </w:r>
    </w:p>
    <w:p>
      <w:pPr>
        <w:adjustRightInd w:val="0"/>
        <w:snapToGrid w:val="0"/>
        <w:spacing w:line="360" w:lineRule="auto"/>
        <w:ind w:firstLine="482" w:firstLineChars="200"/>
        <w:jc w:val="both"/>
        <w:rPr>
          <w:b/>
          <w:color w:val="000000" w:themeColor="text1"/>
          <w:sz w:val="24"/>
          <w14:textFill>
            <w14:solidFill>
              <w14:schemeClr w14:val="tx1"/>
            </w14:solidFill>
          </w14:textFill>
        </w:rPr>
      </w:pPr>
      <w:r>
        <w:rPr>
          <w:b/>
          <w:color w:val="000000" w:themeColor="text1"/>
          <w:sz w:val="24"/>
          <w14:textFill>
            <w14:solidFill>
              <w14:schemeClr w14:val="tx1"/>
            </w14:solidFill>
          </w14:textFill>
        </w:rPr>
        <w:t>2、环境管理机构职责</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（1）项目施工期</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①</w:t>
      </w:r>
      <w:r>
        <w:rPr>
          <w:rFonts w:ascii="Times New Roman" w:cs="Times New Roman"/>
          <w:color w:val="000000" w:themeColor="text1"/>
          <w14:textFill>
            <w14:solidFill>
              <w14:schemeClr w14:val="tx1"/>
            </w14:solidFill>
          </w14:textFill>
        </w:rPr>
        <w:t>环境管理机构对施工期环境保护工作全面负责，履行施工期环境管理职责。</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②</w:t>
      </w:r>
      <w:r>
        <w:rPr>
          <w:rFonts w:ascii="Times New Roman" w:cs="Times New Roman"/>
          <w:color w:val="000000" w:themeColor="text1"/>
          <w14:textFill>
            <w14:solidFill>
              <w14:schemeClr w14:val="tx1"/>
            </w14:solidFill>
          </w14:textFill>
        </w:rPr>
        <w:t>对施工队伍实行职责管理，要求施工队文明施工，并做好监督检查教育工作。</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③</w:t>
      </w:r>
      <w:r>
        <w:rPr>
          <w:rFonts w:ascii="Times New Roman" w:cs="Times New Roman"/>
          <w:color w:val="000000" w:themeColor="text1"/>
          <w14:textFill>
            <w14:solidFill>
              <w14:schemeClr w14:val="tx1"/>
            </w14:solidFill>
          </w14:textFill>
        </w:rPr>
        <w:t>按照环保主管部门的要求和本报告书中有关环境保护对策措施对施工程序和场地布置实施统一安排。</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④</w:t>
      </w:r>
      <w:r>
        <w:rPr>
          <w:rFonts w:ascii="Times New Roman" w:cs="Times New Roman"/>
          <w:color w:val="000000" w:themeColor="text1"/>
          <w14:textFill>
            <w14:solidFill>
              <w14:schemeClr w14:val="tx1"/>
            </w14:solidFill>
          </w14:textFill>
        </w:rPr>
        <w:t>土建工程中土石方的挖掘与运输、施工建材机械等产生粉尘，对产生的扬尘应及时洒水、及时清除弃土，避免二次扬尘。配备专人负责。</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⑤</w:t>
      </w:r>
      <w:r>
        <w:rPr>
          <w:rFonts w:ascii="Times New Roman" w:cs="Times New Roman"/>
          <w:color w:val="000000" w:themeColor="text1"/>
          <w14:textFill>
            <w14:solidFill>
              <w14:schemeClr w14:val="tx1"/>
            </w14:solidFill>
          </w14:textFill>
        </w:rPr>
        <w:t>对于装运含尘物料的运输车应该加盖篷布，严格控制和规范车辆运输量和方式，容易产生粉尘的物料不能够装的高过车辆两边和尾部的挡板，严格控制物料的洒落，以避免因为道路颠簸和大风天气起尘而对沿途的大气环境造成影响。</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⑥</w:t>
      </w:r>
      <w:r>
        <w:rPr>
          <w:rFonts w:ascii="Times New Roman" w:cs="Times New Roman"/>
          <w:color w:val="000000" w:themeColor="text1"/>
          <w14:textFill>
            <w14:solidFill>
              <w14:schemeClr w14:val="tx1"/>
            </w14:solidFill>
          </w14:textFill>
        </w:rPr>
        <w:t>按国家关于《建筑施工场界环境噪声排放标准》（GB12523-2011）标准要求，凡是噪声达到85dB（A）及以上的作业，均禁止夜间施工。</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⑦</w:t>
      </w:r>
      <w:r>
        <w:rPr>
          <w:rFonts w:ascii="Times New Roman" w:cs="Times New Roman"/>
          <w:color w:val="000000" w:themeColor="text1"/>
          <w14:textFill>
            <w14:solidFill>
              <w14:schemeClr w14:val="tx1"/>
            </w14:solidFill>
          </w14:textFill>
        </w:rPr>
        <w:t>工程若涉及到文物，建设单位和施工单位应及时报告文物保护部门处理。</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（2）项目营运期</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①</w:t>
      </w:r>
      <w:r>
        <w:rPr>
          <w:rFonts w:ascii="Times New Roman" w:cs="Times New Roman"/>
          <w:color w:val="000000" w:themeColor="text1"/>
          <w14:textFill>
            <w14:solidFill>
              <w14:schemeClr w14:val="tx1"/>
            </w14:solidFill>
          </w14:textFill>
        </w:rPr>
        <w:t>负责宣传、组织贯彻国家有关环境保护主方针、政策、法令和条例，制定项目营运期环保管理规章制度，配合当地环保主管部门搞好项目环境保护工作；</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②</w:t>
      </w:r>
      <w:r>
        <w:rPr>
          <w:color w:val="000000" w:themeColor="text1"/>
          <w:sz w:val="24"/>
          <w:szCs w:val="24"/>
          <w14:textFill>
            <w14:solidFill>
              <w14:schemeClr w14:val="tx1"/>
            </w14:solidFill>
          </w14:textFill>
        </w:rPr>
        <w:t>负责该项目营运期环境监测工作，委托相关环境监测部门定期对水域水质进行监测，及时掌握该项目污染状况，整理监测数据，建立污染源档案，如发现严重超标时应及时向上汇报，管理部门可与相关部门协调共同解决污染问题。</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71" w:name="_Toc70496343"/>
      <w:bookmarkStart w:id="672" w:name="_Toc23406"/>
      <w:r>
        <w:rPr>
          <w:rFonts w:ascii="Times New Roman" w:hAnsi="Times New Roman" w:cs="Times New Roman"/>
          <w:color w:val="000000" w:themeColor="text1"/>
          <w14:textFill>
            <w14:solidFill>
              <w14:schemeClr w14:val="tx1"/>
            </w14:solidFill>
          </w14:textFill>
        </w:rPr>
        <w:t>7.1.3环境管理制度</w:t>
      </w:r>
      <w:bookmarkEnd w:id="671"/>
      <w:bookmarkEnd w:id="672"/>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1、分级管理制度</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建立环境保护责任制，在施工招标文件、承包合同中，明确污染防治设施与措施条款，由各施工承包单位负责组织实施，建设单位环境保护办公室负责定期检查，并将检查结果上报环境保护领导机构，对检查中所发现的问题通报监理部门，由监理部门督促施工单位整改。</w:t>
      </w:r>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2、监测和报告制度</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环境监测是环境管理部门获取施工区环境质量信息的重要手段，是进行环境管理的主要依据。从节约经费开支和保证成果质量的角度出发，建议采用合同管理的方式，委托当地具备相应监测资质的单位，对工程施工区及周围的环境质量按环境监控计划要求进行定期监测。并对监测成果实行月报、年报和定期编制环境质量报告书以及年审的制度。同时，应根据环境质量监测成果，对环保措施进行相应调整，以确保环境质量符合国家所确定的标准和省、地市确定的功能区划要求。</w:t>
      </w:r>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3、“三同时”验收制度</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建设项目环境保护“三同时”管理办法》，工程建设过程中的污染防治措施必须与建设项目同时设计、同时施工、同时投入运行。有关“三同时”项目必须按合同规定经有关部门验收合格后才能正式投入运行。防治污染的设施不得擅自拆除或闲置。</w:t>
      </w:r>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4、制定对突发事故的处置措施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工程施工期间，发生污染事故及其它突发性环境事件，除应立即采取补救措施外，施工单位还要及时通报可能受到影响的地区和居民，并报建设单位环保部门与地方环境保护行政主管部门接受调查处理。</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73" w:name="_Toc70496344"/>
      <w:bookmarkStart w:id="674" w:name="_Toc18989"/>
      <w:r>
        <w:rPr>
          <w:rFonts w:ascii="Times New Roman" w:hAnsi="Times New Roman" w:cs="Times New Roman"/>
          <w:color w:val="000000" w:themeColor="text1"/>
          <w14:textFill>
            <w14:solidFill>
              <w14:schemeClr w14:val="tx1"/>
            </w14:solidFill>
          </w14:textFill>
        </w:rPr>
        <w:t>7.1.4环境保护管理方案</w:t>
      </w:r>
      <w:bookmarkEnd w:id="673"/>
      <w:bookmarkEnd w:id="674"/>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1、项目设计阶段环境保护管理方案</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①</w:t>
      </w:r>
      <w:r>
        <w:rPr>
          <w:rFonts w:ascii="Times New Roman" w:cs="Times New Roman"/>
          <w:color w:val="000000" w:themeColor="text1"/>
          <w14:textFill>
            <w14:solidFill>
              <w14:schemeClr w14:val="tx1"/>
            </w14:solidFill>
          </w14:textFill>
        </w:rPr>
        <w:t>设计必要的防噪等工程措施。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②</w:t>
      </w:r>
      <w:r>
        <w:rPr>
          <w:rFonts w:ascii="Times New Roman" w:cs="Times New Roman"/>
          <w:color w:val="000000" w:themeColor="text1"/>
          <w14:textFill>
            <w14:solidFill>
              <w14:schemeClr w14:val="tx1"/>
            </w14:solidFill>
          </w14:textFill>
        </w:rPr>
        <w:t>做好景观设计。</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③</w:t>
      </w:r>
      <w:r>
        <w:rPr>
          <w:color w:val="000000" w:themeColor="text1"/>
          <w:sz w:val="24"/>
          <w:szCs w:val="24"/>
          <w14:textFill>
            <w14:solidFill>
              <w14:schemeClr w14:val="tx1"/>
            </w14:solidFill>
          </w14:textFill>
        </w:rPr>
        <w:t>工程设计应注重绿化建设，对施工影响区的生态恢复工作根据实际气候、植被、地形等因素进行因地制宜的设计规划。</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④</w:t>
      </w:r>
      <w:r>
        <w:rPr>
          <w:color w:val="000000" w:themeColor="text1"/>
          <w:sz w:val="24"/>
          <w:szCs w:val="24"/>
          <w14:textFill>
            <w14:solidFill>
              <w14:schemeClr w14:val="tx1"/>
            </w14:solidFill>
          </w14:textFill>
        </w:rPr>
        <w:t>充分做好区域内的截污和清淤设计，阻止水进入。</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⑤</w:t>
      </w:r>
      <w:r>
        <w:rPr>
          <w:color w:val="000000" w:themeColor="text1"/>
          <w:sz w:val="24"/>
          <w:szCs w:val="24"/>
          <w14:textFill>
            <w14:solidFill>
              <w14:schemeClr w14:val="tx1"/>
            </w14:solidFill>
          </w14:textFill>
        </w:rPr>
        <w:t>对项目土方、建材运输线路进行优化设计，尽量减少噪声和扬尘沿途敏感点的影响。</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⑥</w:t>
      </w:r>
      <w:r>
        <w:rPr>
          <w:color w:val="000000" w:themeColor="text1"/>
          <w:sz w:val="24"/>
          <w:szCs w:val="24"/>
          <w14:textFill>
            <w14:solidFill>
              <w14:schemeClr w14:val="tx1"/>
            </w14:solidFill>
          </w14:textFill>
        </w:rPr>
        <w:t>做好项目施工期水保方案，防止水土流失。</w:t>
      </w:r>
    </w:p>
    <w:p>
      <w:pPr>
        <w:adjustRightInd w:val="0"/>
        <w:snapToGrid w:val="0"/>
        <w:spacing w:line="360" w:lineRule="auto"/>
        <w:ind w:firstLine="482" w:firstLineChars="20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2、项目施工阶段环境管理方案</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施工阶段，环境保护是建设方的责任。在工程施工、竣工及修补其它缺陷的整个过程中，建设方应当：采取一切合理的步骤，以保护现场及其附近的环境，避免因施工而引起的污染、噪声或其它后果对公众造成人身或财务方面的伤害或妨碍。</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（1）大气环境的控制</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①</w:t>
      </w:r>
      <w:r>
        <w:rPr>
          <w:rFonts w:ascii="Times New Roman" w:cs="Times New Roman"/>
          <w:color w:val="000000" w:themeColor="text1"/>
          <w14:textFill>
            <w14:solidFill>
              <w14:schemeClr w14:val="tx1"/>
            </w14:solidFill>
          </w14:textFill>
        </w:rPr>
        <w:t>施工期间要做到文明施工，根据施工计划制定防止扬尘污染的措施，如架设挡板、洒水，多余土方及时清运，运输车辆在离开现场上路行驶之前车轮用水冲洗、加盖帆布运输等，同时尽量避免在起风情况下装卸物料。</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②</w:t>
      </w:r>
      <w:r>
        <w:rPr>
          <w:rFonts w:ascii="Times New Roman" w:cs="Times New Roman"/>
          <w:color w:val="000000" w:themeColor="text1"/>
          <w14:textFill>
            <w14:solidFill>
              <w14:schemeClr w14:val="tx1"/>
            </w14:solidFill>
          </w14:textFill>
        </w:rPr>
        <w:t>对违反操作规定施工或有问题不及时整改的采取行政和经济处罚。</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（2）水环境的控制</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①</w:t>
      </w:r>
      <w:r>
        <w:rPr>
          <w:rFonts w:ascii="Times New Roman" w:cs="Times New Roman"/>
          <w:color w:val="000000" w:themeColor="text1"/>
          <w14:textFill>
            <w14:solidFill>
              <w14:schemeClr w14:val="tx1"/>
            </w14:solidFill>
          </w14:textFill>
        </w:rPr>
        <w:t>施工人员生活污水严禁直接排入周边水体。</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②</w:t>
      </w:r>
      <w:r>
        <w:rPr>
          <w:rFonts w:ascii="Times New Roman" w:cs="Times New Roman"/>
          <w:color w:val="000000" w:themeColor="text1"/>
          <w14:textFill>
            <w14:solidFill>
              <w14:schemeClr w14:val="tx1"/>
            </w14:solidFill>
          </w14:textFill>
        </w:rPr>
        <w:t>施工场地应加强管理，防止土石方、施工材料邻近水域堆放。</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（3）噪声环境的控制</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①</w:t>
      </w:r>
      <w:r>
        <w:rPr>
          <w:rFonts w:ascii="Times New Roman" w:cs="Times New Roman"/>
          <w:color w:val="000000" w:themeColor="text1"/>
          <w14:textFill>
            <w14:solidFill>
              <w14:schemeClr w14:val="tx1"/>
            </w14:solidFill>
          </w14:textFill>
        </w:rPr>
        <w:t>以先进的低噪声施工工艺代替落后的高噪声施工工艺。</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②</w:t>
      </w:r>
      <w:r>
        <w:rPr>
          <w:rFonts w:ascii="Times New Roman" w:cs="Times New Roman"/>
          <w:color w:val="000000" w:themeColor="text1"/>
          <w14:textFill>
            <w14:solidFill>
              <w14:schemeClr w14:val="tx1"/>
            </w14:solidFill>
          </w14:textFill>
        </w:rPr>
        <w:t>推土机、挖掘机及装卸车辆进出场地应限速，加强设备运输车辆的维修保养。</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③</w:t>
      </w:r>
      <w:r>
        <w:rPr>
          <w:rFonts w:ascii="Times New Roman" w:cs="Times New Roman"/>
          <w:color w:val="000000" w:themeColor="text1"/>
          <w14:textFill>
            <w14:solidFill>
              <w14:schemeClr w14:val="tx1"/>
            </w14:solidFill>
          </w14:textFill>
        </w:rPr>
        <w:t>合理安排工期及施工时间。</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④</w:t>
      </w:r>
      <w:r>
        <w:rPr>
          <w:rFonts w:ascii="Times New Roman" w:cs="Times New Roman"/>
          <w:color w:val="000000" w:themeColor="text1"/>
          <w14:textFill>
            <w14:solidFill>
              <w14:schemeClr w14:val="tx1"/>
            </w14:solidFill>
          </w14:textFill>
        </w:rPr>
        <w:t>按规定操作设备，尽量减少碰撞噪声，采用现代通讯指挥设施，尽量少用哨子等指挥作业。</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（4）生态环境的控制</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①</w:t>
      </w:r>
      <w:r>
        <w:rPr>
          <w:rFonts w:ascii="Times New Roman" w:cs="Times New Roman"/>
          <w:color w:val="000000" w:themeColor="text1"/>
          <w14:textFill>
            <w14:solidFill>
              <w14:schemeClr w14:val="tx1"/>
            </w14:solidFill>
          </w14:textFill>
        </w:rPr>
        <w:t>对施工临时占地和影响区，在施工结束后，要进行清理整治，重新疏松被碾压后变得密实的土壤，洼地要覆土填平并及时进行植被恢复绿化，将水土流失降至最低限度。</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hint="eastAsia" w:hAnsi="宋体"/>
          <w:color w:val="000000" w:themeColor="text1"/>
          <w14:textFill>
            <w14:solidFill>
              <w14:schemeClr w14:val="tx1"/>
            </w14:solidFill>
          </w14:textFill>
        </w:rPr>
        <w:t>②</w:t>
      </w:r>
      <w:r>
        <w:rPr>
          <w:rFonts w:ascii="Times New Roman" w:cs="Times New Roman"/>
          <w:color w:val="000000" w:themeColor="text1"/>
          <w14:textFill>
            <w14:solidFill>
              <w14:schemeClr w14:val="tx1"/>
            </w14:solidFill>
          </w14:textFill>
        </w:rPr>
        <w:t>施工场地内临时弃土和建材堆放采取护坡和覆盖措施，防止产生水土流失。</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（5）固体废弃物的控制</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hint="eastAsia" w:hAnsi="宋体"/>
          <w:color w:val="000000" w:themeColor="text1"/>
          <w:szCs w:val="23"/>
          <w14:textFill>
            <w14:solidFill>
              <w14:schemeClr w14:val="tx1"/>
            </w14:solidFill>
          </w14:textFill>
        </w:rPr>
        <w:t>①</w:t>
      </w:r>
      <w:r>
        <w:rPr>
          <w:rFonts w:ascii="Times New Roman" w:cs="Times New Roman"/>
          <w:color w:val="000000" w:themeColor="text1"/>
          <w:szCs w:val="23"/>
          <w14:textFill>
            <w14:solidFill>
              <w14:schemeClr w14:val="tx1"/>
            </w14:solidFill>
          </w14:textFill>
        </w:rPr>
        <w:t>弃方应尽量综合利用，需外运的按当地有关部门规定送至指定的</w:t>
      </w:r>
      <w:r>
        <w:rPr>
          <w:rFonts w:hint="eastAsia" w:ascii="Times New Roman" w:cs="Times New Roman"/>
          <w:color w:val="000000" w:themeColor="text1"/>
          <w:szCs w:val="23"/>
          <w14:textFill>
            <w14:solidFill>
              <w14:schemeClr w14:val="tx1"/>
            </w14:solidFill>
          </w14:textFill>
        </w:rPr>
        <w:t>临时堆土场或余土摊平处理区</w:t>
      </w:r>
      <w:r>
        <w:rPr>
          <w:rFonts w:ascii="Times New Roman" w:cs="Times New Roman"/>
          <w:color w:val="000000" w:themeColor="text1"/>
          <w:szCs w:val="23"/>
          <w14:textFill>
            <w14:solidFill>
              <w14:schemeClr w14:val="tx1"/>
            </w14:solidFill>
          </w14:textFill>
        </w:rPr>
        <w:t>统一处置，生活垃圾运至市政环卫部门指定地点统一处理。</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hint="eastAsia" w:hAnsi="宋体"/>
          <w:color w:val="000000" w:themeColor="text1"/>
          <w:szCs w:val="23"/>
          <w14:textFill>
            <w14:solidFill>
              <w14:schemeClr w14:val="tx1"/>
            </w14:solidFill>
          </w14:textFill>
        </w:rPr>
        <w:t>②</w:t>
      </w:r>
      <w:r>
        <w:rPr>
          <w:rFonts w:ascii="Times New Roman" w:cs="Times New Roman"/>
          <w:color w:val="000000" w:themeColor="text1"/>
          <w:szCs w:val="23"/>
          <w14:textFill>
            <w14:solidFill>
              <w14:schemeClr w14:val="tx1"/>
            </w14:solidFill>
          </w14:textFill>
        </w:rPr>
        <w:t>废土堆放场地周围应进行护坡和修建排水沟，保证场地排水通畅，防止雨季堆场雨水不能及时排放而外溢。</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hint="eastAsia" w:hAnsi="宋体"/>
          <w:color w:val="000000" w:themeColor="text1"/>
          <w:szCs w:val="23"/>
          <w14:textFill>
            <w14:solidFill>
              <w14:schemeClr w14:val="tx1"/>
            </w14:solidFill>
          </w14:textFill>
        </w:rPr>
        <w:t>③</w:t>
      </w:r>
      <w:r>
        <w:rPr>
          <w:rFonts w:ascii="Times New Roman" w:cs="Times New Roman"/>
          <w:color w:val="000000" w:themeColor="text1"/>
          <w:szCs w:val="23"/>
          <w14:textFill>
            <w14:solidFill>
              <w14:schemeClr w14:val="tx1"/>
            </w14:solidFill>
          </w14:textFill>
        </w:rPr>
        <w:t>建筑垃圾和废土要及时处置，减少在施工场地的堆放时间。</w:t>
      </w:r>
    </w:p>
    <w:p>
      <w:pPr>
        <w:pStyle w:val="76"/>
        <w:spacing w:line="360" w:lineRule="auto"/>
        <w:ind w:firstLine="482" w:firstLineChars="200"/>
        <w:jc w:val="both"/>
        <w:rPr>
          <w:rFonts w:ascii="Times New Roman" w:cs="Times New Roman"/>
          <w:b/>
          <w:color w:val="000000" w:themeColor="text1"/>
          <w:szCs w:val="23"/>
          <w14:textFill>
            <w14:solidFill>
              <w14:schemeClr w14:val="tx1"/>
            </w14:solidFill>
          </w14:textFill>
        </w:rPr>
      </w:pPr>
      <w:r>
        <w:rPr>
          <w:rFonts w:ascii="Times New Roman" w:cs="Times New Roman"/>
          <w:b/>
          <w:color w:val="000000" w:themeColor="text1"/>
          <w:szCs w:val="23"/>
          <w14:textFill>
            <w14:solidFill>
              <w14:schemeClr w14:val="tx1"/>
            </w14:solidFill>
          </w14:textFill>
        </w:rPr>
        <w:t>3、项目运营阶段环境管理方案</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运营期环境管理主要是针对水域水质的环境管理，主要包括以下几方面：</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hint="eastAsia" w:hAnsi="宋体"/>
          <w:color w:val="000000" w:themeColor="text1"/>
          <w:szCs w:val="23"/>
          <w14:textFill>
            <w14:solidFill>
              <w14:schemeClr w14:val="tx1"/>
            </w14:solidFill>
          </w14:textFill>
        </w:rPr>
        <w:t>①</w:t>
      </w:r>
      <w:r>
        <w:rPr>
          <w:rFonts w:ascii="Times New Roman" w:cs="Times New Roman"/>
          <w:color w:val="000000" w:themeColor="text1"/>
          <w:szCs w:val="23"/>
          <w14:textFill>
            <w14:solidFill>
              <w14:schemeClr w14:val="tx1"/>
            </w14:solidFill>
          </w14:textFill>
        </w:rPr>
        <w:t>加强水域水质的监控，发现异常情况应及时查明并予以处理。</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hint="eastAsia" w:hAnsi="宋体"/>
          <w:color w:val="000000" w:themeColor="text1"/>
          <w:szCs w:val="23"/>
          <w14:textFill>
            <w14:solidFill>
              <w14:schemeClr w14:val="tx1"/>
            </w14:solidFill>
          </w14:textFill>
        </w:rPr>
        <w:t>②</w:t>
      </w:r>
      <w:r>
        <w:rPr>
          <w:rFonts w:ascii="Times New Roman" w:cs="Times New Roman"/>
          <w:color w:val="000000" w:themeColor="text1"/>
          <w:szCs w:val="23"/>
          <w14:textFill>
            <w14:solidFill>
              <w14:schemeClr w14:val="tx1"/>
            </w14:solidFill>
          </w14:textFill>
        </w:rPr>
        <w:t>对环境卫生的管理，主要是对丢弃垃圾的处理，保持水域的干净。</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75" w:name="_Toc70496345"/>
      <w:bookmarkStart w:id="676" w:name="_Toc12777"/>
      <w:r>
        <w:rPr>
          <w:rFonts w:ascii="Times New Roman" w:hAnsi="Times New Roman" w:cs="Times New Roman"/>
          <w:color w:val="000000" w:themeColor="text1"/>
          <w14:textFill>
            <w14:solidFill>
              <w14:schemeClr w14:val="tx1"/>
            </w14:solidFill>
          </w14:textFill>
        </w:rPr>
        <w:t>7.1.5环境保护培训计划</w:t>
      </w:r>
      <w:bookmarkEnd w:id="675"/>
      <w:bookmarkEnd w:id="676"/>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为增强工程建设者（包括管理人员和施工人员）的环境保护意识，施工区环境保护办公室应经常采取广播、宣传栏、专题讲座等方法对工程建设者进行环境保护宣传，提高环保意识，使每一个工程建设者都能自觉地参与环境保护工作，让环境保护从单纯的行政干预和法律约束变成人们的自觉行为。对环境保护专业技术人员应定期邀请环保专家进行讲学、培训，同时组织考察学习，以提高其业务水平。</w:t>
      </w:r>
    </w:p>
    <w:p>
      <w:pPr>
        <w:pStyle w:val="3"/>
        <w:spacing w:line="360" w:lineRule="auto"/>
        <w:ind w:left="0" w:firstLine="640"/>
        <w:rPr>
          <w:rFonts w:eastAsia="黑体"/>
          <w:color w:val="000000" w:themeColor="text1"/>
          <w14:textFill>
            <w14:solidFill>
              <w14:schemeClr w14:val="tx1"/>
            </w14:solidFill>
          </w14:textFill>
        </w:rPr>
      </w:pPr>
      <w:bookmarkStart w:id="677" w:name="_Toc28095"/>
      <w:bookmarkStart w:id="678" w:name="_Toc70496346"/>
      <w:r>
        <w:rPr>
          <w:rFonts w:eastAsia="黑体"/>
          <w:color w:val="000000" w:themeColor="text1"/>
          <w14:textFill>
            <w14:solidFill>
              <w14:schemeClr w14:val="tx1"/>
            </w14:solidFill>
          </w14:textFill>
        </w:rPr>
        <w:t>7.2环境监理</w:t>
      </w:r>
      <w:bookmarkEnd w:id="677"/>
      <w:bookmarkEnd w:id="678"/>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79" w:name="_Toc29772"/>
      <w:bookmarkStart w:id="680" w:name="_Toc70496347"/>
      <w:r>
        <w:rPr>
          <w:rFonts w:ascii="Times New Roman" w:hAnsi="Times New Roman" w:cs="Times New Roman"/>
          <w:color w:val="000000" w:themeColor="text1"/>
          <w14:textFill>
            <w14:solidFill>
              <w14:schemeClr w14:val="tx1"/>
            </w14:solidFill>
          </w14:textFill>
        </w:rPr>
        <w:t>7.2.1监理目的</w:t>
      </w:r>
      <w:bookmarkEnd w:id="679"/>
      <w:bookmarkEnd w:id="680"/>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项目施工期间，应根据当地环保主管部门的要求和环境保护设计要求，委托有环境监理资质的单位开展施工期环境监理，全面监督和检查施工单位环境保护措施的实施和效果，及时处理和解决临时出现的环境污染事件，减少各类污染物对周边环境的污染，以实现工程经济效益、社会效益和环境效益的统一。</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81" w:name="_Toc14570"/>
      <w:bookmarkStart w:id="682" w:name="_Toc70496348"/>
      <w:r>
        <w:rPr>
          <w:rFonts w:ascii="Times New Roman" w:hAnsi="Times New Roman" w:cs="Times New Roman"/>
          <w:color w:val="000000" w:themeColor="text1"/>
          <w14:textFill>
            <w14:solidFill>
              <w14:schemeClr w14:val="tx1"/>
            </w14:solidFill>
          </w14:textFill>
        </w:rPr>
        <w:t>7.2.2监理机构</w:t>
      </w:r>
      <w:bookmarkEnd w:id="681"/>
      <w:bookmarkEnd w:id="682"/>
    </w:p>
    <w:p>
      <w:pPr>
        <w:adjustRightInd w:val="0"/>
        <w:snapToGrid w:val="0"/>
        <w:spacing w:line="360" w:lineRule="auto"/>
        <w:ind w:firstLine="480" w:firstLineChars="200"/>
        <w:jc w:val="both"/>
        <w:rPr>
          <w:color w:val="000000" w:themeColor="text1"/>
          <w:sz w:val="28"/>
          <w:szCs w:val="24"/>
          <w14:textFill>
            <w14:solidFill>
              <w14:schemeClr w14:val="tx1"/>
            </w14:solidFill>
          </w14:textFill>
        </w:rPr>
      </w:pPr>
      <w:r>
        <w:rPr>
          <w:color w:val="000000" w:themeColor="text1"/>
          <w:sz w:val="24"/>
          <w:szCs w:val="23"/>
          <w14:textFill>
            <w14:solidFill>
              <w14:schemeClr w14:val="tx1"/>
            </w14:solidFill>
          </w14:textFill>
        </w:rPr>
        <w:t>环境工程监理不仅是环境管理的重要组成部分，也是工程监理的重要组成部分，并且具有相对的独立性。工程环境监理机构设置及工作程序见下图。</w:t>
      </w:r>
    </w:p>
    <w:p>
      <w:pPr>
        <w:adjustRightInd w:val="0"/>
        <w:snapToGrid w:val="0"/>
        <w:spacing w:line="360" w:lineRule="auto"/>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mc:AlternateContent>
          <mc:Choice Requires="wpc">
            <w:drawing>
              <wp:inline distT="0" distB="0" distL="0" distR="0">
                <wp:extent cx="5612130" cy="4182110"/>
                <wp:effectExtent l="0" t="0" r="7620" b="0"/>
                <wp:docPr id="11" name="画布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63" name="矩形 263"/>
                        <wps:cNvSpPr/>
                        <wps:spPr>
                          <a:xfrm>
                            <a:off x="704850" y="133350"/>
                            <a:ext cx="3467100" cy="4000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建设</w:t>
                              </w:r>
                              <w:r>
                                <w:t>单位</w:t>
                              </w:r>
                              <w:r>
                                <w:rPr>
                                  <w:rFonts w:hint="eastAsia"/>
                                </w:rPr>
                                <w:t>：成都天府绿道建设投资集团有限公司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4" name="直接箭头连接符 264"/>
                        <wps:cNvCnPr/>
                        <wps:spPr>
                          <a:xfrm>
                            <a:off x="1590675" y="533400"/>
                            <a:ext cx="0" cy="4762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5" name="直接箭头连接符 265"/>
                        <wps:cNvCnPr/>
                        <wps:spPr>
                          <a:xfrm flipV="1">
                            <a:off x="3248025" y="533400"/>
                            <a:ext cx="0" cy="4762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 name="矩形 75"/>
                        <wps:cNvSpPr/>
                        <wps:spPr>
                          <a:xfrm>
                            <a:off x="141900" y="1370625"/>
                            <a:ext cx="858225" cy="3057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pStyle w:val="34"/>
                                <w:spacing w:before="0" w:beforeAutospacing="0" w:after="0" w:afterAutospacing="0"/>
                                <w:jc w:val="center"/>
                                <w:rPr>
                                  <w:kern w:val="0"/>
                                </w:rPr>
                              </w:pPr>
                              <w:r>
                                <w:rPr>
                                  <w:rFonts w:hint="eastAsia"/>
                                  <w:sz w:val="21"/>
                                  <w:szCs w:val="21"/>
                                </w:rPr>
                                <w:t>设计单位</w:t>
                              </w:r>
                            </w:p>
                          </w:txbxContent>
                        </wps:txbx>
                        <wps:bodyPr rot="0" spcFirstLastPara="0" vert="horz" wrap="square" lIns="91440" tIns="45720" rIns="91440" bIns="45720" numCol="1" spcCol="0" rtlCol="0" fromWordArt="0" anchor="ctr" anchorCtr="0" forceAA="0" compatLnSpc="1">
                          <a:noAutofit/>
                        </wps:bodyPr>
                      </wps:wsp>
                      <wps:wsp>
                        <wps:cNvPr id="266" name="直接连接符 266"/>
                        <wps:cNvCnPr/>
                        <wps:spPr>
                          <a:xfrm>
                            <a:off x="571500" y="1028700"/>
                            <a:ext cx="3790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 name="直接箭头连接符 77"/>
                        <wps:cNvCnPr/>
                        <wps:spPr>
                          <a:xfrm>
                            <a:off x="571500" y="1028700"/>
                            <a:ext cx="0" cy="34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 name="直接箭头连接符 78"/>
                        <wps:cNvCnPr/>
                        <wps:spPr>
                          <a:xfrm>
                            <a:off x="2361225" y="1028700"/>
                            <a:ext cx="0" cy="3416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 name="直接箭头连接符 79"/>
                        <wps:cNvCnPr/>
                        <wps:spPr>
                          <a:xfrm>
                            <a:off x="4361475" y="1028995"/>
                            <a:ext cx="0" cy="3416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 name="矩形 80"/>
                        <wps:cNvSpPr/>
                        <wps:spPr>
                          <a:xfrm>
                            <a:off x="1913550" y="1370965"/>
                            <a:ext cx="857885" cy="3054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pStyle w:val="34"/>
                                <w:spacing w:before="0" w:beforeAutospacing="0" w:after="0" w:afterAutospacing="0"/>
                                <w:jc w:val="center"/>
                                <w:rPr>
                                  <w:kern w:val="0"/>
                                </w:rPr>
                              </w:pPr>
                              <w:r>
                                <w:rPr>
                                  <w:rFonts w:hint="eastAsia"/>
                                  <w:sz w:val="21"/>
                                  <w:szCs w:val="21"/>
                                </w:rPr>
                                <w:t>施工单位</w:t>
                              </w:r>
                            </w:p>
                          </w:txbxContent>
                        </wps:txbx>
                        <wps:bodyPr rot="0" spcFirstLastPara="0" vert="horz" wrap="square" lIns="91440" tIns="45720" rIns="91440" bIns="45720" numCol="1" spcCol="0" rtlCol="0" fromWordArt="0" anchor="ctr" anchorCtr="0" forceAA="0" compatLnSpc="1">
                          <a:noAutofit/>
                        </wps:bodyPr>
                      </wps:wsp>
                      <wps:wsp>
                        <wps:cNvPr id="81" name="矩形 81"/>
                        <wps:cNvSpPr/>
                        <wps:spPr>
                          <a:xfrm>
                            <a:off x="3913800" y="1370625"/>
                            <a:ext cx="857885" cy="3057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pStyle w:val="34"/>
                                <w:spacing w:before="0" w:beforeAutospacing="0" w:after="0" w:afterAutospacing="0"/>
                                <w:jc w:val="center"/>
                                <w:rPr>
                                  <w:kern w:val="0"/>
                                </w:rPr>
                              </w:pPr>
                              <w:r>
                                <w:rPr>
                                  <w:rFonts w:hint="eastAsia"/>
                                  <w:sz w:val="21"/>
                                  <w:szCs w:val="21"/>
                                </w:rPr>
                                <w:t>监理单位</w:t>
                              </w:r>
                            </w:p>
                          </w:txbxContent>
                        </wps:txbx>
                        <wps:bodyPr rot="0" spcFirstLastPara="0" vert="horz" wrap="square" lIns="91440" tIns="45720" rIns="91440" bIns="45720" numCol="1" spcCol="0" rtlCol="0" fromWordArt="0" anchor="ctr" anchorCtr="0" forceAA="0" compatLnSpc="1">
                          <a:noAutofit/>
                        </wps:bodyPr>
                      </wps:wsp>
                      <wps:wsp>
                        <wps:cNvPr id="82" name="直接连接符 82"/>
                        <wps:cNvCnPr/>
                        <wps:spPr>
                          <a:xfrm>
                            <a:off x="3590925" y="1924050"/>
                            <a:ext cx="15220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7" name="直接连接符 267"/>
                        <wps:cNvCnPr/>
                        <wps:spPr>
                          <a:xfrm>
                            <a:off x="4351950" y="1676400"/>
                            <a:ext cx="0" cy="257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 name="直接箭头连接符 84"/>
                        <wps:cNvCnPr/>
                        <wps:spPr>
                          <a:xfrm>
                            <a:off x="3590925" y="1924050"/>
                            <a:ext cx="0" cy="3416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5" name="直接箭头连接符 85"/>
                        <wps:cNvCnPr/>
                        <wps:spPr>
                          <a:xfrm>
                            <a:off x="5112975" y="1924050"/>
                            <a:ext cx="0" cy="3416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 name="矩形 86"/>
                        <wps:cNvSpPr/>
                        <wps:spPr>
                          <a:xfrm>
                            <a:off x="3161325" y="2265680"/>
                            <a:ext cx="857885" cy="3054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pStyle w:val="34"/>
                                <w:spacing w:before="0" w:beforeAutospacing="0" w:after="0" w:afterAutospacing="0"/>
                                <w:jc w:val="center"/>
                                <w:rPr>
                                  <w:kern w:val="0"/>
                                </w:rPr>
                              </w:pPr>
                              <w:r>
                                <w:rPr>
                                  <w:rFonts w:hint="eastAsia"/>
                                  <w:sz w:val="21"/>
                                  <w:szCs w:val="21"/>
                                </w:rPr>
                                <w:t>环境监理</w:t>
                              </w:r>
                            </w:p>
                          </w:txbxContent>
                        </wps:txbx>
                        <wps:bodyPr rot="0" spcFirstLastPara="0" vert="horz" wrap="square" lIns="91440" tIns="45720" rIns="91440" bIns="45720" numCol="1" spcCol="0" rtlCol="0" fromWordArt="0" anchor="ctr" anchorCtr="0" forceAA="0" compatLnSpc="1">
                          <a:noAutofit/>
                        </wps:bodyPr>
                      </wps:wsp>
                      <wps:wsp>
                        <wps:cNvPr id="87" name="矩形 87"/>
                        <wps:cNvSpPr/>
                        <wps:spPr>
                          <a:xfrm>
                            <a:off x="4505325" y="2275500"/>
                            <a:ext cx="1076325" cy="3054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pStyle w:val="34"/>
                                <w:spacing w:before="0" w:beforeAutospacing="0" w:after="0" w:afterAutospacing="0"/>
                                <w:jc w:val="center"/>
                                <w:rPr>
                                  <w:kern w:val="0"/>
                                </w:rPr>
                              </w:pPr>
                              <w:r>
                                <w:rPr>
                                  <w:rFonts w:hint="eastAsia"/>
                                  <w:sz w:val="21"/>
                                  <w:szCs w:val="21"/>
                                </w:rPr>
                                <w:t>水土保持</w:t>
                              </w:r>
                              <w:r>
                                <w:rPr>
                                  <w:sz w:val="21"/>
                                  <w:szCs w:val="21"/>
                                </w:rPr>
                                <w:t>工程</w:t>
                              </w:r>
                            </w:p>
                          </w:txbxContent>
                        </wps:txbx>
                        <wps:bodyPr rot="0" spcFirstLastPara="0" vert="horz" wrap="square" lIns="91440" tIns="45720" rIns="91440" bIns="45720" numCol="1" spcCol="0" rtlCol="0" fromWordArt="0" anchor="ctr" anchorCtr="0" forceAA="0" compatLnSpc="1">
                          <a:noAutofit/>
                        </wps:bodyPr>
                      </wps:wsp>
                      <wps:wsp>
                        <wps:cNvPr id="88" name="直接连接符 88"/>
                        <wps:cNvCnPr/>
                        <wps:spPr>
                          <a:xfrm>
                            <a:off x="3591515" y="2800374"/>
                            <a:ext cx="1521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9" name="直接箭头连接符 89"/>
                        <wps:cNvCnPr/>
                        <wps:spPr>
                          <a:xfrm flipV="1">
                            <a:off x="3590925" y="2552411"/>
                            <a:ext cx="0" cy="24793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0" name="直接箭头连接符 90"/>
                        <wps:cNvCnPr/>
                        <wps:spPr>
                          <a:xfrm flipV="1">
                            <a:off x="5118600" y="2552414"/>
                            <a:ext cx="0" cy="247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 name="矩形 91"/>
                        <wps:cNvSpPr/>
                        <wps:spPr>
                          <a:xfrm>
                            <a:off x="3866810" y="3113228"/>
                            <a:ext cx="1057615"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pStyle w:val="34"/>
                                <w:spacing w:before="0" w:beforeAutospacing="0" w:after="0" w:afterAutospacing="0"/>
                                <w:jc w:val="center"/>
                                <w:rPr>
                                  <w:kern w:val="0"/>
                                </w:rPr>
                              </w:pPr>
                              <w:r>
                                <w:rPr>
                                  <w:rFonts w:hint="eastAsia"/>
                                  <w:sz w:val="21"/>
                                  <w:szCs w:val="21"/>
                                </w:rPr>
                                <w:t>监理工程师</w:t>
                              </w:r>
                            </w:p>
                          </w:txbxContent>
                        </wps:txbx>
                        <wps:bodyPr rot="0" spcFirstLastPara="0" vert="horz" wrap="square" lIns="91440" tIns="45720" rIns="91440" bIns="45720" numCol="1" spcCol="0" rtlCol="0" fromWordArt="0" anchor="ctr" anchorCtr="0" forceAA="0" compatLnSpc="1">
                          <a:noAutofit/>
                        </wps:bodyPr>
                      </wps:wsp>
                      <wps:wsp>
                        <wps:cNvPr id="92" name="直接箭头连接符 92"/>
                        <wps:cNvCnPr/>
                        <wps:spPr>
                          <a:xfrm>
                            <a:off x="4445930" y="3427556"/>
                            <a:ext cx="0" cy="3409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8" name="直接箭头连接符 268"/>
                        <wps:cNvCnPr/>
                        <wps:spPr>
                          <a:xfrm>
                            <a:off x="4419600" y="2798906"/>
                            <a:ext cx="0" cy="31432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4" name="矩形 94"/>
                        <wps:cNvSpPr/>
                        <wps:spPr>
                          <a:xfrm>
                            <a:off x="3904275" y="3768006"/>
                            <a:ext cx="1057275" cy="3041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pStyle w:val="34"/>
                                <w:spacing w:before="0" w:beforeAutospacing="0" w:after="0" w:afterAutospacing="0"/>
                                <w:jc w:val="center"/>
                                <w:rPr>
                                  <w:kern w:val="0"/>
                                </w:rPr>
                              </w:pPr>
                              <w:r>
                                <w:rPr>
                                  <w:rFonts w:hint="eastAsia"/>
                                  <w:sz w:val="21"/>
                                  <w:szCs w:val="21"/>
                                </w:rPr>
                                <w:t>现场监理</w:t>
                              </w:r>
                            </w:p>
                          </w:txbxContent>
                        </wps:txbx>
                        <wps:bodyPr rot="0" spcFirstLastPara="0"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329.3pt;width:441.9pt;" coordsize="5612130,4182110" editas="canvas" o:gfxdata="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">
                <o:lock v:ext="edit" aspectratio="f"/>
                <v:shape id="_x0000_s1026" o:spid="_x0000_s1026" style="position:absolute;left:0;top:0;height:4182110;width:5612130;" filled="f" stroked="f" coordsize="21600,21600" o:gfxdata="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">
                  <v:fill on="f" focussize="0,0"/>
                  <v:stroke on="f"/>
                  <v:imagedata o:title=""/>
                  <o:lock v:ext="edit" aspectratio="t"/>
                </v:shape>
                <v:rect id="_x0000_s1026" o:spid="_x0000_s1026" o:spt="1" style="position:absolute;left:704850;top:133350;height:400050;width:3467100;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2KENwdMAAAAFAQAADwAAAAAAAAABACAAAAAi&#10;AAAAZHJzL2Rvd25yZXYueG1sUEsBAhQAFAAAAAgAh07iQJOGHQ+BAgAADQUAAA4AAAAAAAAAAQAg&#10;AAAAIgEAAGRycy9lMm9Eb2MueG1sUEsFBgAAAAAGAAYAWQEAABUGAAAAAA==&#10;">
                  <v:fill on="t" focussize="0,0"/>
                  <v:stroke weight="1pt" color="#000000 [3213]" miterlimit="8" joinstyle="miter"/>
                  <v:imagedata o:title=""/>
                  <o:lock v:ext="edit" aspectratio="f"/>
                  <v:textbox>
                    <w:txbxContent>
                      <w:p>
                        <w:pPr>
                          <w:jc w:val="center"/>
                        </w:pPr>
                        <w:r>
                          <w:rPr>
                            <w:rFonts w:hint="eastAsia"/>
                          </w:rPr>
                          <w:t>建设</w:t>
                        </w:r>
                        <w:r>
                          <w:t>单位</w:t>
                        </w:r>
                        <w:r>
                          <w:rPr>
                            <w:rFonts w:hint="eastAsia"/>
                          </w:rPr>
                          <w:t>：成都天府绿道建设投资集团有限公司</w:t>
                        </w:r>
                      </w:p>
                    </w:txbxContent>
                  </v:textbox>
                </v:rect>
                <v:shape id="_x0000_s1026" o:spid="_x0000_s1026" o:spt="32" type="#_x0000_t32" style="position:absolute;left:1590675;top:533400;height:476250;width:0;" filled="f" stroked="t" coordsize="21600,21600" o:gfxdata="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OMvz0wAAAAUBAAAPAAAAAAAAAAEA&#10;IAAAACIAAABkcnMvZG93bnJldi54bWxQSwECFAAUAAAACACHTuJARp5RThQCAADvAwAADgAAAAAA&#10;AAABACAAAAAiAQAAZHJzL2Uyb0RvYy54bWxQSwUGAAAAAAYABgBZAQAAqAUAAAAA&#10;">
                  <v:fill on="f" focussize="0,0"/>
                  <v:stroke weight="0.5pt" color="#000000 [3213]" miterlimit="8" joinstyle="miter" endarrow="block"/>
                  <v:imagedata o:title=""/>
                  <o:lock v:ext="edit" aspectratio="f"/>
                </v:shape>
                <v:shape id="_x0000_s1026" o:spid="_x0000_s1026" o:spt="32" type="#_x0000_t32" style="position:absolute;left:3248025;top:533400;flip:y;height:476250;width:0;" filled="f" stroked="t" coordsize="21600,21600" o:gfxdata="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p3BLo1QAAAAUBAAAP&#10;AAAAAAAAAAEAIAAAACIAAABkcnMvZG93bnJldi54bWxQSwECFAAUAAAACACHTuJAvvbi3BsCAAD5&#10;AwAADgAAAAAAAAABACAAAAAkAQAAZHJzL2Uyb0RvYy54bWxQSwUGAAAAAAYABgBZAQAAsQUAAAAA&#10;">
                  <v:fill on="f" focussize="0,0"/>
                  <v:stroke weight="0.5pt" color="#000000 [3213]" miterlimit="8" joinstyle="miter" endarrow="block"/>
                  <v:imagedata o:title=""/>
                  <o:lock v:ext="edit" aspectratio="f"/>
                </v:shape>
                <v:rect id="_x0000_s1026" o:spid="_x0000_s1026" o:spt="1" style="position:absolute;left:141900;top:1370625;height:305775;width:858225;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YoQ3B0wAAAAUBAAAPAAAAAAAAAAEAIAAAACIAAABkcnMvZG93bnJldi54&#10;bWxQSwECFAAUAAAACACHTuJAUXj4/XECAADbBAAADgAAAAAAAAABACAAAAAiAQAAZHJzL2Uyb0Rv&#10;Yy54bWxQSwUGAAAAAAYABgBZAQAABQYAAAAA&#10;">
                  <v:fill on="t" focussize="0,0"/>
                  <v:stroke weight="1pt" color="#000000 [3213]" miterlimit="8" joinstyle="miter"/>
                  <v:imagedata o:title=""/>
                  <o:lock v:ext="edit" aspectratio="f"/>
                  <v:textbox>
                    <w:txbxContent>
                      <w:p>
                        <w:pPr>
                          <w:pStyle w:val="34"/>
                          <w:spacing w:before="0" w:beforeAutospacing="0" w:after="0" w:afterAutospacing="0"/>
                          <w:jc w:val="center"/>
                          <w:rPr>
                            <w:kern w:val="0"/>
                          </w:rPr>
                        </w:pPr>
                        <w:r>
                          <w:rPr>
                            <w:rFonts w:hint="eastAsia"/>
                            <w:sz w:val="21"/>
                            <w:szCs w:val="21"/>
                          </w:rPr>
                          <w:t>设计单位</w:t>
                        </w:r>
                      </w:p>
                    </w:txbxContent>
                  </v:textbox>
                </v:rect>
                <v:line id="_x0000_s1026" o:spid="_x0000_s1026" o:spt="20" style="position:absolute;left:571500;top:1028700;height:0;width:3790950;" filled="f" stroked="t" coordsize="21600,21600" o:gfxdata="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ksOqzUAAAABQEAAA8AAAAAAAAAAQAgAAAAIgAAAGRycy9kb3ducmV2LnhtbFBLAQIUABQAAAAI&#10;AIdO4kCmUgUo8QEAAMADAAAOAAAAAAAAAAEAIAAAACMBAABkcnMvZTJvRG9jLnhtbFBLBQYAAAAA&#10;BgAGAFkBAACGBQAAAAA=&#10;">
                  <v:fill on="f" focussize="0,0"/>
                  <v:stroke weight="0.5pt" color="#000000 [3213]" miterlimit="8" joinstyle="miter"/>
                  <v:imagedata o:title=""/>
                  <o:lock v:ext="edit" aspectratio="f"/>
                </v:line>
                <v:shape id="_x0000_s1026" o:spid="_x0000_s1026" o:spt="32" type="#_x0000_t32" style="position:absolute;left:571500;top:1028700;height:341925;width:0;" filled="f" stroked="t" coordsize="21600,21600" o:gfxdata="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jL89MAAAAFAQAADwAAAAAAAAABACAAAAAi&#10;AAAAZHJzL2Rvd25yZXYueG1sUEsBAhQAFAAAAAgAh07iQMnfRzUPAgAA7QMAAA4AAAAAAAAAAQAg&#10;AAAAIgEAAGRycy9lMm9Eb2MueG1sUEsFBgAAAAAGAAYAWQEAAKMFAAAAAA==&#10;">
                  <v:fill on="f" focussize="0,0"/>
                  <v:stroke weight="0.5pt" color="#000000 [3213]" miterlimit="8" joinstyle="miter" endarrow="block"/>
                  <v:imagedata o:title=""/>
                  <o:lock v:ext="edit" aspectratio="f"/>
                </v:shape>
                <v:shape id="_x0000_s1026" o:spid="_x0000_s1026" o:spt="32" type="#_x0000_t32" style="position:absolute;left:2361225;top:1028700;height:341630;width:0;" filled="f" stroked="t" coordsize="21600,21600" o:gfxdata="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OMvz0wAAAAUBAAAPAAAAAAAAAAEA&#10;IAAAACIAAABkcnMvZG93bnJldi54bWxQSwECFAAUAAAACACHTuJAxjPB6RQCAADuAwAADgAAAAAA&#10;AAABACAAAAAiAQAAZHJzL2Uyb0RvYy54bWxQSwUGAAAAAAYABgBZAQAAqAUAAAAA&#10;">
                  <v:fill on="f" focussize="0,0"/>
                  <v:stroke weight="0.5pt" color="#000000 [3213]" miterlimit="8" joinstyle="miter" endarrow="block"/>
                  <v:imagedata o:title=""/>
                  <o:lock v:ext="edit" aspectratio="f"/>
                </v:shape>
                <v:shape id="_x0000_s1026" o:spid="_x0000_s1026" o:spt="32" type="#_x0000_t32" style="position:absolute;left:4361475;top:1028995;height:341630;width:0;" filled="f" stroked="t" coordsize="21600,21600" o:gfxdata="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zjL89MAAAAFAQAADwAAAAAAAAAB&#10;ACAAAAAiAAAAZHJzL2Rvd25yZXYueG1sUEsBAhQAFAAAAAgAh07iQLiYgQ0VAgAA7gMAAA4AAAAA&#10;AAAAAQAgAAAAIgEAAGRycy9lMm9Eb2MueG1sUEsFBgAAAAAGAAYAWQEAAKkFAAAAAA==&#10;">
                  <v:fill on="f" focussize="0,0"/>
                  <v:stroke weight="0.5pt" color="#000000 [3213]" miterlimit="8" joinstyle="miter" endarrow="block"/>
                  <v:imagedata o:title=""/>
                  <o:lock v:ext="edit" aspectratio="f"/>
                </v:shape>
                <v:rect id="_x0000_s1026" o:spid="_x0000_s1026" o:spt="1" style="position:absolute;left:1913550;top:1370965;height:305435;width:857885;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ihDcHTAAAABQEAAA8AAAAAAAAAAQAgAAAAIgAAAGRycy9kb3ducmV2&#10;LnhtbFBLAQIUABQAAAAIAIdO4kARmtaacwIAANwEAAAOAAAAAAAAAAEAIAAAACIBAABkcnMvZTJv&#10;RG9jLnhtbFBLBQYAAAAABgAGAFkBAAAHBgAAAAA=&#10;">
                  <v:fill on="t" focussize="0,0"/>
                  <v:stroke weight="1pt" color="#000000 [3213]" miterlimit="8" joinstyle="miter"/>
                  <v:imagedata o:title=""/>
                  <o:lock v:ext="edit" aspectratio="f"/>
                  <v:textbox>
                    <w:txbxContent>
                      <w:p>
                        <w:pPr>
                          <w:pStyle w:val="34"/>
                          <w:spacing w:before="0" w:beforeAutospacing="0" w:after="0" w:afterAutospacing="0"/>
                          <w:jc w:val="center"/>
                          <w:rPr>
                            <w:kern w:val="0"/>
                          </w:rPr>
                        </w:pPr>
                        <w:r>
                          <w:rPr>
                            <w:rFonts w:hint="eastAsia"/>
                            <w:sz w:val="21"/>
                            <w:szCs w:val="21"/>
                          </w:rPr>
                          <w:t>施工单位</w:t>
                        </w:r>
                      </w:p>
                    </w:txbxContent>
                  </v:textbox>
                </v:rect>
                <v:rect id="_x0000_s1026" o:spid="_x0000_s1026" o:spt="1" style="position:absolute;left:3913800;top:1370625;height:305775;width:857885;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KENwdMAAAAFAQAADwAAAAAAAAABACAAAAAiAAAAZHJzL2Rvd25yZXYu&#10;eG1sUEsBAhQAFAAAAAgAh07iQEHMkylyAgAA3AQAAA4AAAAAAAAAAQAgAAAAIgEAAGRycy9lMm9E&#10;b2MueG1sUEsFBgAAAAAGAAYAWQEAAAYGAAAAAA==&#10;">
                  <v:fill on="t" focussize="0,0"/>
                  <v:stroke weight="1pt" color="#000000 [3213]" miterlimit="8" joinstyle="miter"/>
                  <v:imagedata o:title=""/>
                  <o:lock v:ext="edit" aspectratio="f"/>
                  <v:textbox>
                    <w:txbxContent>
                      <w:p>
                        <w:pPr>
                          <w:pStyle w:val="34"/>
                          <w:spacing w:before="0" w:beforeAutospacing="0" w:after="0" w:afterAutospacing="0"/>
                          <w:jc w:val="center"/>
                          <w:rPr>
                            <w:kern w:val="0"/>
                          </w:rPr>
                        </w:pPr>
                        <w:r>
                          <w:rPr>
                            <w:rFonts w:hint="eastAsia"/>
                            <w:sz w:val="21"/>
                            <w:szCs w:val="21"/>
                          </w:rPr>
                          <w:t>监理单位</w:t>
                        </w:r>
                      </w:p>
                    </w:txbxContent>
                  </v:textbox>
                </v:rect>
                <v:line id="_x0000_s1026" o:spid="_x0000_s1026" o:spt="20" style="position:absolute;left:3590925;top:1924050;height:0;width:1522050;" filled="f" stroked="t" coordsize="21600,21600" o:gfxdata="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Sw6rNQAAAAFAQAADwAAAAAAAAABACAAAAAiAAAAZHJzL2Rvd25yZXYueG1sUEsBAhQAFAAAAAgA&#10;h07iQMOb1JTwAQAAvwMAAA4AAAAAAAAAAQAgAAAAIwEAAGRycy9lMm9Eb2MueG1sUEsFBgAAAAAG&#10;AAYAWQEAAIUFAAAAAA==&#10;">
                  <v:fill on="f" focussize="0,0"/>
                  <v:stroke weight="0.5pt" color="#000000 [3213]" miterlimit="8" joinstyle="miter"/>
                  <v:imagedata o:title=""/>
                  <o:lock v:ext="edit" aspectratio="f"/>
                </v:line>
                <v:line id="_x0000_s1026" o:spid="_x0000_s1026" o:spt="20" style="position:absolute;left:4351950;top:1676400;height:257175;width:0;" filled="f" stroked="t" coordsize="21600,21600" o:gfxdata="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ZLDqs1AAAAAUBAAAPAAAAAAAAAAEAIAAAACIAAABkcnMvZG93bnJldi54bWxQSwECFAAUAAAA&#10;CACHTuJAGuZ4sPIBAADAAwAADgAAAAAAAAABACAAAAAjAQAAZHJzL2Uyb0RvYy54bWxQSwUGAAAA&#10;AAYABgBZAQAAhwUAAAAA&#10;">
                  <v:fill on="f" focussize="0,0"/>
                  <v:stroke weight="0.5pt" color="#000000 [3213]" miterlimit="8" joinstyle="miter"/>
                  <v:imagedata o:title=""/>
                  <o:lock v:ext="edit" aspectratio="f"/>
                </v:line>
                <v:shape id="_x0000_s1026" o:spid="_x0000_s1026" o:spt="32" type="#_x0000_t32" style="position:absolute;left:3590925;top:1924050;height:341630;width:0;" filled="f" stroked="t" coordsize="21600,21600" o:gfxdata="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84y/PTAAAABQEAAA8AAAAAAAAAAQAg&#10;AAAAIgAAAGRycy9kb3ducmV2LnhtbFBLAQIUABQAAAAIAIdO4kBxwzEpEwIAAO4DAAAOAAAAAAAA&#10;AAEAIAAAACIBAABkcnMvZTJvRG9jLnhtbFBLBQYAAAAABgAGAFkBAACnBQAAAAA=&#10;">
                  <v:fill on="f" focussize="0,0"/>
                  <v:stroke weight="0.5pt" color="#000000 [3213]" miterlimit="8" joinstyle="miter" endarrow="block"/>
                  <v:imagedata o:title=""/>
                  <o:lock v:ext="edit" aspectratio="f"/>
                </v:shape>
                <v:shape id="_x0000_s1026" o:spid="_x0000_s1026" o:spt="32" type="#_x0000_t32" style="position:absolute;left:5112975;top:1924050;height:341630;width:0;" filled="f" stroked="t" coordsize="21600,21600" o:gfxdata="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OMvz0wAAAAUBAAAPAAAAAAAAAAEA&#10;IAAAACIAAABkcnMvZG93bnJldi54bWxQSwECFAAUAAAACACHTuJARGgBtBQCAADuAwAADgAAAAAA&#10;AAABACAAAAAiAQAAZHJzL2Uyb0RvYy54bWxQSwUGAAAAAAYABgBZAQAAqAUAAAAA&#10;">
                  <v:fill on="f" focussize="0,0"/>
                  <v:stroke weight="0.5pt" color="#000000 [3213]" miterlimit="8" joinstyle="miter" endarrow="block"/>
                  <v:imagedata o:title=""/>
                  <o:lock v:ext="edit" aspectratio="f"/>
                </v:shape>
                <v:rect id="_x0000_s1026" o:spid="_x0000_s1026" o:spt="1" style="position:absolute;left:3161325;top:2265680;height:305435;width:857885;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KENwdMAAAAFAQAADwAAAAAAAAABACAAAAAiAAAAZHJzL2Rvd25yZXYu&#10;eG1sUEsBAhQAFAAAAAgAh07iQByOKcJyAgAA3AQAAA4AAAAAAAAAAQAgAAAAIgEAAGRycy9lMm9E&#10;b2MueG1sUEsFBgAAAAAGAAYAWQEAAAYGAAAAAA==&#10;">
                  <v:fill on="t" focussize="0,0"/>
                  <v:stroke weight="1pt" color="#000000 [3213]" miterlimit="8" joinstyle="miter"/>
                  <v:imagedata o:title=""/>
                  <o:lock v:ext="edit" aspectratio="f"/>
                  <v:textbox>
                    <w:txbxContent>
                      <w:p>
                        <w:pPr>
                          <w:pStyle w:val="34"/>
                          <w:spacing w:before="0" w:beforeAutospacing="0" w:after="0" w:afterAutospacing="0"/>
                          <w:jc w:val="center"/>
                          <w:rPr>
                            <w:kern w:val="0"/>
                          </w:rPr>
                        </w:pPr>
                        <w:r>
                          <w:rPr>
                            <w:rFonts w:hint="eastAsia"/>
                            <w:sz w:val="21"/>
                            <w:szCs w:val="21"/>
                          </w:rPr>
                          <w:t>环境监理</w:t>
                        </w:r>
                      </w:p>
                    </w:txbxContent>
                  </v:textbox>
                </v:rect>
                <v:rect id="_x0000_s1026" o:spid="_x0000_s1026" o:spt="1" style="position:absolute;left:4505325;top:2275500;height:305435;width:1076325;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YoQ3B0wAAAAUBAAAPAAAAAAAAAAEAIAAAACIAAABkcnMvZG93bnJldi54&#10;bWxQSwECFAAUAAAACACHTuJA57XdOnECAADdBAAADgAAAAAAAAABACAAAAAiAQAAZHJzL2Uyb0Rv&#10;Yy54bWxQSwUGAAAAAAYABgBZAQAABQYAAAAA&#10;">
                  <v:fill on="t" focussize="0,0"/>
                  <v:stroke weight="1pt" color="#000000 [3213]" miterlimit="8" joinstyle="miter"/>
                  <v:imagedata o:title=""/>
                  <o:lock v:ext="edit" aspectratio="f"/>
                  <v:textbox>
                    <w:txbxContent>
                      <w:p>
                        <w:pPr>
                          <w:pStyle w:val="34"/>
                          <w:spacing w:before="0" w:beforeAutospacing="0" w:after="0" w:afterAutospacing="0"/>
                          <w:jc w:val="center"/>
                          <w:rPr>
                            <w:kern w:val="0"/>
                          </w:rPr>
                        </w:pPr>
                        <w:r>
                          <w:rPr>
                            <w:rFonts w:hint="eastAsia"/>
                            <w:sz w:val="21"/>
                            <w:szCs w:val="21"/>
                          </w:rPr>
                          <w:t>水土保持</w:t>
                        </w:r>
                        <w:r>
                          <w:rPr>
                            <w:sz w:val="21"/>
                            <w:szCs w:val="21"/>
                          </w:rPr>
                          <w:t>工程</w:t>
                        </w:r>
                      </w:p>
                    </w:txbxContent>
                  </v:textbox>
                </v:rect>
                <v:line id="_x0000_s1026" o:spid="_x0000_s1026" o:spt="20" style="position:absolute;left:3591515;top:2800374;height:0;width:1521460;" filled="f" stroked="t" coordsize="21600,21600" o:gfxdata="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WSw6rNQAAAAFAQAADwAAAAAAAAABACAAAAAiAAAAZHJzL2Rvd25yZXYueG1sUEsBAhQAFAAA&#10;AAgAh07iQFgz4qHzAQAAvwMAAA4AAAAAAAAAAQAgAAAAIwEAAGRycy9lMm9Eb2MueG1sUEsFBgAA&#10;AAAGAAYAWQEAAIgFAAAAAA==&#10;">
                  <v:fill on="f" focussize="0,0"/>
                  <v:stroke weight="0.5pt" color="#000000 [3213]" miterlimit="8" joinstyle="miter"/>
                  <v:imagedata o:title=""/>
                  <o:lock v:ext="edit" aspectratio="f"/>
                </v:line>
                <v:shape id="_x0000_s1026" o:spid="_x0000_s1026" o:spt="32" type="#_x0000_t32" style="position:absolute;left:3590925;top:2552411;flip:y;height:247939;width:0;" filled="f" stroked="t" coordsize="21600,21600" o:gfxdata="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p3BLo1QAAAAUBAAAP&#10;AAAAAAAAAAEAIAAAACIAAABkcnMvZG93bnJldi54bWxQSwECFAAUAAAACACHTuJAdm6cMxsCAAD4&#10;AwAADgAAAAAAAAABACAAAAAkAQAAZHJzL2Uyb0RvYy54bWxQSwUGAAAAAAYABgBZAQAAsQUAAAAA&#10;">
                  <v:fill on="f" focussize="0,0"/>
                  <v:stroke weight="0.5pt" color="#000000 [3213]" miterlimit="8" joinstyle="miter" endarrow="block"/>
                  <v:imagedata o:title=""/>
                  <o:lock v:ext="edit" aspectratio="f"/>
                </v:shape>
                <v:shape id="_x0000_s1026" o:spid="_x0000_s1026" o:spt="32" type="#_x0000_t32" style="position:absolute;left:5118600;top:2552414;flip:y;height:247650;width:0;" filled="f" stroked="t" coordsize="21600,21600" o:gfxdata="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6dwS6NUAAAAFAQAADwAA&#10;AAAAAAABACAAAAAiAAAAZHJzL2Rvd25yZXYueG1sUEsBAhQAFAAAAAgAh07iQFy3ls4ZAgAA+AMA&#10;AA4AAAAAAAAAAQAgAAAAJAEAAGRycy9lMm9Eb2MueG1sUEsFBgAAAAAGAAYAWQEAAK8FAAAAAA==&#10;">
                  <v:fill on="f" focussize="0,0"/>
                  <v:stroke weight="0.5pt" color="#000000 [3213]" miterlimit="8" joinstyle="miter" endarrow="block"/>
                  <v:imagedata o:title=""/>
                  <o:lock v:ext="edit" aspectratio="f"/>
                </v:shape>
                <v:rect id="_x0000_s1026" o:spid="_x0000_s1026" o:spt="1" style="position:absolute;left:3866810;top:3113228;height:304800;width:1057615;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YoQ3B0wAAAAUBAAAPAAAAAAAAAAEAIAAAACIAAABkcnMvZG93bnJl&#10;di54bWxQSwECFAAUAAAACACHTuJA882oT3QCAADdBAAADgAAAAAAAAABACAAAAAiAQAAZHJzL2Uy&#10;b0RvYy54bWxQSwUGAAAAAAYABgBZAQAACAYAAAAA&#10;">
                  <v:fill on="t" focussize="0,0"/>
                  <v:stroke weight="1pt" color="#000000 [3213]" miterlimit="8" joinstyle="miter"/>
                  <v:imagedata o:title=""/>
                  <o:lock v:ext="edit" aspectratio="f"/>
                  <v:textbox>
                    <w:txbxContent>
                      <w:p>
                        <w:pPr>
                          <w:pStyle w:val="34"/>
                          <w:spacing w:before="0" w:beforeAutospacing="0" w:after="0" w:afterAutospacing="0"/>
                          <w:jc w:val="center"/>
                          <w:rPr>
                            <w:kern w:val="0"/>
                          </w:rPr>
                        </w:pPr>
                        <w:r>
                          <w:rPr>
                            <w:rFonts w:hint="eastAsia"/>
                            <w:sz w:val="21"/>
                            <w:szCs w:val="21"/>
                          </w:rPr>
                          <w:t>监理工程师</w:t>
                        </w:r>
                      </w:p>
                    </w:txbxContent>
                  </v:textbox>
                </v:rect>
                <v:shape id="_x0000_s1026" o:spid="_x0000_s1026" o:spt="32" type="#_x0000_t32" style="position:absolute;left:4445930;top:3427556;height:340995;width:0;" filled="f" stroked="t" coordsize="21600,21600" o:gfxdata="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OMvz0wAAAAUBAAAPAAAAAAAAAAEAIAAA&#10;ACIAAABkcnMvZG93bnJldi54bWxQSwECFAAUAAAACACHTuJAnKsnixECAADuAwAADgAAAAAAAAAB&#10;ACAAAAAiAQAAZHJzL2Uyb0RvYy54bWxQSwUGAAAAAAYABgBZAQAApQUAAAAA&#10;">
                  <v:fill on="f" focussize="0,0"/>
                  <v:stroke weight="0.5pt" color="#000000 [3213]" miterlimit="8" joinstyle="miter" endarrow="block"/>
                  <v:imagedata o:title=""/>
                  <o:lock v:ext="edit" aspectratio="f"/>
                </v:shape>
                <v:shape id="_x0000_s1026" o:spid="_x0000_s1026" o:spt="32" type="#_x0000_t32" style="position:absolute;left:4419600;top:2798906;height:314325;width:0;" filled="f" stroked="t" coordsize="21600,21600" o:gfxdata="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jk5nA1QAAAAUBAAAP&#10;AAAAAAAAAAEAIAAAACIAAABkcnMvZG93bnJldi54bWxQSwECFAAUAAAACACHTuJAaYQ2IhsCAAAM&#10;BAAADgAAAAAAAAABACAAAAAkAQAAZHJzL2Uyb0RvYy54bWxQSwUGAAAAAAYABgBZAQAAsQUAAAAA&#10;">
                  <v:fill on="f" focussize="0,0"/>
                  <v:stroke weight="0.5pt" color="#000000 [3213]" miterlimit="8" joinstyle="miter" startarrow="block" endarrow="block"/>
                  <v:imagedata o:title=""/>
                  <o:lock v:ext="edit" aspectratio="f"/>
                </v:shape>
                <v:rect id="_x0000_s1026" o:spid="_x0000_s1026" o:spt="1" style="position:absolute;left:3904275;top:3768006;height:304165;width:1057275;v-text-anchor:middle;" fillcolor="#FFFFFF [3201]" filled="t" stroked="t" coordsize="21600,21600" o:gfxdata="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ihDcHTAAAABQEAAA8AAAAAAAAAAQAgAAAAIgAAAGRycy9kb3ducmV2Lnht&#10;bFBLAQIUABQAAAAIAIdO4kCJg/KKcAIAAN0EAAAOAAAAAAAAAAEAIAAAACIBAABkcnMvZTJvRG9j&#10;LnhtbFBLBQYAAAAABgAGAFkBAAAEBgAAAAA=&#10;">
                  <v:fill on="t" focussize="0,0"/>
                  <v:stroke weight="1pt" color="#000000 [3213]" miterlimit="8" joinstyle="miter"/>
                  <v:imagedata o:title=""/>
                  <o:lock v:ext="edit" aspectratio="f"/>
                  <v:textbox>
                    <w:txbxContent>
                      <w:p>
                        <w:pPr>
                          <w:pStyle w:val="34"/>
                          <w:spacing w:before="0" w:beforeAutospacing="0" w:after="0" w:afterAutospacing="0"/>
                          <w:jc w:val="center"/>
                          <w:rPr>
                            <w:kern w:val="0"/>
                          </w:rPr>
                        </w:pPr>
                        <w:r>
                          <w:rPr>
                            <w:rFonts w:hint="eastAsia"/>
                            <w:sz w:val="21"/>
                            <w:szCs w:val="21"/>
                          </w:rPr>
                          <w:t>现场监理</w:t>
                        </w:r>
                      </w:p>
                    </w:txbxContent>
                  </v:textbox>
                </v:rect>
                <w10:wrap type="none"/>
                <w10:anchorlock/>
              </v:group>
            </w:pict>
          </mc:Fallback>
        </mc:AlternateContent>
      </w:r>
    </w:p>
    <w:p>
      <w:pPr>
        <w:autoSpaceDE/>
        <w:autoSpaceDN/>
        <w:jc w:val="center"/>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图7.2-1环境监理机构设置及工作程序图</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683" w:name="_Toc70496349"/>
      <w:bookmarkStart w:id="684" w:name="_Toc3830"/>
      <w:r>
        <w:rPr>
          <w:rFonts w:ascii="Times New Roman" w:hAnsi="Times New Roman" w:cs="Times New Roman"/>
          <w:color w:val="000000" w:themeColor="text1"/>
          <w14:textFill>
            <w14:solidFill>
              <w14:schemeClr w14:val="tx1"/>
            </w14:solidFill>
          </w14:textFill>
        </w:rPr>
        <w:t>7.2.3监理内容</w:t>
      </w:r>
      <w:bookmarkEnd w:id="683"/>
      <w:bookmarkEnd w:id="684"/>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环境监理单位应遵循国家、当地政府有关环境保护的方针、政策、法令、法规及主管部门批准的项目建设文件中环境保护的内容，对工程全过程实施环境监理。</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环境监理的主要工作内容包括：</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（1）制定施工期建设项目全过程环境监理计划，拟定环境监理项目和内容，经建设单位同意后，由建设单位报环保行政主管部门备案。</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（2）全面监督合同中的各项环保措施执行情况，及时处理和解决临时出现的环境污染事件。</w:t>
      </w:r>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3）环境监理单位应对建设方的施工现场进行监督检查：监督施工期废水处理设施的完善，保证达标排放；监督施工车辆、机械的清洁及运况，保证尾气达标；监督施工材料运输车辆的行驶路线、行驶时段的合理安排，监督施工单位及时清扫洒落物料，保证路线的清洁；监督降噪措施保质保量实施；监督清淤</w:t>
      </w:r>
      <w:r>
        <w:rPr>
          <w:rFonts w:hint="eastAsia" w:ascii="Times New Roman" w:cs="Times New Roman"/>
          <w:color w:val="000000" w:themeColor="text1"/>
          <w:szCs w:val="23"/>
          <w14:textFill>
            <w14:solidFill>
              <w14:schemeClr w14:val="tx1"/>
            </w14:solidFill>
          </w14:textFill>
        </w:rPr>
        <w:t>临时堆土场</w:t>
      </w:r>
      <w:r>
        <w:rPr>
          <w:rFonts w:ascii="Times New Roman" w:cs="Times New Roman"/>
          <w:color w:val="000000" w:themeColor="text1"/>
          <w:szCs w:val="23"/>
          <w14:textFill>
            <w14:solidFill>
              <w14:schemeClr w14:val="tx1"/>
            </w14:solidFill>
          </w14:textFill>
        </w:rPr>
        <w:t>施工，以防造成二次污染；以确保建设方在施工过程中产生的“三废”（固废、废水、废气）处理和生态恢复符合有关环保文件的要求，全面检查施工单位负责的渣场、施工迹地的处理、恢复情况，包括边坡稳定、迹地恢复和绿化等。</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（4）对施工队伍进行监理，施工队伍施工水平直接影响到施工时污染物的产生，应促使施工单位规范施工，有效控制环境污染问题。</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（5）环境监理单位对施工区新增的污染源进行调查，摸清新增污染源及其产生的不利影响，并对有较大环境影响的污染源提出污染防治措施和建议。在发现重大环境问题时应及时向环保行政主管部门报告。</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6）日常工作中做好监理记录，定期向建设单位及各级环保行政主管部门提交环境监理报告，便于建设单位及时落实整改和各级环保行政主管部门及时监督管理；竣工验收前提交环境监理总结报告，积极参与竣工验收。</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（7）负责落实环境监测的实施，审核有关环境监测报表，根据水质、大气、噪声等监测结果，对施工及管理提出相应要求，尽量减少工程施工给环境带来的不利影响。</w:t>
      </w:r>
    </w:p>
    <w:p>
      <w:pPr>
        <w:pStyle w:val="3"/>
        <w:spacing w:line="360" w:lineRule="auto"/>
        <w:ind w:left="0" w:firstLine="640"/>
        <w:rPr>
          <w:rFonts w:eastAsia="黑体"/>
          <w:color w:val="000000" w:themeColor="text1"/>
          <w14:textFill>
            <w14:solidFill>
              <w14:schemeClr w14:val="tx1"/>
            </w14:solidFill>
          </w14:textFill>
        </w:rPr>
      </w:pPr>
      <w:bookmarkStart w:id="685" w:name="_Toc23312"/>
      <w:bookmarkStart w:id="686" w:name="_Toc70496350"/>
      <w:r>
        <w:rPr>
          <w:rFonts w:eastAsia="黑体"/>
          <w:color w:val="000000" w:themeColor="text1"/>
          <w14:textFill>
            <w14:solidFill>
              <w14:schemeClr w14:val="tx1"/>
            </w14:solidFill>
          </w14:textFill>
        </w:rPr>
        <w:t>7.3总量控制指标</w:t>
      </w:r>
      <w:bookmarkEnd w:id="685"/>
      <w:bookmarkEnd w:id="686"/>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14:textFill>
            <w14:solidFill>
              <w14:schemeClr w14:val="tx1"/>
            </w14:solidFill>
          </w14:textFill>
        </w:rPr>
        <w:t>根据国家环境保护部关于总量控制的有关要求，并结合项目污染物排放特点及周围环境状况，本项目属于生态类建设项目，营运期不涉及总量控制指标要求。</w:t>
      </w:r>
    </w:p>
    <w:p>
      <w:pPr>
        <w:pStyle w:val="3"/>
        <w:spacing w:line="360" w:lineRule="auto"/>
        <w:ind w:left="0" w:firstLine="640"/>
        <w:rPr>
          <w:rFonts w:eastAsia="黑体"/>
          <w:color w:val="000000" w:themeColor="text1"/>
          <w14:textFill>
            <w14:solidFill>
              <w14:schemeClr w14:val="tx1"/>
            </w14:solidFill>
          </w14:textFill>
        </w:rPr>
      </w:pPr>
      <w:bookmarkStart w:id="687" w:name="9.5环境监测计划"/>
      <w:bookmarkEnd w:id="687"/>
      <w:bookmarkStart w:id="688" w:name="_bookmark150"/>
      <w:bookmarkEnd w:id="688"/>
      <w:bookmarkStart w:id="689" w:name="9.2建设单位环境管理体系及管理计划"/>
      <w:bookmarkEnd w:id="689"/>
      <w:bookmarkStart w:id="690" w:name="_bookmark158"/>
      <w:bookmarkEnd w:id="690"/>
      <w:bookmarkStart w:id="691" w:name="9.1.2环境监督机构"/>
      <w:bookmarkEnd w:id="691"/>
      <w:bookmarkStart w:id="692" w:name="9.1.1环境管理目标"/>
      <w:bookmarkEnd w:id="692"/>
      <w:bookmarkStart w:id="693" w:name="_bookmark149"/>
      <w:bookmarkEnd w:id="693"/>
      <w:bookmarkStart w:id="694" w:name="_bookmark151"/>
      <w:bookmarkEnd w:id="694"/>
      <w:bookmarkStart w:id="695" w:name="_Toc29391"/>
      <w:bookmarkStart w:id="696" w:name="_Toc32358"/>
      <w:bookmarkStart w:id="697" w:name="_Toc14005"/>
      <w:bookmarkStart w:id="698" w:name="_Toc70496351"/>
      <w:bookmarkStart w:id="699" w:name="_Toc7732"/>
      <w:bookmarkStart w:id="700" w:name="_Toc12232"/>
      <w:r>
        <w:rPr>
          <w:rFonts w:eastAsia="黑体"/>
          <w:color w:val="000000" w:themeColor="text1"/>
          <w14:textFill>
            <w14:solidFill>
              <w14:schemeClr w14:val="tx1"/>
            </w14:solidFill>
          </w14:textFill>
        </w:rPr>
        <w:t>7.4环境监测计划</w:t>
      </w:r>
      <w:bookmarkEnd w:id="695"/>
      <w:bookmarkEnd w:id="696"/>
      <w:bookmarkEnd w:id="697"/>
      <w:bookmarkEnd w:id="698"/>
      <w:bookmarkEnd w:id="699"/>
      <w:bookmarkEnd w:id="700"/>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01" w:name="9.5.1监测目的"/>
      <w:bookmarkEnd w:id="701"/>
      <w:bookmarkStart w:id="702" w:name="_bookmark159"/>
      <w:bookmarkEnd w:id="702"/>
      <w:bookmarkStart w:id="703" w:name="_Toc17851"/>
      <w:bookmarkStart w:id="704" w:name="_Toc18825"/>
      <w:bookmarkStart w:id="705" w:name="_Toc70496352"/>
      <w:bookmarkStart w:id="706" w:name="_Toc30871"/>
      <w:bookmarkStart w:id="707" w:name="_Toc5636"/>
      <w:bookmarkStart w:id="708" w:name="_Toc26590"/>
      <w:r>
        <w:rPr>
          <w:rFonts w:ascii="Times New Roman" w:hAnsi="Times New Roman" w:cs="Times New Roman"/>
          <w:color w:val="000000" w:themeColor="text1"/>
          <w14:textFill>
            <w14:solidFill>
              <w14:schemeClr w14:val="tx1"/>
            </w14:solidFill>
          </w14:textFill>
        </w:rPr>
        <w:t>7.4.1</w:t>
      </w:r>
      <w:r>
        <w:rPr>
          <w:rFonts w:hint="eastAsia" w:ascii="Times New Roman" w:hAnsi="Times New Roman" w:cs="Times New Roman"/>
          <w:color w:val="000000" w:themeColor="text1"/>
          <w14:textFill>
            <w14:solidFill>
              <w14:schemeClr w14:val="tx1"/>
            </w14:solidFill>
          </w14:textFill>
        </w:rPr>
        <w:t>环境</w:t>
      </w:r>
      <w:r>
        <w:rPr>
          <w:rFonts w:ascii="Times New Roman" w:hAnsi="Times New Roman" w:cs="Times New Roman"/>
          <w:color w:val="000000" w:themeColor="text1"/>
          <w14:textFill>
            <w14:solidFill>
              <w14:schemeClr w14:val="tx1"/>
            </w14:solidFill>
          </w14:textFill>
        </w:rPr>
        <w:t>监测</w:t>
      </w:r>
      <w:bookmarkEnd w:id="703"/>
      <w:bookmarkEnd w:id="704"/>
      <w:bookmarkEnd w:id="705"/>
      <w:bookmarkEnd w:id="706"/>
      <w:bookmarkEnd w:id="707"/>
      <w:r>
        <w:rPr>
          <w:rFonts w:hint="eastAsia" w:ascii="Times New Roman" w:hAnsi="Times New Roman" w:cs="Times New Roman"/>
          <w:color w:val="000000" w:themeColor="text1"/>
          <w14:textFill>
            <w14:solidFill>
              <w14:schemeClr w14:val="tx1"/>
            </w14:solidFill>
          </w14:textFill>
        </w:rPr>
        <w:t>工作组织</w:t>
      </w:r>
      <w:bookmarkEnd w:id="708"/>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本工程环境监测任务应由工程环境管理机构负责组织实施，大气环境、生态环境及水土保持监测应委托具有相应监侧资质和监测经验的单位进行监测。</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环境监测应按国家和地方的环保要求进行，采用国家规定的标准监侧方法，并按照规定。定期向有关环境保护主管部门上报监测结果。</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09" w:name="9.5.3监测计划"/>
      <w:bookmarkEnd w:id="709"/>
      <w:bookmarkStart w:id="710" w:name="_bookmark160"/>
      <w:bookmarkEnd w:id="710"/>
      <w:bookmarkStart w:id="711" w:name="9.5.2环境监测要求"/>
      <w:bookmarkEnd w:id="711"/>
      <w:bookmarkStart w:id="712" w:name="_bookmark161"/>
      <w:bookmarkEnd w:id="712"/>
      <w:bookmarkStart w:id="713" w:name="_Toc70496353"/>
      <w:bookmarkStart w:id="714" w:name="_Toc7693"/>
      <w:bookmarkStart w:id="715" w:name="_Toc18666"/>
      <w:bookmarkStart w:id="716" w:name="_Toc1378"/>
      <w:bookmarkStart w:id="717" w:name="_Toc3182"/>
      <w:bookmarkStart w:id="718" w:name="_Toc30031"/>
      <w:r>
        <w:rPr>
          <w:rFonts w:ascii="Times New Roman" w:hAnsi="Times New Roman" w:cs="Times New Roman"/>
          <w:color w:val="000000" w:themeColor="text1"/>
          <w14:textFill>
            <w14:solidFill>
              <w14:schemeClr w14:val="tx1"/>
            </w14:solidFill>
          </w14:textFill>
        </w:rPr>
        <w:t>7.4.2</w:t>
      </w:r>
      <w:r>
        <w:rPr>
          <w:rFonts w:hint="eastAsia" w:ascii="Times New Roman" w:hAnsi="Times New Roman" w:cs="Times New Roman"/>
          <w:color w:val="000000" w:themeColor="text1"/>
          <w14:textFill>
            <w14:solidFill>
              <w14:schemeClr w14:val="tx1"/>
            </w14:solidFill>
          </w14:textFill>
        </w:rPr>
        <w:t>环境</w:t>
      </w:r>
      <w:r>
        <w:rPr>
          <w:rFonts w:ascii="Times New Roman" w:hAnsi="Times New Roman" w:cs="Times New Roman"/>
          <w:color w:val="000000" w:themeColor="text1"/>
          <w14:textFill>
            <w14:solidFill>
              <w14:schemeClr w14:val="tx1"/>
            </w14:solidFill>
          </w14:textFill>
        </w:rPr>
        <w:t>监测</w:t>
      </w:r>
      <w:bookmarkEnd w:id="713"/>
      <w:bookmarkEnd w:id="714"/>
      <w:bookmarkEnd w:id="715"/>
      <w:bookmarkEnd w:id="716"/>
      <w:bookmarkEnd w:id="717"/>
      <w:r>
        <w:rPr>
          <w:rFonts w:hint="eastAsia" w:ascii="Times New Roman" w:hAnsi="Times New Roman" w:cs="Times New Roman"/>
          <w:color w:val="000000" w:themeColor="text1"/>
          <w14:textFill>
            <w14:solidFill>
              <w14:schemeClr w14:val="tx1"/>
            </w14:solidFill>
          </w14:textFill>
        </w:rPr>
        <w:t>工作内容</w:t>
      </w:r>
      <w:bookmarkEnd w:id="718"/>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根据工程特点及工程区环境特点，工程主要进行污染控制监测、生态环境监侧和水土保持监侧，监侧分施工期和运行期两个时段。</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（1）污染控制监测</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根据工程内容、工程实施区域环境特点和地环保部门要求，工程污染控制监测主要是针对土壤、植被、施工作业废气、废水和噪声等污染控制监测。</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（2）生态环境监测</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生态监测的目的是对影响范围内生态现状做出评价，为进行生态恢复措施的实施提供依据。</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工程施工期生态环境监测的主要内容有以下几点：由于施工开挖、占地及人员进驻而引发的动、植物资源迁移或破坏造成对生态的影响；由于人员和设备的活动改变了土地的生产能力，造成土地生产能力下降，进而给生态带来影响；由于施工扰动地表及弃土所造成的水土流失。</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工程施工运行期生态环境主要为了解工程建设后工程区生态环境状况。分析工程运行对区域生态的影响，验证预侧结果和生态保护措施的效果，运行期生态监测主要是调查工程建成后工程区植被及水生生物的恢复程度。水土流失状况。分析工程建设对工程区生态的影响与生态减缓及恢复措施的效果。</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19" w:name="_Toc25243"/>
      <w:r>
        <w:rPr>
          <w:rFonts w:ascii="Times New Roman" w:hAnsi="Times New Roman" w:cs="Times New Roman"/>
          <w:color w:val="000000" w:themeColor="text1"/>
          <w14:textFill>
            <w14:solidFill>
              <w14:schemeClr w14:val="tx1"/>
            </w14:solidFill>
          </w14:textFill>
        </w:rPr>
        <w:t>7.4.</w:t>
      </w:r>
      <w:r>
        <w:rPr>
          <w:rFonts w:hint="eastAsia" w:ascii="Times New Roman" w:hAnsi="Times New Roman" w:cs="Times New Roman"/>
          <w:color w:val="000000" w:themeColor="text1"/>
          <w14:textFill>
            <w14:solidFill>
              <w14:schemeClr w14:val="tx1"/>
            </w14:solidFill>
          </w14:textFill>
        </w:rPr>
        <w:t>3施工期环境</w:t>
      </w:r>
      <w:r>
        <w:rPr>
          <w:rFonts w:ascii="Times New Roman" w:hAnsi="Times New Roman" w:cs="Times New Roman"/>
          <w:color w:val="000000" w:themeColor="text1"/>
          <w14:textFill>
            <w14:solidFill>
              <w14:schemeClr w14:val="tx1"/>
            </w14:solidFill>
          </w14:textFill>
        </w:rPr>
        <w:t>监测</w:t>
      </w:r>
      <w:r>
        <w:rPr>
          <w:rFonts w:hint="eastAsia" w:ascii="Times New Roman" w:hAnsi="Times New Roman" w:cs="Times New Roman"/>
          <w:color w:val="000000" w:themeColor="text1"/>
          <w14:textFill>
            <w14:solidFill>
              <w14:schemeClr w14:val="tx1"/>
            </w14:solidFill>
          </w14:textFill>
        </w:rPr>
        <w:t>计划</w:t>
      </w:r>
      <w:bookmarkEnd w:id="719"/>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1、监测目的</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检查和监督施工过程中发生的施工扬尘和施工噪声引起的环境问题，以便及时进行处理。</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2、监测时段</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包括施工全过程，着重考虑典型气象条件和重要敏感点地段的施工监测。</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3、监测项目</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地表水环境监测因子：</w:t>
      </w:r>
      <w:r>
        <w:rPr>
          <w:color w:val="000000" w:themeColor="text1"/>
          <w:sz w:val="24"/>
          <w14:textFill>
            <w14:solidFill>
              <w14:schemeClr w14:val="tx1"/>
            </w14:solidFill>
          </w14:textFill>
        </w:rPr>
        <w:t>pH</w:t>
      </w:r>
      <w:r>
        <w:rPr>
          <w:rFonts w:hint="eastAsia"/>
          <w:color w:val="000000" w:themeColor="text1"/>
          <w:sz w:val="24"/>
          <w14:textFill>
            <w14:solidFill>
              <w14:schemeClr w14:val="tx1"/>
            </w14:solidFill>
          </w14:textFill>
        </w:rPr>
        <w:t>、悬浮物、</w:t>
      </w:r>
      <w:r>
        <w:rPr>
          <w:color w:val="000000" w:themeColor="text1"/>
          <w:sz w:val="24"/>
          <w14:textFill>
            <w14:solidFill>
              <w14:schemeClr w14:val="tx1"/>
            </w14:solidFill>
          </w14:textFill>
        </w:rPr>
        <w:t>高锰酸盐指数</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五日生化需氧量</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氨氮</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总磷</w:t>
      </w:r>
      <w:r>
        <w:rPr>
          <w:rFonts w:hint="eastAsia"/>
          <w:color w:val="000000" w:themeColor="text1"/>
          <w:sz w:val="24"/>
          <w14:textFill>
            <w14:solidFill>
              <w14:schemeClr w14:val="tx1"/>
            </w14:solidFill>
          </w14:textFill>
        </w:rPr>
        <w:t>、石油类</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大气环境监测因子：TSP、</w:t>
      </w:r>
      <w:r>
        <w:rPr>
          <w:color w:val="000000" w:themeColor="text1"/>
          <w:sz w:val="24"/>
          <w14:textFill>
            <w14:solidFill>
              <w14:schemeClr w14:val="tx1"/>
            </w14:solidFill>
          </w14:textFill>
        </w:rPr>
        <w:t>PM</w:t>
      </w:r>
      <w:r>
        <w:rPr>
          <w:color w:val="000000" w:themeColor="text1"/>
          <w:sz w:val="24"/>
          <w:vertAlign w:val="subscript"/>
          <w14:textFill>
            <w14:solidFill>
              <w14:schemeClr w14:val="tx1"/>
            </w14:solidFill>
          </w14:textFill>
        </w:rPr>
        <w:t>2.5</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PM</w:t>
      </w:r>
      <w:r>
        <w:rPr>
          <w:color w:val="000000" w:themeColor="text1"/>
          <w:sz w:val="24"/>
          <w:vertAlign w:val="subscript"/>
          <w14:textFill>
            <w14:solidFill>
              <w14:schemeClr w14:val="tx1"/>
            </w14:solidFill>
          </w14:textFill>
        </w:rPr>
        <w:t>10</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声环境环境监测因子：等效连续</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声级</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生态环境监测因子：植物物种组成数量、植被覆盖度</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4、监测计划</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本项目施工期环境监测计划如下表。</w:t>
      </w:r>
    </w:p>
    <w:p>
      <w:pPr>
        <w:autoSpaceDE/>
        <w:autoSpaceDN/>
        <w:adjustRightInd w:val="0"/>
        <w:snapToGrid w:val="0"/>
        <w:jc w:val="center"/>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表7.4-1施工期环境监测计划一览表</w:t>
      </w:r>
    </w:p>
    <w:tbl>
      <w:tblPr>
        <w:tblStyle w:val="39"/>
        <w:tblpPr w:leftFromText="180" w:rightFromText="180" w:vertAnchor="text" w:horzAnchor="page" w:tblpX="1560" w:tblpY="307"/>
        <w:tblOverlap w:val="never"/>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3176"/>
        <w:gridCol w:w="1876"/>
        <w:gridCol w:w="22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736"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监测项目</w:t>
            </w: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监测点位</w:t>
            </w:r>
          </w:p>
        </w:tc>
        <w:tc>
          <w:tcPr>
            <w:tcW w:w="1101"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监测因子</w:t>
            </w:r>
          </w:p>
        </w:tc>
        <w:tc>
          <w:tcPr>
            <w:tcW w:w="1297"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36" w:type="pct"/>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地表水环境</w:t>
            </w: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南五支渠下游（半截河</w:t>
            </w:r>
            <w:r>
              <w:rPr>
                <w:rFonts w:hint="eastAsia"/>
                <w:color w:val="000000" w:themeColor="text1"/>
                <w14:textFill>
                  <w14:solidFill>
                    <w14:schemeClr w14:val="tx1"/>
                  </w14:solidFill>
                </w14:textFill>
              </w:rPr>
              <w:t>2#支沟</w:t>
            </w:r>
            <w:r>
              <w:rPr>
                <w:rFonts w:hint="default"/>
                <w:color w:val="000000" w:themeColor="text1"/>
                <w14:textFill>
                  <w14:solidFill>
                    <w14:schemeClr w14:val="tx1"/>
                  </w14:solidFill>
                </w14:textFill>
              </w:rPr>
              <w:t>）</w:t>
            </w:r>
          </w:p>
        </w:tc>
        <w:tc>
          <w:tcPr>
            <w:tcW w:w="1101" w:type="pct"/>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ascii="宋体" w:hAnsi="宋体" w:cs="宋体"/>
                <w:color w:val="000000" w:themeColor="text1"/>
                <w:kern w:val="0"/>
                <w:lang w:bidi="ar"/>
                <w14:textFill>
                  <w14:solidFill>
                    <w14:schemeClr w14:val="tx1"/>
                  </w14:solidFill>
                </w14:textFill>
              </w:rPr>
              <w:t>pH</w:t>
            </w:r>
            <w:r>
              <w:rPr>
                <w:rFonts w:hint="eastAsia" w:ascii="宋体" w:hAnsi="宋体" w:cs="宋体"/>
                <w:color w:val="000000" w:themeColor="text1"/>
                <w:kern w:val="0"/>
                <w:lang w:bidi="ar"/>
                <w14:textFill>
                  <w14:solidFill>
                    <w14:schemeClr w14:val="tx1"/>
                  </w14:solidFill>
                </w14:textFill>
              </w:rPr>
              <w:t>、悬浮物、</w:t>
            </w:r>
            <w:r>
              <w:rPr>
                <w:rFonts w:hint="default" w:ascii="宋体" w:hAnsi="宋体" w:cs="宋体"/>
                <w:color w:val="000000" w:themeColor="text1"/>
                <w:kern w:val="0"/>
                <w:lang w:bidi="ar"/>
                <w14:textFill>
                  <w14:solidFill>
                    <w14:schemeClr w14:val="tx1"/>
                  </w14:solidFill>
                </w14:textFill>
              </w:rPr>
              <w:t>高锰酸盐指数</w:t>
            </w:r>
            <w:r>
              <w:rPr>
                <w:rFonts w:hint="eastAsia" w:ascii="宋体" w:hAnsi="宋体" w:cs="宋体"/>
                <w:color w:val="000000" w:themeColor="text1"/>
                <w:kern w:val="0"/>
                <w:lang w:bidi="ar"/>
                <w14:textFill>
                  <w14:solidFill>
                    <w14:schemeClr w14:val="tx1"/>
                  </w14:solidFill>
                </w14:textFill>
              </w:rPr>
              <w:t>、</w:t>
            </w:r>
            <w:r>
              <w:rPr>
                <w:rFonts w:hint="default" w:ascii="宋体" w:hAnsi="宋体" w:cs="宋体"/>
                <w:color w:val="000000" w:themeColor="text1"/>
                <w:kern w:val="0"/>
                <w:lang w:bidi="ar"/>
                <w14:textFill>
                  <w14:solidFill>
                    <w14:schemeClr w14:val="tx1"/>
                  </w14:solidFill>
                </w14:textFill>
              </w:rPr>
              <w:t>五日生化需氧量</w:t>
            </w:r>
            <w:r>
              <w:rPr>
                <w:rFonts w:hint="eastAsia" w:ascii="宋体" w:hAnsi="宋体" w:cs="宋体"/>
                <w:color w:val="000000" w:themeColor="text1"/>
                <w:kern w:val="0"/>
                <w:lang w:bidi="ar"/>
                <w14:textFill>
                  <w14:solidFill>
                    <w14:schemeClr w14:val="tx1"/>
                  </w14:solidFill>
                </w14:textFill>
              </w:rPr>
              <w:t>、</w:t>
            </w:r>
            <w:r>
              <w:rPr>
                <w:rFonts w:hint="default" w:ascii="宋体" w:hAnsi="宋体" w:cs="宋体"/>
                <w:color w:val="000000" w:themeColor="text1"/>
                <w:kern w:val="0"/>
                <w:lang w:bidi="ar"/>
                <w14:textFill>
                  <w14:solidFill>
                    <w14:schemeClr w14:val="tx1"/>
                  </w14:solidFill>
                </w14:textFill>
              </w:rPr>
              <w:t>氨氮</w:t>
            </w:r>
            <w:r>
              <w:rPr>
                <w:rFonts w:hint="eastAsia" w:ascii="宋体" w:hAnsi="宋体" w:cs="宋体"/>
                <w:color w:val="000000" w:themeColor="text1"/>
                <w:kern w:val="0"/>
                <w:lang w:bidi="ar"/>
                <w14:textFill>
                  <w14:solidFill>
                    <w14:schemeClr w14:val="tx1"/>
                  </w14:solidFill>
                </w14:textFill>
              </w:rPr>
              <w:t>、</w:t>
            </w:r>
            <w:r>
              <w:rPr>
                <w:rFonts w:hint="default" w:ascii="宋体" w:hAnsi="宋体" w:cs="宋体"/>
                <w:color w:val="000000" w:themeColor="text1"/>
                <w:kern w:val="0"/>
                <w:lang w:bidi="ar"/>
                <w14:textFill>
                  <w14:solidFill>
                    <w14:schemeClr w14:val="tx1"/>
                  </w14:solidFill>
                </w14:textFill>
              </w:rPr>
              <w:t>总磷</w:t>
            </w:r>
            <w:r>
              <w:rPr>
                <w:rFonts w:hint="eastAsia" w:ascii="宋体" w:hAnsi="宋体" w:cs="宋体"/>
                <w:color w:val="000000" w:themeColor="text1"/>
                <w:kern w:val="0"/>
                <w:lang w:bidi="ar"/>
                <w14:textFill>
                  <w14:solidFill>
                    <w14:schemeClr w14:val="tx1"/>
                  </w14:solidFill>
                </w14:textFill>
              </w:rPr>
              <w:t>、石油类</w:t>
            </w:r>
          </w:p>
        </w:tc>
        <w:tc>
          <w:tcPr>
            <w:tcW w:w="1297" w:type="pct"/>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高峰期</w:t>
            </w:r>
            <w:r>
              <w:rPr>
                <w:rFonts w:hint="default"/>
                <w:color w:val="000000" w:themeColor="text1"/>
                <w:kern w:val="0"/>
                <w:lang w:bidi="ar"/>
                <w14:textFill>
                  <w14:solidFill>
                    <w14:schemeClr w14:val="tx1"/>
                  </w14:solidFill>
                </w14:textFill>
              </w:rPr>
              <w:t>1</w:t>
            </w:r>
            <w:r>
              <w:rPr>
                <w:rFonts w:hint="eastAsia" w:ascii="宋体" w:hAnsi="宋体" w:cs="宋体"/>
                <w:color w:val="000000" w:themeColor="text1"/>
                <w:kern w:val="0"/>
                <w:lang w:bidi="ar"/>
                <w14:textFill>
                  <w14:solidFill>
                    <w14:schemeClr w14:val="tx1"/>
                  </w14:solidFill>
                </w14:textFill>
              </w:rPr>
              <w:t>次，竣工验收时监测</w:t>
            </w:r>
            <w:r>
              <w:rPr>
                <w:rFonts w:hint="default"/>
                <w:color w:val="000000" w:themeColor="text1"/>
                <w:kern w:val="0"/>
                <w:lang w:bidi="ar"/>
                <w14:textFill>
                  <w14:solidFill>
                    <w14:schemeClr w14:val="tx1"/>
                  </w14:solidFill>
                </w14:textFill>
              </w:rPr>
              <w:t>1</w:t>
            </w:r>
            <w:r>
              <w:rPr>
                <w:rFonts w:hint="eastAsia" w:ascii="宋体" w:hAnsi="宋体" w:cs="宋体"/>
                <w:color w:val="000000" w:themeColor="text1"/>
                <w:kern w:val="0"/>
                <w:lang w:bidi="ar"/>
                <w14:textFill>
                  <w14:solidFill>
                    <w14:schemeClr w14:val="tx1"/>
                  </w14:solidFill>
                </w14:textFill>
              </w:rPr>
              <w:t>次，每次连续监测</w:t>
            </w:r>
            <w:r>
              <w:rPr>
                <w:rFonts w:hint="default"/>
                <w:color w:val="000000" w:themeColor="text1"/>
                <w:kern w:val="0"/>
                <w:lang w:bidi="ar"/>
                <w14:textFill>
                  <w14:solidFill>
                    <w14:schemeClr w14:val="tx1"/>
                  </w14:solidFill>
                </w14:textFill>
              </w:rPr>
              <w:t>3</w:t>
            </w:r>
            <w:r>
              <w:rPr>
                <w:rFonts w:hint="eastAsia" w:ascii="宋体" w:hAnsi="宋体" w:cs="宋体"/>
                <w:color w:val="000000" w:themeColor="text1"/>
                <w:kern w:val="0"/>
                <w:lang w:bidi="ar"/>
                <w14:textFill>
                  <w14:solidFill>
                    <w14:schemeClr w14:val="tx1"/>
                  </w14:solidFill>
                </w14:textFill>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36"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南五、南六支渠下游（西河）</w:t>
            </w:r>
          </w:p>
        </w:tc>
        <w:tc>
          <w:tcPr>
            <w:tcW w:w="1101"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297"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36"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北支一渠（上）下游</w:t>
            </w:r>
          </w:p>
        </w:tc>
        <w:tc>
          <w:tcPr>
            <w:tcW w:w="1101"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297"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736"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董家堰补水渠（上、下）下游</w:t>
            </w:r>
          </w:p>
        </w:tc>
        <w:tc>
          <w:tcPr>
            <w:tcW w:w="1101"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297" w:type="pct"/>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736"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大气环境</w:t>
            </w: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施工工区附近，保利湖心岛、北支一渠南侧居民点等敏感点周围</w:t>
            </w:r>
          </w:p>
        </w:tc>
        <w:tc>
          <w:tcPr>
            <w:tcW w:w="1101"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TSP</w:t>
            </w:r>
          </w:p>
        </w:tc>
        <w:tc>
          <w:tcPr>
            <w:tcW w:w="1297"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施工期高峰期监测</w:t>
            </w:r>
            <w:r>
              <w:rPr>
                <w:rFonts w:hint="default"/>
                <w:color w:val="000000" w:themeColor="text1"/>
                <w14:textFill>
                  <w14:solidFill>
                    <w14:schemeClr w14:val="tx1"/>
                  </w14:solidFill>
                </w14:textFill>
              </w:rPr>
              <w:t>1</w:t>
            </w:r>
            <w:r>
              <w:rPr>
                <w:rFonts w:hint="eastAsia"/>
                <w:color w:val="000000" w:themeColor="text1"/>
                <w14:textFill>
                  <w14:solidFill>
                    <w14:schemeClr w14:val="tx1"/>
                  </w14:solidFill>
                </w14:textFill>
              </w:rPr>
              <w:t>次，每次连续监测</w:t>
            </w:r>
            <w:r>
              <w:rPr>
                <w:rFonts w:hint="default"/>
                <w:color w:val="000000" w:themeColor="text1"/>
                <w14:textFill>
                  <w14:solidFill>
                    <w14:schemeClr w14:val="tx1"/>
                  </w14:solidFill>
                </w14:textFill>
              </w:rPr>
              <w:t>3</w:t>
            </w:r>
            <w:r>
              <w:rPr>
                <w:rFonts w:hint="eastAsia"/>
                <w:color w:val="000000" w:themeColor="text1"/>
                <w14:textFill>
                  <w14:solidFill>
                    <w14:schemeClr w14:val="tx1"/>
                  </w14:solidFill>
                </w14:textFill>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736"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保利湖心岛、北支一渠南侧居民点等敏感点周围</w:t>
            </w:r>
          </w:p>
        </w:tc>
        <w:tc>
          <w:tcPr>
            <w:tcW w:w="1101"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等效连续</w:t>
            </w:r>
            <w:r>
              <w:rPr>
                <w:rFonts w:hint="default"/>
                <w:color w:val="000000" w:themeColor="text1"/>
                <w14:textFill>
                  <w14:solidFill>
                    <w14:schemeClr w14:val="tx1"/>
                  </w14:solidFill>
                </w14:textFill>
              </w:rPr>
              <w:t>A</w:t>
            </w:r>
            <w:r>
              <w:rPr>
                <w:rFonts w:hint="eastAsia"/>
                <w:color w:val="000000" w:themeColor="text1"/>
                <w14:textFill>
                  <w14:solidFill>
                    <w14:schemeClr w14:val="tx1"/>
                  </w14:solidFill>
                </w14:textFill>
              </w:rPr>
              <w:t>声级</w:t>
            </w:r>
          </w:p>
        </w:tc>
        <w:tc>
          <w:tcPr>
            <w:tcW w:w="1297"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施工期每月监测</w:t>
            </w:r>
            <w:r>
              <w:rPr>
                <w:rFonts w:hint="default"/>
                <w:color w:val="000000" w:themeColor="text1"/>
                <w14:textFill>
                  <w14:solidFill>
                    <w14:schemeClr w14:val="tx1"/>
                  </w14:solidFill>
                </w14:textFill>
              </w:rPr>
              <w:t>1</w:t>
            </w:r>
            <w:r>
              <w:rPr>
                <w:rFonts w:hint="eastAsia"/>
                <w:color w:val="000000" w:themeColor="text1"/>
                <w14:textFill>
                  <w14:solidFill>
                    <w14:schemeClr w14:val="tx1"/>
                  </w14:solidFill>
                </w14:textFill>
              </w:rPr>
              <w:t>次，昼夜各监测</w:t>
            </w:r>
            <w:r>
              <w:rPr>
                <w:rFonts w:hint="default"/>
                <w:color w:val="000000" w:themeColor="text1"/>
                <w14:textFill>
                  <w14:solidFill>
                    <w14:schemeClr w14:val="tx1"/>
                  </w14:solidFill>
                </w14:textFill>
              </w:rPr>
              <w:t>1</w:t>
            </w:r>
            <w:r>
              <w:rPr>
                <w:rFonts w:hint="eastAsia"/>
                <w:color w:val="000000" w:themeColor="text1"/>
                <w14:textFill>
                  <w14:solidFill>
                    <w14:schemeClr w14:val="tx1"/>
                  </w14:solidFill>
                </w14:textFill>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736"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1864"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14:textFill>
                  <w14:solidFill>
                    <w14:schemeClr w14:val="tx1"/>
                  </w14:solidFill>
                </w14:textFill>
              </w:rPr>
              <w:t>花果山风景名胜区内的南五、南六支渠周边陆生及水生生态状况</w:t>
            </w:r>
          </w:p>
        </w:tc>
        <w:tc>
          <w:tcPr>
            <w:tcW w:w="1101"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color w:val="000000" w:themeColor="text1"/>
                <w14:textFill>
                  <w14:solidFill>
                    <w14:schemeClr w14:val="tx1"/>
                  </w14:solidFill>
                </w14:textFill>
              </w:rPr>
              <w:t>陆生植被的物种组成及数量、植被覆盖度、水生生物组成</w:t>
            </w:r>
          </w:p>
        </w:tc>
        <w:tc>
          <w:tcPr>
            <w:tcW w:w="1297" w:type="pc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施工期结束后夏季、冬季各1次</w:t>
            </w:r>
          </w:p>
        </w:tc>
      </w:tr>
    </w:tbl>
    <w:p>
      <w:pPr>
        <w:autoSpaceDE/>
        <w:autoSpaceDN/>
        <w:jc w:val="center"/>
        <w:rPr>
          <w:b/>
          <w:color w:val="000000" w:themeColor="text1"/>
          <w:kern w:val="0"/>
          <w:sz w:val="24"/>
          <w:szCs w:val="24"/>
          <w14:textFill>
            <w14:solidFill>
              <w14:schemeClr w14:val="tx1"/>
            </w14:solidFill>
          </w14:textFill>
        </w:rPr>
      </w:pPr>
    </w:p>
    <w:p>
      <w:pPr>
        <w:pStyle w:val="3"/>
        <w:spacing w:line="360" w:lineRule="auto"/>
        <w:ind w:left="0" w:firstLine="640"/>
        <w:rPr>
          <w:rFonts w:ascii="Times New Roman" w:hAnsi="Times New Roman" w:eastAsia="黑体" w:cs="Times New Roman"/>
          <w:color w:val="000000" w:themeColor="text1"/>
          <w14:textFill>
            <w14:solidFill>
              <w14:schemeClr w14:val="tx1"/>
            </w14:solidFill>
          </w14:textFill>
        </w:rPr>
      </w:pPr>
      <w:bookmarkStart w:id="720" w:name="_Toc5742"/>
      <w:bookmarkStart w:id="721" w:name="_Toc16502"/>
      <w:bookmarkStart w:id="722" w:name="_Toc70496354"/>
      <w:bookmarkStart w:id="723" w:name="_Toc1628"/>
      <w:bookmarkStart w:id="724" w:name="_Toc6924"/>
      <w:bookmarkStart w:id="725" w:name="_Toc25401"/>
      <w:r>
        <w:rPr>
          <w:rFonts w:ascii="Times New Roman" w:hAnsi="Times New Roman" w:eastAsia="黑体" w:cs="Times New Roman"/>
          <w:color w:val="000000" w:themeColor="text1"/>
          <w14:textFill>
            <w14:solidFill>
              <w14:schemeClr w14:val="tx1"/>
            </w14:solidFill>
          </w14:textFill>
        </w:rPr>
        <w:t>7.5竣工环境保护验收内容及要求</w:t>
      </w:r>
      <w:bookmarkEnd w:id="720"/>
      <w:bookmarkEnd w:id="721"/>
      <w:bookmarkEnd w:id="722"/>
      <w:bookmarkEnd w:id="723"/>
      <w:bookmarkEnd w:id="724"/>
      <w:bookmarkEnd w:id="725"/>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根据国家相关法律法规要求，要求编制环境影响报告书的建设项目需要在调查基础上提交工程竣工环保验收调查报告。开展调查并编制调查报告的目的是为了贯彻实施国家关于工程项目竣工环保验收的法规，提出项目工程竣工环保验收前期调查结果，为工程竣工环保验收组的验收工作提供依据。工程竣工环境保护验收的主要内容为：</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（1）调查环境影响评价文件及工程设计文件中提出的环境保护措施（包括工程措施和环境管理等方面）的落实情况、运行情况，以及环境影响审批文件有关要求的执行情况；</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2）调查工程已采取的生态保护、水土保持及污染控制措施，并通过对区域工程环境现状调查结果的评价，论证、分析环境保护措施的有效性；针对工程建设造成的实际环境影响及潜在的环境影响，提出切实可行的补救措施，对已实施但尚未满足环境保护要求的措施提出整改要求。</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（3）通过公众意见调查，了解公众对工程施工期和运营期环境保护工作的意见、对当地经济发展的作用、对工程所在区域居民工作和生活的影响情况，针对公众的合理要求提出解决方案和建议。</w:t>
      </w:r>
    </w:p>
    <w:p>
      <w:pPr>
        <w:adjustRightInd w:val="0"/>
        <w:snapToGrid w:val="0"/>
        <w:spacing w:line="360" w:lineRule="auto"/>
        <w:ind w:firstLine="480" w:firstLineChars="200"/>
        <w:jc w:val="both"/>
        <w:rPr>
          <w:color w:val="000000" w:themeColor="text1"/>
          <w:sz w:val="24"/>
          <w14:textFill>
            <w14:solidFill>
              <w14:schemeClr w14:val="tx1"/>
            </w14:solidFill>
          </w14:textFill>
        </w:rPr>
      </w:pPr>
      <w:r>
        <w:rPr>
          <w:color w:val="000000" w:themeColor="text1"/>
          <w:sz w:val="24"/>
          <w14:textFill>
            <w14:solidFill>
              <w14:schemeClr w14:val="tx1"/>
            </w14:solidFill>
          </w14:textFill>
        </w:rPr>
        <w:t>（4）根据工程环境影响的调查结果，客观、公正的从技术上论证工程是否符合竣工环境保护验收条件。</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本项目竣工环境保护验收的主要内容见表7.5-1</w:t>
      </w:r>
    </w:p>
    <w:p>
      <w:pPr>
        <w:adjustRightInd w:val="0"/>
        <w:snapToGrid w:val="0"/>
        <w:ind w:firstLine="480" w:firstLineChars="200"/>
        <w:jc w:val="center"/>
        <w:rPr>
          <w:rFonts w:eastAsia="黑体"/>
          <w:color w:val="000000" w:themeColor="text1"/>
          <w:sz w:val="24"/>
          <w14:textFill>
            <w14:solidFill>
              <w14:schemeClr w14:val="tx1"/>
            </w14:solidFill>
          </w14:textFill>
        </w:rPr>
      </w:pPr>
      <w:bookmarkStart w:id="726" w:name="_bookmark162"/>
      <w:bookmarkEnd w:id="726"/>
      <w:bookmarkStart w:id="727" w:name="9.6项目环境保护竣工验收一览表"/>
      <w:bookmarkEnd w:id="727"/>
      <w:r>
        <w:rPr>
          <w:rFonts w:eastAsia="黑体"/>
          <w:color w:val="000000" w:themeColor="text1"/>
          <w:sz w:val="24"/>
          <w14:textFill>
            <w14:solidFill>
              <w14:schemeClr w14:val="tx1"/>
            </w14:solidFill>
          </w14:textFill>
        </w:rPr>
        <w:t>表7.5-1项目环境保护竣工验收一览表</w:t>
      </w:r>
    </w:p>
    <w:tbl>
      <w:tblPr>
        <w:tblStyle w:val="38"/>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1153"/>
        <w:gridCol w:w="1153"/>
        <w:gridCol w:w="2477"/>
        <w:gridCol w:w="27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tcBorders>
              <w:top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时段</w:t>
            </w:r>
          </w:p>
        </w:tc>
        <w:tc>
          <w:tcPr>
            <w:tcW w:w="677" w:type="pct"/>
            <w:tcBorders>
              <w:top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类别</w:t>
            </w:r>
          </w:p>
        </w:tc>
        <w:tc>
          <w:tcPr>
            <w:tcW w:w="677" w:type="pct"/>
            <w:tcBorders>
              <w:top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污染物</w:t>
            </w:r>
          </w:p>
        </w:tc>
        <w:tc>
          <w:tcPr>
            <w:tcW w:w="1452" w:type="pct"/>
            <w:tcBorders>
              <w:top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环保设施</w:t>
            </w:r>
          </w:p>
        </w:tc>
        <w:tc>
          <w:tcPr>
            <w:tcW w:w="1606" w:type="pct"/>
            <w:tcBorders>
              <w:top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b/>
                <w:color w:val="000000" w:themeColor="text1"/>
                <w14:textFill>
                  <w14:solidFill>
                    <w14:schemeClr w14:val="tx1"/>
                  </w14:solidFill>
                </w14:textFill>
              </w:rPr>
            </w:pPr>
            <w:r>
              <w:rPr>
                <w:rFonts w:hint="default"/>
                <w:b/>
                <w:color w:val="000000" w:themeColor="text1"/>
                <w14:textFill>
                  <w14:solidFill>
                    <w14:schemeClr w14:val="tx1"/>
                  </w14:solidFill>
                </w14:textFill>
              </w:rPr>
              <w:t>验收标椎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施工期</w:t>
            </w:r>
          </w:p>
        </w:tc>
        <w:tc>
          <w:tcPr>
            <w:tcW w:w="677"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废气</w:t>
            </w:r>
          </w:p>
        </w:tc>
        <w:tc>
          <w:tcPr>
            <w:tcW w:w="677"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扬尘</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施工围挡</w:t>
            </w:r>
          </w:p>
        </w:tc>
        <w:tc>
          <w:tcPr>
            <w:tcW w:w="1606" w:type="pct"/>
            <w:vMerge w:val="restar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《大气污染物综合排放标准》（GB16297-1996）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洗车池及冲洗设备</w:t>
            </w:r>
          </w:p>
        </w:tc>
        <w:tc>
          <w:tcPr>
            <w:tcW w:w="1606"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洒水泵及水管</w:t>
            </w:r>
          </w:p>
        </w:tc>
        <w:tc>
          <w:tcPr>
            <w:tcW w:w="1606"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防尘布、防尘网</w:t>
            </w:r>
          </w:p>
        </w:tc>
        <w:tc>
          <w:tcPr>
            <w:tcW w:w="1606"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恶臭</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喷洒除臭剂、密闭设施、绿化</w:t>
            </w:r>
          </w:p>
        </w:tc>
        <w:tc>
          <w:tcPr>
            <w:tcW w:w="1606"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《恶臭污染物排放标准》（GB14554-93）</w:t>
            </w:r>
            <w:r>
              <w:rPr>
                <w:rFonts w:hint="default" w:ascii="Times New Roman" w:cs="Times New Roman"/>
                <w:color w:val="000000" w:themeColor="text1"/>
                <w:sz w:val="21"/>
                <w:szCs w:val="21"/>
                <w14:textFill>
                  <w14:solidFill>
                    <w14:schemeClr w14:val="tx1"/>
                  </w14:solidFill>
                </w14:textFill>
              </w:rPr>
              <w:t>中的无组织排放监控浓度限值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废水</w:t>
            </w: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施工废水</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沉淀池</w:t>
            </w:r>
          </w:p>
        </w:tc>
        <w:tc>
          <w:tcPr>
            <w:tcW w:w="1606"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依托当地居民生活污水处理设施处理后进入市政污水管网，经城市污水处理厂处理后外排</w:t>
            </w:r>
          </w:p>
        </w:tc>
        <w:tc>
          <w:tcPr>
            <w:tcW w:w="1606"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噪声</w:t>
            </w: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交通噪声</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限速、禁鸣标志</w:t>
            </w:r>
          </w:p>
        </w:tc>
        <w:tc>
          <w:tcPr>
            <w:tcW w:w="1606" w:type="pct"/>
            <w:vMerge w:val="restar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《建筑施工场界环境噪声排放标准》（GB12523-2011）2类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设备噪声</w:t>
            </w:r>
          </w:p>
        </w:tc>
        <w:tc>
          <w:tcPr>
            <w:tcW w:w="1452" w:type="pct"/>
            <w:shd w:val="clear" w:color="auto" w:fill="auto"/>
            <w:vAlign w:val="center"/>
          </w:tcPr>
          <w:p>
            <w:pPr>
              <w:pStyle w:val="76"/>
              <w:keepNext w:val="0"/>
              <w:keepLines w:val="0"/>
              <w:suppressLineNumbers w:val="0"/>
              <w:spacing w:before="0" w:beforeAutospacing="0" w:after="0" w:afterAutospacing="0"/>
              <w:ind w:left="0" w:right="0"/>
              <w:jc w:val="center"/>
              <w:rPr>
                <w:rFonts w:hint="default" w:ascii="Times New Roman" w:cs="Times New Roman"/>
                <w:color w:val="000000" w:themeColor="text1"/>
                <w14:textFill>
                  <w14:solidFill>
                    <w14:schemeClr w14:val="tx1"/>
                  </w14:solidFill>
                </w14:textFill>
              </w:rPr>
            </w:pPr>
            <w:r>
              <w:rPr>
                <w:rFonts w:hint="default" w:ascii="Times New Roman" w:cs="Times New Roman"/>
                <w:color w:val="000000" w:themeColor="text1"/>
                <w:sz w:val="21"/>
                <w:szCs w:val="21"/>
                <w14:textFill>
                  <w14:solidFill>
                    <w14:schemeClr w14:val="tx1"/>
                  </w14:solidFill>
                </w14:textFill>
              </w:rPr>
              <w:t>选用低噪设备、减振、降噪</w:t>
            </w:r>
          </w:p>
        </w:tc>
        <w:tc>
          <w:tcPr>
            <w:tcW w:w="1606"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固体废物</w:t>
            </w: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底泥</w:t>
            </w:r>
          </w:p>
        </w:tc>
        <w:tc>
          <w:tcPr>
            <w:tcW w:w="1452"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临时堆土场暂存、余土摊平处理区回填</w:t>
            </w:r>
          </w:p>
        </w:tc>
        <w:tc>
          <w:tcPr>
            <w:tcW w:w="1606"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无害化处置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弃土</w:t>
            </w:r>
          </w:p>
        </w:tc>
        <w:tc>
          <w:tcPr>
            <w:tcW w:w="1452"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1606"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5"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生活垃圾</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垃圾桶收集，交由环卫部门处置</w:t>
            </w:r>
          </w:p>
        </w:tc>
        <w:tc>
          <w:tcPr>
            <w:tcW w:w="1606"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pct"/>
            <w:gridSpan w:val="2"/>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生态</w:t>
            </w: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水土流失</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修建排水沟，沉砂池</w:t>
            </w:r>
          </w:p>
        </w:tc>
        <w:tc>
          <w:tcPr>
            <w:tcW w:w="1606" w:type="pct"/>
            <w:vMerge w:val="restar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植被覆盖率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pct"/>
            <w:gridSpan w:val="2"/>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c>
          <w:tcPr>
            <w:tcW w:w="677"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生态恢复</w:t>
            </w:r>
          </w:p>
        </w:tc>
        <w:tc>
          <w:tcPr>
            <w:tcW w:w="1452" w:type="pct"/>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植被恢复</w:t>
            </w:r>
          </w:p>
        </w:tc>
        <w:tc>
          <w:tcPr>
            <w:tcW w:w="1606" w:type="pct"/>
            <w:vMerge w:val="continue"/>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3393" w:type="pct"/>
            <w:gridSpan w:val="4"/>
            <w:tcBorders>
              <w:bottom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环境管理：有专业人员、相应环境管理和监测制度</w:t>
            </w:r>
          </w:p>
        </w:tc>
        <w:tc>
          <w:tcPr>
            <w:tcW w:w="1606" w:type="pct"/>
            <w:tcBorders>
              <w:bottom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有环保专员，完善的环境管理制度和监测计划</w:t>
            </w:r>
          </w:p>
        </w:tc>
      </w:tr>
    </w:tbl>
    <w:p>
      <w:pPr>
        <w:adjustRightInd w:val="0"/>
        <w:snapToGrid w:val="0"/>
        <w:ind w:firstLine="420" w:firstLineChars="200"/>
        <w:jc w:val="center"/>
        <w:rPr>
          <w:rFonts w:eastAsia="黑体"/>
          <w:color w:val="000000" w:themeColor="text1"/>
          <w14:textFill>
            <w14:solidFill>
              <w14:schemeClr w14:val="tx1"/>
            </w14:solidFill>
          </w14:textFill>
        </w:rPr>
        <w:sectPr>
          <w:headerReference r:id="rId20" w:type="default"/>
          <w:footerReference r:id="rId21" w:type="default"/>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pPr>
    </w:p>
    <w:p>
      <w:pPr>
        <w:pStyle w:val="2"/>
        <w:tabs>
          <w:tab w:val="left" w:pos="4492"/>
          <w:tab w:val="left" w:pos="4493"/>
        </w:tabs>
        <w:spacing w:before="0" w:line="360" w:lineRule="auto"/>
        <w:ind w:left="0" w:firstLine="880"/>
        <w:jc w:val="center"/>
        <w:rPr>
          <w:rFonts w:ascii="Times New Roman" w:hAnsi="Times New Roman" w:cs="Times New Roman"/>
          <w:color w:val="000000" w:themeColor="text1"/>
          <w14:textFill>
            <w14:solidFill>
              <w14:schemeClr w14:val="tx1"/>
            </w14:solidFill>
          </w14:textFill>
        </w:rPr>
      </w:pPr>
      <w:bookmarkStart w:id="728" w:name="_bookmark169"/>
      <w:bookmarkEnd w:id="728"/>
      <w:bookmarkStart w:id="729" w:name="10.0环境影响评价结论._"/>
      <w:bookmarkEnd w:id="729"/>
      <w:bookmarkStart w:id="730" w:name="_Toc22124"/>
      <w:bookmarkStart w:id="731" w:name="_Toc17442"/>
      <w:bookmarkStart w:id="732" w:name="_Toc70496355"/>
      <w:bookmarkStart w:id="733" w:name="_Toc27949"/>
      <w:bookmarkStart w:id="734" w:name="_Toc29953"/>
      <w:bookmarkStart w:id="735" w:name="_Toc14511"/>
      <w:r>
        <w:rPr>
          <w:rFonts w:ascii="Times New Roman" w:hAnsi="Times New Roman" w:cs="Times New Roman"/>
          <w:color w:val="000000" w:themeColor="text1"/>
          <w14:textFill>
            <w14:solidFill>
              <w14:schemeClr w14:val="tx1"/>
            </w14:solidFill>
          </w14:textFill>
        </w:rPr>
        <w:t>8环境影响评价结论</w:t>
      </w:r>
      <w:bookmarkEnd w:id="730"/>
      <w:bookmarkEnd w:id="731"/>
      <w:bookmarkEnd w:id="732"/>
      <w:bookmarkEnd w:id="733"/>
      <w:bookmarkEnd w:id="734"/>
      <w:bookmarkEnd w:id="735"/>
    </w:p>
    <w:p>
      <w:pPr>
        <w:pStyle w:val="3"/>
        <w:spacing w:line="360" w:lineRule="auto"/>
        <w:ind w:left="0" w:firstLine="640"/>
        <w:rPr>
          <w:rFonts w:eastAsia="黑体"/>
          <w:color w:val="000000" w:themeColor="text1"/>
          <w14:textFill>
            <w14:solidFill>
              <w14:schemeClr w14:val="tx1"/>
            </w14:solidFill>
          </w14:textFill>
        </w:rPr>
      </w:pPr>
      <w:bookmarkStart w:id="736" w:name="10.1工程概况"/>
      <w:bookmarkEnd w:id="736"/>
      <w:bookmarkStart w:id="737" w:name="_bookmark170"/>
      <w:bookmarkEnd w:id="737"/>
      <w:bookmarkStart w:id="738" w:name="_Toc26790"/>
      <w:bookmarkStart w:id="739" w:name="_Toc24310"/>
      <w:bookmarkStart w:id="740" w:name="_Toc70496356"/>
      <w:bookmarkStart w:id="741" w:name="_Toc9482"/>
      <w:bookmarkStart w:id="742" w:name="_Toc21183"/>
      <w:bookmarkStart w:id="743" w:name="_Toc20256"/>
      <w:r>
        <w:rPr>
          <w:rFonts w:eastAsia="黑体"/>
          <w:color w:val="000000" w:themeColor="text1"/>
          <w14:textFill>
            <w14:solidFill>
              <w14:schemeClr w14:val="tx1"/>
            </w14:solidFill>
          </w14:textFill>
        </w:rPr>
        <w:t>8.1建设项目概况</w:t>
      </w:r>
      <w:bookmarkEnd w:id="738"/>
      <w:bookmarkEnd w:id="739"/>
      <w:bookmarkEnd w:id="740"/>
      <w:bookmarkEnd w:id="741"/>
      <w:bookmarkEnd w:id="742"/>
      <w:bookmarkEnd w:id="743"/>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bookmarkStart w:id="744" w:name="_bookmark171"/>
      <w:bookmarkEnd w:id="744"/>
      <w:bookmarkStart w:id="745" w:name="10.2产业政策、规划符合性"/>
      <w:bookmarkEnd w:id="745"/>
      <w:r>
        <w:rPr>
          <w:rFonts w:hint="eastAsia"/>
          <w:color w:val="000000" w:themeColor="text1"/>
          <w:sz w:val="24"/>
          <w14:textFill>
            <w14:solidFill>
              <w14:schemeClr w14:val="tx1"/>
            </w14:solidFill>
          </w14:textFill>
        </w:rPr>
        <w:t>成都天府绿道建设投资集团有限公司</w:t>
      </w:r>
      <w:r>
        <w:rPr>
          <w:color w:val="000000" w:themeColor="text1"/>
          <w:sz w:val="24"/>
          <w14:textFill>
            <w14:solidFill>
              <w14:schemeClr w14:val="tx1"/>
            </w14:solidFill>
          </w14:textFill>
        </w:rPr>
        <w:t>所拟建的“</w:t>
      </w:r>
      <w:r>
        <w:rPr>
          <w:rFonts w:hint="eastAsia"/>
          <w:color w:val="000000" w:themeColor="text1"/>
          <w:sz w:val="24"/>
          <w14:textFill>
            <w14:solidFill>
              <w14:schemeClr w14:val="tx1"/>
            </w14:solidFill>
          </w14:textFill>
        </w:rPr>
        <w:t>成都市环城生态区农田综合整治及农业灌区设施建设项目灌区水利设施建设（二标段）一期</w:t>
      </w:r>
      <w:r>
        <w:rPr>
          <w:color w:val="000000" w:themeColor="text1"/>
          <w:sz w:val="24"/>
          <w14:textFill>
            <w14:solidFill>
              <w14:schemeClr w14:val="tx1"/>
            </w14:solidFill>
          </w14:textFill>
        </w:rPr>
        <w:t>”</w:t>
      </w:r>
      <w:r>
        <w:rPr>
          <w:color w:val="000000" w:themeColor="text1"/>
          <w:sz w:val="24"/>
          <w:szCs w:val="24"/>
          <w14:textFill>
            <w14:solidFill>
              <w14:schemeClr w14:val="tx1"/>
            </w14:solidFill>
          </w14:textFill>
        </w:rPr>
        <w:t>主要对</w:t>
      </w:r>
      <w:r>
        <w:rPr>
          <w:rFonts w:hint="eastAsia"/>
          <w:color w:val="000000" w:themeColor="text1"/>
          <w:sz w:val="24"/>
          <w:szCs w:val="24"/>
          <w14:textFill>
            <w14:solidFill>
              <w14:schemeClr w14:val="tx1"/>
            </w14:solidFill>
          </w14:textFill>
        </w:rPr>
        <w:t>都江堰灌区位于东风渠管理处的支渠及斗渠进行</w:t>
      </w:r>
      <w:r>
        <w:rPr>
          <w:color w:val="000000" w:themeColor="text1"/>
          <w:sz w:val="24"/>
          <w:szCs w:val="24"/>
          <w14:textFill>
            <w14:solidFill>
              <w14:schemeClr w14:val="tx1"/>
            </w14:solidFill>
          </w14:textFill>
        </w:rPr>
        <w:t>整治</w:t>
      </w:r>
      <w:r>
        <w:rPr>
          <w:rFonts w:hint="eastAsia"/>
          <w:color w:val="000000" w:themeColor="text1"/>
          <w:sz w:val="24"/>
          <w:szCs w:val="24"/>
          <w14:textFill>
            <w14:solidFill>
              <w14:schemeClr w14:val="tx1"/>
            </w14:solidFill>
          </w14:textFill>
        </w:rPr>
        <w:t>。</w:t>
      </w:r>
      <w:r>
        <w:rPr>
          <w:rFonts w:hint="eastAsia"/>
          <w:color w:val="000000" w:themeColor="text1"/>
          <w:kern w:val="0"/>
          <w:sz w:val="24"/>
          <w:szCs w:val="24"/>
          <w14:textFill>
            <w14:solidFill>
              <w14:schemeClr w14:val="tx1"/>
            </w14:solidFill>
          </w14:textFill>
        </w:rPr>
        <w:t>工程包含5条渠道，长</w:t>
      </w:r>
      <w:r>
        <w:rPr>
          <w:rFonts w:hint="eastAsia"/>
          <w:color w:val="000000" w:themeColor="text1"/>
          <w:kern w:val="0"/>
          <w:sz w:val="24"/>
          <w:szCs w:val="24"/>
          <w:lang w:eastAsia="zh-CN"/>
          <w14:textFill>
            <w14:solidFill>
              <w14:schemeClr w14:val="tx1"/>
            </w14:solidFill>
          </w14:textFill>
        </w:rPr>
        <w:t>6732m</w:t>
      </w:r>
      <w:r>
        <w:rPr>
          <w:rFonts w:hint="eastAsia"/>
          <w:color w:val="000000" w:themeColor="text1"/>
          <w:kern w:val="0"/>
          <w:sz w:val="24"/>
          <w:szCs w:val="24"/>
          <w14:textFill>
            <w14:solidFill>
              <w14:schemeClr w14:val="tx1"/>
            </w14:solidFill>
          </w14:textFill>
        </w:rPr>
        <w:t>，其中整治渠道</w:t>
      </w:r>
      <w:r>
        <w:rPr>
          <w:rFonts w:hint="eastAsia"/>
          <w:color w:val="000000" w:themeColor="text1"/>
          <w:kern w:val="0"/>
          <w:sz w:val="24"/>
          <w:szCs w:val="24"/>
          <w:lang w:eastAsia="zh-CN"/>
          <w14:textFill>
            <w14:solidFill>
              <w14:schemeClr w14:val="tx1"/>
            </w14:solidFill>
          </w14:textFill>
        </w:rPr>
        <w:t>4471m</w:t>
      </w:r>
      <w:r>
        <w:rPr>
          <w:rFonts w:hint="eastAsia"/>
          <w:color w:val="000000" w:themeColor="text1"/>
          <w:kern w:val="0"/>
          <w:sz w:val="24"/>
          <w:szCs w:val="24"/>
          <w14:textFill>
            <w14:solidFill>
              <w14:schemeClr w14:val="tx1"/>
            </w14:solidFill>
          </w14:textFill>
        </w:rPr>
        <w:t>，拆除重建渠道2261m；新建节制闸和分水闸共</w:t>
      </w:r>
      <w:r>
        <w:rPr>
          <w:color w:val="000000" w:themeColor="text1"/>
          <w:kern w:val="0"/>
          <w:sz w:val="24"/>
          <w:szCs w:val="24"/>
          <w14:textFill>
            <w14:solidFill>
              <w14:schemeClr w14:val="tx1"/>
            </w14:solidFill>
          </w14:textFill>
        </w:rPr>
        <w:t>11</w:t>
      </w:r>
      <w:r>
        <w:rPr>
          <w:rFonts w:hint="eastAsia"/>
          <w:color w:val="000000" w:themeColor="text1"/>
          <w:kern w:val="0"/>
          <w:sz w:val="24"/>
          <w:szCs w:val="24"/>
          <w14:textFill>
            <w14:solidFill>
              <w14:schemeClr w14:val="tx1"/>
            </w14:solidFill>
          </w14:textFill>
        </w:rPr>
        <w:t>座，其中节制闸</w:t>
      </w:r>
      <w:r>
        <w:rPr>
          <w:color w:val="000000" w:themeColor="text1"/>
          <w:kern w:val="0"/>
          <w:sz w:val="24"/>
          <w:szCs w:val="24"/>
          <w14:textFill>
            <w14:solidFill>
              <w14:schemeClr w14:val="tx1"/>
            </w14:solidFill>
          </w14:textFill>
        </w:rPr>
        <w:t>5</w:t>
      </w:r>
      <w:r>
        <w:rPr>
          <w:rFonts w:hint="eastAsia"/>
          <w:color w:val="000000" w:themeColor="text1"/>
          <w:kern w:val="0"/>
          <w:sz w:val="24"/>
          <w:szCs w:val="24"/>
          <w14:textFill>
            <w14:solidFill>
              <w14:schemeClr w14:val="tx1"/>
            </w14:solidFill>
          </w14:textFill>
        </w:rPr>
        <w:t>座，分水闸</w:t>
      </w:r>
      <w:r>
        <w:rPr>
          <w:color w:val="000000" w:themeColor="text1"/>
          <w:kern w:val="0"/>
          <w:sz w:val="24"/>
          <w:szCs w:val="24"/>
          <w14:textFill>
            <w14:solidFill>
              <w14:schemeClr w14:val="tx1"/>
            </w14:solidFill>
          </w14:textFill>
        </w:rPr>
        <w:t>6</w:t>
      </w:r>
      <w:r>
        <w:rPr>
          <w:rFonts w:hint="eastAsia"/>
          <w:color w:val="000000" w:themeColor="text1"/>
          <w:kern w:val="0"/>
          <w:sz w:val="24"/>
          <w:szCs w:val="24"/>
          <w14:textFill>
            <w14:solidFill>
              <w14:schemeClr w14:val="tx1"/>
            </w14:solidFill>
          </w14:textFill>
        </w:rPr>
        <w:t>座；拆除重建箱涵</w:t>
      </w:r>
      <w:r>
        <w:rPr>
          <w:color w:val="000000" w:themeColor="text1"/>
          <w:kern w:val="0"/>
          <w:sz w:val="24"/>
          <w:szCs w:val="24"/>
          <w14:textFill>
            <w14:solidFill>
              <w14:schemeClr w14:val="tx1"/>
            </w14:solidFill>
          </w14:textFill>
        </w:rPr>
        <w:t>3</w:t>
      </w:r>
      <w:r>
        <w:rPr>
          <w:rFonts w:hint="eastAsia"/>
          <w:color w:val="000000" w:themeColor="text1"/>
          <w:kern w:val="0"/>
          <w:sz w:val="24"/>
          <w:szCs w:val="24"/>
          <w14:textFill>
            <w14:solidFill>
              <w14:schemeClr w14:val="tx1"/>
            </w14:solidFill>
          </w14:textFill>
        </w:rPr>
        <w:t>座；重建排水口</w:t>
      </w:r>
      <w:r>
        <w:rPr>
          <w:color w:val="000000" w:themeColor="text1"/>
          <w:kern w:val="0"/>
          <w:sz w:val="24"/>
          <w:szCs w:val="24"/>
          <w14:textFill>
            <w14:solidFill>
              <w14:schemeClr w14:val="tx1"/>
            </w14:solidFill>
          </w14:textFill>
        </w:rPr>
        <w:t>2</w:t>
      </w:r>
      <w:r>
        <w:rPr>
          <w:rFonts w:hint="eastAsia"/>
          <w:color w:val="000000" w:themeColor="text1"/>
          <w:kern w:val="0"/>
          <w:sz w:val="24"/>
          <w:szCs w:val="24"/>
          <w14:textFill>
            <w14:solidFill>
              <w14:schemeClr w14:val="tx1"/>
            </w14:solidFill>
          </w14:textFill>
        </w:rPr>
        <w:t>座。</w:t>
      </w:r>
    </w:p>
    <w:p>
      <w:pPr>
        <w:pStyle w:val="3"/>
        <w:spacing w:line="360" w:lineRule="auto"/>
        <w:ind w:left="0" w:firstLine="640"/>
        <w:rPr>
          <w:rFonts w:eastAsia="黑体"/>
          <w:color w:val="000000" w:themeColor="text1"/>
          <w14:textFill>
            <w14:solidFill>
              <w14:schemeClr w14:val="tx1"/>
            </w14:solidFill>
          </w14:textFill>
        </w:rPr>
      </w:pPr>
      <w:bookmarkStart w:id="746" w:name="_Toc11185"/>
      <w:bookmarkStart w:id="747" w:name="_Toc49"/>
      <w:bookmarkStart w:id="748" w:name="_Toc70496357"/>
      <w:bookmarkStart w:id="749" w:name="_Toc19178"/>
      <w:bookmarkStart w:id="750" w:name="_Toc10985"/>
      <w:bookmarkStart w:id="751" w:name="_Toc7094"/>
      <w:r>
        <w:rPr>
          <w:rFonts w:eastAsia="黑体"/>
          <w:color w:val="000000" w:themeColor="text1"/>
          <w14:textFill>
            <w14:solidFill>
              <w14:schemeClr w14:val="tx1"/>
            </w14:solidFill>
          </w14:textFill>
        </w:rPr>
        <w:t>8.2产业政策和相关规划符合性结论</w:t>
      </w:r>
      <w:bookmarkEnd w:id="746"/>
      <w:bookmarkEnd w:id="747"/>
      <w:bookmarkEnd w:id="748"/>
      <w:bookmarkEnd w:id="749"/>
      <w:bookmarkEnd w:id="750"/>
      <w:bookmarkEnd w:id="751"/>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52" w:name="_Toc70496358"/>
      <w:bookmarkStart w:id="753" w:name="_Toc7085"/>
      <w:bookmarkStart w:id="754" w:name="_Toc2160"/>
      <w:bookmarkStart w:id="755" w:name="_Toc3193"/>
      <w:bookmarkStart w:id="756" w:name="_Toc18"/>
      <w:bookmarkStart w:id="757" w:name="_Toc15270"/>
      <w:r>
        <w:rPr>
          <w:rFonts w:ascii="Times New Roman" w:hAnsi="Times New Roman" w:cs="Times New Roman"/>
          <w:color w:val="000000" w:themeColor="text1"/>
          <w14:textFill>
            <w14:solidFill>
              <w14:schemeClr w14:val="tx1"/>
            </w14:solidFill>
          </w14:textFill>
        </w:rPr>
        <w:t>8.2.1产业政策符合性分析</w:t>
      </w:r>
      <w:bookmarkEnd w:id="752"/>
      <w:bookmarkEnd w:id="753"/>
      <w:bookmarkEnd w:id="754"/>
      <w:bookmarkEnd w:id="755"/>
      <w:bookmarkEnd w:id="756"/>
      <w:bookmarkEnd w:id="757"/>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本工程为</w:t>
      </w:r>
      <w:r>
        <w:rPr>
          <w:rFonts w:hint="eastAsia"/>
          <w:color w:val="000000" w:themeColor="text1"/>
          <w14:textFill>
            <w14:solidFill>
              <w14:schemeClr w14:val="tx1"/>
            </w14:solidFill>
          </w14:textFill>
        </w:rPr>
        <w:t>灌区渠道整治</w:t>
      </w:r>
      <w:r>
        <w:rPr>
          <w:color w:val="000000" w:themeColor="text1"/>
          <w14:textFill>
            <w14:solidFill>
              <w14:schemeClr w14:val="tx1"/>
            </w14:solidFill>
          </w14:textFill>
        </w:rPr>
        <w:t>项目，</w:t>
      </w:r>
      <w:r>
        <w:rPr>
          <w:rFonts w:hint="eastAsia" w:ascii="宋体" w:hAnsi="宋体" w:cs="宋体"/>
          <w:color w:val="000000" w:themeColor="text1"/>
          <w14:textFill>
            <w14:solidFill>
              <w14:schemeClr w14:val="tx1"/>
            </w14:solidFill>
          </w14:textFill>
        </w:rPr>
        <w:t>根据《产业结构调整指导目</w:t>
      </w:r>
      <w:r>
        <w:rPr>
          <w:color w:val="000000" w:themeColor="text1"/>
          <w14:textFill>
            <w14:solidFill>
              <w14:schemeClr w14:val="tx1"/>
            </w14:solidFill>
          </w14:textFill>
        </w:rPr>
        <w:t>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年本</w:t>
      </w:r>
      <w:r>
        <w:rPr>
          <w:rFonts w:hint="eastAsia" w:ascii="宋体" w:hAnsi="宋体" w:cs="宋体"/>
          <w:color w:val="000000" w:themeColor="text1"/>
          <w14:textFill>
            <w14:solidFill>
              <w14:schemeClr w14:val="tx1"/>
            </w14:solidFill>
          </w14:textFill>
        </w:rPr>
        <w:t>）》，本项目属于“鼓励类”中第二条水利“</w:t>
      </w:r>
      <w:r>
        <w:rPr>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节水供水工程：农村供水工程，灌区及配套设施建设、改造，高效输配水、节水灌溉技术推广应用，灌溉排水泵站更新改造工程，合同节水管理，节水改造工程，节水工艺、技术和装备推广应用，城镇用水单位智慧节水系统开发与应用，非常规水源开发利用。”</w:t>
      </w:r>
      <w:r>
        <w:rPr>
          <w:color w:val="000000" w:themeColor="text1"/>
          <w14:textFill>
            <w14:solidFill>
              <w14:schemeClr w14:val="tx1"/>
            </w14:solidFill>
          </w14:textFill>
        </w:rPr>
        <w:t>故属于鼓励类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符合国家现行产业政策要求。</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58" w:name="_Toc30068"/>
      <w:bookmarkStart w:id="759" w:name="_Toc70496359"/>
      <w:bookmarkStart w:id="760" w:name="_Toc31951"/>
      <w:bookmarkStart w:id="761" w:name="_Toc1908"/>
      <w:bookmarkStart w:id="762" w:name="_Toc28101"/>
      <w:bookmarkStart w:id="763" w:name="_Toc18151"/>
      <w:r>
        <w:rPr>
          <w:rFonts w:ascii="Times New Roman" w:hAnsi="Times New Roman" w:cs="Times New Roman"/>
          <w:color w:val="000000" w:themeColor="text1"/>
          <w14:textFill>
            <w14:solidFill>
              <w14:schemeClr w14:val="tx1"/>
            </w14:solidFill>
          </w14:textFill>
        </w:rPr>
        <w:t>8.2.2规划符合性分析</w:t>
      </w:r>
      <w:bookmarkEnd w:id="758"/>
      <w:bookmarkEnd w:id="759"/>
      <w:bookmarkEnd w:id="760"/>
      <w:bookmarkEnd w:id="761"/>
      <w:bookmarkEnd w:id="762"/>
      <w:bookmarkEnd w:id="763"/>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与《成都市国民经济和社会发展第十四个五年规划和二〇三五年远景目标纲要》符合性分析</w:t>
      </w:r>
    </w:p>
    <w:p>
      <w:pPr>
        <w:pStyle w:val="14"/>
        <w:spacing w:line="360" w:lineRule="auto"/>
        <w:ind w:firstLine="480" w:firstLineChars="200"/>
        <w:jc w:val="both"/>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项目为成都市环城生态区渠道改造，项目的建设有利于加快灌区水系修复，与《成都市民经济和社会发展第十四个五年规划和二〇三五年远景目标纲要》中“加快水润天府蓝网及灌区水系修复，规划建设山溪河水收集利用及渠系景观化提升项目”相符。</w:t>
      </w:r>
    </w:p>
    <w:p>
      <w:pPr>
        <w:pStyle w:val="14"/>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（2）与</w:t>
      </w:r>
      <w:r>
        <w:rPr>
          <w:rFonts w:hint="eastAsia"/>
          <w:color w:val="000000" w:themeColor="text1"/>
          <w14:textFill>
            <w14:solidFill>
              <w14:schemeClr w14:val="tx1"/>
            </w14:solidFill>
          </w14:textFill>
        </w:rPr>
        <w:t>《成都市环城生态区总体规划》符合性分析</w:t>
      </w:r>
    </w:p>
    <w:p>
      <w:pPr>
        <w:pStyle w:val="14"/>
        <w:spacing w:line="360" w:lineRule="auto"/>
        <w:ind w:firstLine="480" w:firstLineChars="200"/>
        <w:jc w:val="both"/>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本项目对成都市环城生态区灌溉渠进行改造，为水系恢复工程，项目建成后有利于增强区域水资源调蓄能力，符合《成都市环城生态区总体规划》相关内容。</w:t>
      </w:r>
    </w:p>
    <w:p>
      <w:pPr>
        <w:pStyle w:val="14"/>
        <w:spacing w:line="360" w:lineRule="auto"/>
        <w:ind w:firstLine="480" w:firstLineChars="200"/>
        <w:jc w:val="both"/>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（3）与《成都市“十四五”农业农村现代化规划》符合性分析</w:t>
      </w:r>
    </w:p>
    <w:p>
      <w:pPr>
        <w:pStyle w:val="14"/>
        <w:spacing w:line="360" w:lineRule="auto"/>
        <w:ind w:firstLine="480" w:firstLineChars="200"/>
        <w:jc w:val="both"/>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本项目渠道都江堰灌区，属于水利基础设施改善项目，项目的建设有力与他提高水资源的利用率和区域节水能力，保障农业生产用水，符合《成都市“十四五”农业农村现代化规划》相关内容。</w:t>
      </w:r>
    </w:p>
    <w:p>
      <w:pPr>
        <w:pStyle w:val="14"/>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与《龙泉花果山风景名胜区总体规划（2022-2035年）》符合性分析</w:t>
      </w:r>
    </w:p>
    <w:p>
      <w:pPr>
        <w:pStyle w:val="14"/>
        <w:spacing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本项目为渠道整治，属于水利设施项目，工程仅对原有渠道进行整治，不改变原有线路，不会对风景名胜区内原有景观造成影响；因此，项目与《龙泉花果山风景名胜区总体规划（2022-2035年）》相符。</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64" w:name="_Toc7347"/>
      <w:bookmarkStart w:id="765" w:name="_Toc70496360"/>
      <w:bookmarkStart w:id="766" w:name="_Toc3060"/>
      <w:bookmarkStart w:id="767" w:name="_Toc20685"/>
      <w:bookmarkStart w:id="768" w:name="_Toc9249"/>
      <w:bookmarkStart w:id="769" w:name="_Toc6669"/>
      <w:r>
        <w:rPr>
          <w:rFonts w:ascii="Times New Roman" w:hAnsi="Times New Roman" w:cs="Times New Roman"/>
          <w:color w:val="000000" w:themeColor="text1"/>
          <w14:textFill>
            <w14:solidFill>
              <w14:schemeClr w14:val="tx1"/>
            </w14:solidFill>
          </w14:textFill>
        </w:rPr>
        <w:t>8.2.3与“三线一单”符合性分析</w:t>
      </w:r>
      <w:bookmarkEnd w:id="764"/>
      <w:bookmarkEnd w:id="765"/>
      <w:bookmarkEnd w:id="766"/>
      <w:bookmarkEnd w:id="767"/>
      <w:bookmarkEnd w:id="768"/>
      <w:bookmarkEnd w:id="769"/>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经过与“三线一单”进行对照后，项目不在生态保护红线内、未超出环境质量底线及资源利用上线、未列入环境准入负面清单内。</w:t>
      </w:r>
    </w:p>
    <w:p>
      <w:pPr>
        <w:pStyle w:val="3"/>
        <w:spacing w:line="360" w:lineRule="auto"/>
        <w:ind w:left="0" w:firstLine="640"/>
        <w:rPr>
          <w:rFonts w:eastAsia="黑体"/>
          <w:color w:val="000000" w:themeColor="text1"/>
          <w14:textFill>
            <w14:solidFill>
              <w14:schemeClr w14:val="tx1"/>
            </w14:solidFill>
          </w14:textFill>
        </w:rPr>
      </w:pPr>
      <w:bookmarkStart w:id="770" w:name="_Toc10635"/>
      <w:bookmarkStart w:id="771" w:name="_Toc721"/>
      <w:bookmarkStart w:id="772" w:name="_Toc32500"/>
      <w:bookmarkStart w:id="773" w:name="_Toc24785"/>
      <w:bookmarkStart w:id="774" w:name="_Toc70496361"/>
      <w:bookmarkStart w:id="775" w:name="_Toc11828"/>
      <w:r>
        <w:rPr>
          <w:rFonts w:eastAsia="黑体"/>
          <w:color w:val="000000" w:themeColor="text1"/>
          <w14:textFill>
            <w14:solidFill>
              <w14:schemeClr w14:val="tx1"/>
            </w14:solidFill>
          </w14:textFill>
        </w:rPr>
        <w:t>8.3环境质量现状</w:t>
      </w:r>
      <w:bookmarkEnd w:id="770"/>
      <w:bookmarkEnd w:id="771"/>
      <w:bookmarkEnd w:id="772"/>
      <w:bookmarkEnd w:id="773"/>
      <w:r>
        <w:rPr>
          <w:rFonts w:eastAsia="黑体"/>
          <w:color w:val="000000" w:themeColor="text1"/>
          <w14:textFill>
            <w14:solidFill>
              <w14:schemeClr w14:val="tx1"/>
            </w14:solidFill>
          </w14:textFill>
        </w:rPr>
        <w:t>评价结论</w:t>
      </w:r>
      <w:bookmarkEnd w:id="774"/>
      <w:bookmarkEnd w:id="775"/>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76" w:name="_bookmark172"/>
      <w:bookmarkEnd w:id="776"/>
      <w:bookmarkStart w:id="777" w:name="10.3选址符合性"/>
      <w:bookmarkEnd w:id="777"/>
      <w:bookmarkStart w:id="778" w:name="_bookmark174"/>
      <w:bookmarkEnd w:id="778"/>
      <w:bookmarkStart w:id="779" w:name="10.4环境质量现状"/>
      <w:bookmarkEnd w:id="779"/>
      <w:bookmarkStart w:id="780" w:name="_bookmark173"/>
      <w:bookmarkEnd w:id="780"/>
      <w:bookmarkStart w:id="781" w:name="10.4.1空气环境"/>
      <w:bookmarkEnd w:id="781"/>
      <w:bookmarkStart w:id="782" w:name="_Toc70496362"/>
      <w:bookmarkStart w:id="783" w:name="_Toc17830"/>
      <w:bookmarkStart w:id="784" w:name="_Toc27045"/>
      <w:bookmarkStart w:id="785" w:name="_Toc13074"/>
      <w:bookmarkStart w:id="786" w:name="_Toc12395"/>
      <w:bookmarkStart w:id="787" w:name="_Toc23883"/>
      <w:r>
        <w:rPr>
          <w:rFonts w:ascii="Times New Roman" w:hAnsi="Times New Roman" w:cs="Times New Roman"/>
          <w:color w:val="000000" w:themeColor="text1"/>
          <w14:textFill>
            <w14:solidFill>
              <w14:schemeClr w14:val="tx1"/>
            </w14:solidFill>
          </w14:textFill>
        </w:rPr>
        <w:t>8.3.1空气环境</w:t>
      </w:r>
      <w:bookmarkEnd w:id="782"/>
      <w:bookmarkEnd w:id="783"/>
      <w:bookmarkEnd w:id="784"/>
      <w:bookmarkEnd w:id="785"/>
      <w:bookmarkEnd w:id="786"/>
      <w:bookmarkEnd w:id="787"/>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kern w:val="0"/>
          <w:sz w:val="24"/>
          <w14:textFill>
            <w14:solidFill>
              <w14:schemeClr w14:val="tx1"/>
            </w14:solidFill>
          </w14:textFill>
        </w:rPr>
        <w:t>本项目位于</w:t>
      </w:r>
      <w:r>
        <w:rPr>
          <w:rFonts w:hint="eastAsia"/>
          <w:color w:val="000000" w:themeColor="text1"/>
          <w:kern w:val="0"/>
          <w:sz w:val="24"/>
          <w14:textFill>
            <w14:solidFill>
              <w14:schemeClr w14:val="tx1"/>
            </w14:solidFill>
          </w14:textFill>
        </w:rPr>
        <w:t>成都市新都区、龙泉驿区</w:t>
      </w:r>
      <w:r>
        <w:rPr>
          <w:color w:val="000000" w:themeColor="text1"/>
          <w:kern w:val="0"/>
          <w:sz w:val="24"/>
          <w14:textFill>
            <w14:solidFill>
              <w14:schemeClr w14:val="tx1"/>
            </w14:solidFill>
          </w14:textFill>
        </w:rPr>
        <w:t>，</w:t>
      </w:r>
      <w:r>
        <w:rPr>
          <w:color w:val="000000" w:themeColor="text1"/>
          <w:sz w:val="24"/>
          <w14:textFill>
            <w14:solidFill>
              <w14:schemeClr w14:val="tx1"/>
            </w14:solidFill>
          </w14:textFill>
        </w:rPr>
        <w:t>根据《2022年成都市生态环境状况公报》中监测数据</w:t>
      </w:r>
      <w:r>
        <w:rPr>
          <w:color w:val="000000" w:themeColor="text1"/>
          <w:kern w:val="0"/>
          <w:sz w:val="24"/>
          <w14:textFill>
            <w14:solidFill>
              <w14:schemeClr w14:val="tx1"/>
            </w14:solidFill>
          </w14:textFill>
        </w:rPr>
        <w:t>，</w:t>
      </w:r>
      <w:r>
        <w:rPr>
          <w:color w:val="000000" w:themeColor="text1"/>
          <w:sz w:val="24"/>
          <w:szCs w:val="24"/>
          <w14:textFill>
            <w14:solidFill>
              <w14:schemeClr w14:val="tx1"/>
            </w14:solidFill>
          </w14:textFill>
        </w:rPr>
        <w:t>评价区域属于环境空气质量</w:t>
      </w:r>
      <w:r>
        <w:rPr>
          <w:rFonts w:hint="eastAsia"/>
          <w:color w:val="000000" w:themeColor="text1"/>
          <w:sz w:val="24"/>
          <w:szCs w:val="24"/>
          <w14:textFill>
            <w14:solidFill>
              <w14:schemeClr w14:val="tx1"/>
            </w14:solidFill>
          </w14:textFill>
        </w:rPr>
        <w:t>不</w:t>
      </w:r>
      <w:r>
        <w:rPr>
          <w:color w:val="000000" w:themeColor="text1"/>
          <w:sz w:val="24"/>
          <w:szCs w:val="24"/>
          <w14:textFill>
            <w14:solidFill>
              <w14:schemeClr w14:val="tx1"/>
            </w14:solidFill>
          </w14:textFill>
        </w:rPr>
        <w:t>满足《环境空气质量标准》（GB3095-2012）二级标准。</w:t>
      </w:r>
      <w:r>
        <w:rPr>
          <w:rFonts w:hint="eastAsia"/>
          <w:color w:val="000000" w:themeColor="text1"/>
          <w:sz w:val="24"/>
          <w:szCs w:val="24"/>
          <w14:textFill>
            <w14:solidFill>
              <w14:schemeClr w14:val="tx1"/>
            </w14:solidFill>
          </w14:textFill>
        </w:rPr>
        <w:t>根据</w:t>
      </w:r>
      <w:r>
        <w:rPr>
          <w:color w:val="000000" w:themeColor="text1"/>
          <w:kern w:val="0"/>
          <w:sz w:val="24"/>
          <w14:textFill>
            <w14:solidFill>
              <w14:schemeClr w14:val="tx1"/>
            </w14:solidFill>
          </w14:textFill>
        </w:rPr>
        <w:t>《成都市空气质量达标规划（2018-2027年）》</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成都市到2027年，全市环境空气质量全面改善，主要大气污染物浓度稳定达到国家环境空气质量二级标准，全面消除重污染天气。</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88" w:name="_bookmark175"/>
      <w:bookmarkEnd w:id="788"/>
      <w:bookmarkStart w:id="789" w:name="10.4.2地表水环境"/>
      <w:bookmarkEnd w:id="789"/>
      <w:bookmarkStart w:id="790" w:name="_Toc16344"/>
      <w:bookmarkStart w:id="791" w:name="_Toc8692"/>
      <w:bookmarkStart w:id="792" w:name="_Toc70496363"/>
      <w:bookmarkStart w:id="793" w:name="_Toc2274"/>
      <w:bookmarkStart w:id="794" w:name="_Toc1183"/>
      <w:bookmarkStart w:id="795" w:name="_Toc21488"/>
      <w:r>
        <w:rPr>
          <w:rFonts w:ascii="Times New Roman" w:hAnsi="Times New Roman" w:cs="Times New Roman"/>
          <w:color w:val="000000" w:themeColor="text1"/>
          <w14:textFill>
            <w14:solidFill>
              <w14:schemeClr w14:val="tx1"/>
            </w14:solidFill>
          </w14:textFill>
        </w:rPr>
        <w:t>8.3.2地表水环境</w:t>
      </w:r>
      <w:bookmarkEnd w:id="790"/>
      <w:bookmarkEnd w:id="791"/>
      <w:bookmarkEnd w:id="792"/>
      <w:bookmarkEnd w:id="793"/>
      <w:bookmarkEnd w:id="794"/>
      <w:bookmarkEnd w:id="795"/>
    </w:p>
    <w:p>
      <w:pPr>
        <w:widowControl/>
        <w:autoSpaceDE/>
        <w:autoSpaceDN/>
        <w:adjustRightInd w:val="0"/>
        <w:snapToGrid w:val="0"/>
        <w:spacing w:line="360" w:lineRule="auto"/>
        <w:ind w:firstLine="480" w:firstLineChars="200"/>
        <w:rPr>
          <w:color w:val="000000" w:themeColor="text1"/>
          <w:sz w:val="24"/>
          <w14:textFill>
            <w14:solidFill>
              <w14:schemeClr w14:val="tx1"/>
            </w14:solidFill>
          </w14:textFill>
        </w:rPr>
      </w:pPr>
      <w:bookmarkStart w:id="796" w:name="10.4.3声环境"/>
      <w:bookmarkEnd w:id="796"/>
      <w:bookmarkStart w:id="797" w:name="_bookmark176"/>
      <w:bookmarkEnd w:id="797"/>
      <w:r>
        <w:rPr>
          <w:rFonts w:hint="eastAsia"/>
          <w:color w:val="000000" w:themeColor="text1"/>
          <w:sz w:val="24"/>
          <w14:textFill>
            <w14:solidFill>
              <w14:schemeClr w14:val="tx1"/>
            </w14:solidFill>
          </w14:textFill>
        </w:rPr>
        <w:t>根据成都市生态环境局在成都市生态环境局官方网站上发布的《</w:t>
      </w:r>
      <w:r>
        <w:rPr>
          <w:color w:val="000000" w:themeColor="text1"/>
          <w:sz w:val="24"/>
          <w14:textFill>
            <w14:solidFill>
              <w14:schemeClr w14:val="tx1"/>
            </w14:solidFill>
          </w14:textFill>
        </w:rPr>
        <w:t>202</w:t>
      </w:r>
      <w:r>
        <w:rPr>
          <w:rFonts w:hint="eastAsia"/>
          <w:color w:val="000000" w:themeColor="text1"/>
          <w:sz w:val="24"/>
          <w14:textFill>
            <w14:solidFill>
              <w14:schemeClr w14:val="tx1"/>
            </w14:solidFill>
          </w14:textFill>
        </w:rPr>
        <w:t>3成都市地表水环境质量状况》：成都市岷、沱江水系成都段共设置市控及以上地表水监测断面114个，2023年监测结果表明，岷、沱江水系成都段地表水水质总体呈优，I~Ⅲ类水质断面114个，占100.0%（I类水质断面4个，占比3.6%；Ⅱ类水质断面90个，占比78.9%；Ⅲ类水质断面20个，占比17.5%）。</w:t>
      </w:r>
    </w:p>
    <w:p>
      <w:pPr>
        <w:widowControl/>
        <w:autoSpaceDE/>
        <w:autoSpaceDN/>
        <w:adjustRightInd w:val="0"/>
        <w:snapToGrid w:val="0"/>
        <w:spacing w:line="360" w:lineRule="auto"/>
        <w:ind w:firstLine="480" w:firstLineChars="20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根据《</w:t>
      </w:r>
      <w:r>
        <w:rPr>
          <w:color w:val="000000" w:themeColor="text1"/>
          <w:sz w:val="24"/>
          <w14:textFill>
            <w14:solidFill>
              <w14:schemeClr w14:val="tx1"/>
            </w14:solidFill>
          </w14:textFill>
        </w:rPr>
        <w:t>202</w:t>
      </w:r>
      <w:r>
        <w:rPr>
          <w:rFonts w:hint="eastAsia"/>
          <w:color w:val="000000" w:themeColor="text1"/>
          <w:sz w:val="24"/>
          <w14:textFill>
            <w14:solidFill>
              <w14:schemeClr w14:val="tx1"/>
            </w14:solidFill>
          </w14:textFill>
        </w:rPr>
        <w:t>3成都市地表水环境质量状况》，区域地表水满足《地表水环境质量标准》（</w:t>
      </w:r>
      <w:r>
        <w:rPr>
          <w:color w:val="000000" w:themeColor="text1"/>
          <w:sz w:val="24"/>
          <w14:textFill>
            <w14:solidFill>
              <w14:schemeClr w14:val="tx1"/>
            </w14:solidFill>
          </w14:textFill>
        </w:rPr>
        <w:t>GB3838-2002</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Ⅲ</w:t>
      </w:r>
      <w:r>
        <w:rPr>
          <w:rFonts w:hint="eastAsia"/>
          <w:color w:val="000000" w:themeColor="text1"/>
          <w:sz w:val="24"/>
          <w14:textFill>
            <w14:solidFill>
              <w14:schemeClr w14:val="tx1"/>
            </w14:solidFill>
          </w14:textFill>
        </w:rPr>
        <w:t>类标准</w:t>
      </w:r>
      <w:r>
        <w:rPr>
          <w:color w:val="000000" w:themeColor="text1"/>
          <w14:textFill>
            <w14:solidFill>
              <w14:schemeClr w14:val="tx1"/>
            </w14:solidFill>
          </w14:textFill>
        </w:rPr>
        <w:t>。</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另外，</w:t>
      </w:r>
      <w:r>
        <w:rPr>
          <w:color w:val="000000" w:themeColor="text1"/>
          <w:sz w:val="24"/>
          <w:szCs w:val="24"/>
          <w14:textFill>
            <w14:solidFill>
              <w14:schemeClr w14:val="tx1"/>
            </w14:solidFill>
          </w14:textFill>
        </w:rPr>
        <w:t>根据</w:t>
      </w:r>
      <w:r>
        <w:rPr>
          <w:rFonts w:hint="eastAsia"/>
          <w:color w:val="000000" w:themeColor="text1"/>
          <w:sz w:val="24"/>
          <w:szCs w:val="24"/>
          <w14:textFill>
            <w14:solidFill>
              <w14:schemeClr w14:val="tx1"/>
            </w14:solidFill>
          </w14:textFill>
        </w:rPr>
        <w:t>四川铁环检环境监测技术有限公司2024年3月22日~24日现状监测结果可知</w:t>
      </w:r>
      <w:r>
        <w:rPr>
          <w:color w:val="000000" w:themeColor="text1"/>
          <w:sz w:val="24"/>
          <w:szCs w:val="24"/>
          <w14:textFill>
            <w14:solidFill>
              <w14:schemeClr w14:val="tx1"/>
            </w14:solidFill>
          </w14:textFill>
        </w:rPr>
        <w:t>，评价地表水断面所监测项目监测指标值均符合《地表水环境质量标准）（GB3838-2002）Ⅲ类标准。</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798" w:name="_Toc23497"/>
      <w:bookmarkStart w:id="799" w:name="_Toc70496365"/>
      <w:bookmarkStart w:id="800" w:name="_Toc6691"/>
      <w:bookmarkStart w:id="801" w:name="_Toc618"/>
      <w:bookmarkStart w:id="802" w:name="_Toc29033"/>
      <w:bookmarkStart w:id="803" w:name="_Toc13123"/>
      <w:r>
        <w:rPr>
          <w:rFonts w:ascii="Times New Roman" w:hAnsi="Times New Roman" w:cs="Times New Roman"/>
          <w:color w:val="000000" w:themeColor="text1"/>
          <w14:textFill>
            <w14:solidFill>
              <w14:schemeClr w14:val="tx1"/>
            </w14:solidFill>
          </w14:textFill>
        </w:rPr>
        <w:t>8.3.</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声环境</w:t>
      </w:r>
      <w:bookmarkEnd w:id="798"/>
      <w:bookmarkEnd w:id="799"/>
      <w:bookmarkEnd w:id="800"/>
      <w:bookmarkEnd w:id="801"/>
      <w:bookmarkEnd w:id="802"/>
      <w:bookmarkEnd w:id="803"/>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bookmarkStart w:id="804" w:name="_bookmark177"/>
      <w:bookmarkEnd w:id="804"/>
      <w:bookmarkStart w:id="805" w:name="10.5环境影响分析结论"/>
      <w:bookmarkEnd w:id="805"/>
      <w:r>
        <w:rPr>
          <w:rFonts w:hint="eastAsia"/>
          <w:color w:val="000000" w:themeColor="text1"/>
          <w:sz w:val="24"/>
          <w:szCs w:val="24"/>
          <w14:textFill>
            <w14:solidFill>
              <w14:schemeClr w14:val="tx1"/>
            </w14:solidFill>
          </w14:textFill>
        </w:rPr>
        <w:t>根据四川卡夫检测技术有限公司</w:t>
      </w:r>
      <w:r>
        <w:rPr>
          <w:color w:val="000000" w:themeColor="text1"/>
          <w:sz w:val="24"/>
          <w:szCs w:val="24"/>
          <w14:textFill>
            <w14:solidFill>
              <w14:schemeClr w14:val="tx1"/>
            </w14:solidFill>
          </w14:textFill>
        </w:rPr>
        <w:t>于202</w:t>
      </w: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23日~24日的</w:t>
      </w:r>
      <w:r>
        <w:rPr>
          <w:color w:val="000000" w:themeColor="text1"/>
          <w:sz w:val="24"/>
          <w:szCs w:val="24"/>
          <w14:textFill>
            <w14:solidFill>
              <w14:schemeClr w14:val="tx1"/>
            </w14:solidFill>
          </w14:textFill>
        </w:rPr>
        <w:t>声环境现状监测</w:t>
      </w:r>
      <w:r>
        <w:rPr>
          <w:rFonts w:hint="eastAsia"/>
          <w:color w:val="000000" w:themeColor="text1"/>
          <w:sz w:val="24"/>
          <w:szCs w:val="24"/>
          <w14:textFill>
            <w14:solidFill>
              <w14:schemeClr w14:val="tx1"/>
            </w14:solidFill>
          </w14:textFill>
        </w:rPr>
        <w:t>可知</w:t>
      </w:r>
      <w:r>
        <w:rPr>
          <w:color w:val="000000" w:themeColor="text1"/>
          <w:sz w:val="24"/>
          <w:szCs w:val="24"/>
          <w14:textFill>
            <w14:solidFill>
              <w14:schemeClr w14:val="tx1"/>
            </w14:solidFill>
          </w14:textFill>
        </w:rPr>
        <w:t>，区域声环境质量可达到《声环境质量标准》（GB3096-2008）中的2类标准。</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06" w:name="_Toc28154"/>
      <w:bookmarkStart w:id="807" w:name="_Toc13452"/>
      <w:bookmarkStart w:id="808" w:name="_Toc4568"/>
      <w:bookmarkStart w:id="809" w:name="_Toc70496366"/>
      <w:bookmarkStart w:id="810" w:name="_Toc5883"/>
      <w:bookmarkStart w:id="811" w:name="_Toc12976"/>
      <w:r>
        <w:rPr>
          <w:rFonts w:ascii="Times New Roman" w:hAnsi="Times New Roman" w:cs="Times New Roman"/>
          <w:color w:val="000000" w:themeColor="text1"/>
          <w14:textFill>
            <w14:solidFill>
              <w14:schemeClr w14:val="tx1"/>
            </w14:solidFill>
          </w14:textFill>
        </w:rPr>
        <w:t>8.3.</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土壤环境</w:t>
      </w:r>
      <w:bookmarkEnd w:id="806"/>
      <w:bookmarkEnd w:id="807"/>
      <w:bookmarkEnd w:id="808"/>
      <w:bookmarkEnd w:id="809"/>
      <w:bookmarkEnd w:id="810"/>
      <w:bookmarkEnd w:id="811"/>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根据监测结果分析，</w:t>
      </w:r>
      <w:r>
        <w:rPr>
          <w:rFonts w:hint="eastAsia"/>
          <w:color w:val="000000" w:themeColor="text1"/>
          <w:sz w:val="24"/>
          <w:szCs w:val="24"/>
          <w14:textFill>
            <w14:solidFill>
              <w14:schemeClr w14:val="tx1"/>
            </w14:solidFill>
          </w14:textFill>
        </w:rPr>
        <w:t>各渠道底泥</w:t>
      </w:r>
      <w:r>
        <w:rPr>
          <w:color w:val="000000" w:themeColor="text1"/>
          <w:sz w:val="24"/>
          <w:szCs w:val="24"/>
          <w14:textFill>
            <w14:solidFill>
              <w14:schemeClr w14:val="tx1"/>
            </w14:solidFill>
          </w14:textFill>
        </w:rPr>
        <w:t>中的各</w:t>
      </w:r>
      <w:r>
        <w:rPr>
          <w:rFonts w:hint="eastAsia"/>
          <w:color w:val="000000" w:themeColor="text1"/>
          <w:sz w:val="24"/>
          <w:szCs w:val="24"/>
          <w14:textFill>
            <w14:solidFill>
              <w14:schemeClr w14:val="tx1"/>
            </w14:solidFill>
          </w14:textFill>
        </w:rPr>
        <w:t>重金属</w:t>
      </w:r>
      <w:r>
        <w:rPr>
          <w:color w:val="000000" w:themeColor="text1"/>
          <w:sz w:val="24"/>
          <w:szCs w:val="24"/>
          <w14:textFill>
            <w14:solidFill>
              <w14:schemeClr w14:val="tx1"/>
            </w14:solidFill>
          </w14:textFill>
        </w:rPr>
        <w:t>项指标经与《土壤环境质量农用地土壤污染风险管控标准（试行）》（GB15618-2018）中有关农用地土壤污染风险筛选值和管制值对照，项目区域中各监测点位的重金属监测值均在农用地土壤污染风险筛选值范围内，项目</w:t>
      </w:r>
      <w:r>
        <w:rPr>
          <w:rFonts w:hint="eastAsia"/>
          <w:color w:val="000000" w:themeColor="text1"/>
          <w:sz w:val="24"/>
          <w:szCs w:val="24"/>
          <w14:textFill>
            <w14:solidFill>
              <w14:schemeClr w14:val="tx1"/>
            </w14:solidFill>
          </w14:textFill>
        </w:rPr>
        <w:t>清淤</w:t>
      </w:r>
      <w:r>
        <w:rPr>
          <w:color w:val="000000" w:themeColor="text1"/>
          <w:sz w:val="24"/>
          <w:szCs w:val="24"/>
          <w14:textFill>
            <w14:solidFill>
              <w14:schemeClr w14:val="tx1"/>
            </w14:solidFill>
          </w14:textFill>
        </w:rPr>
        <w:t>底泥重金属土壤污染风险低。</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12" w:name="_Toc70496367"/>
      <w:bookmarkStart w:id="813" w:name="_Toc26020"/>
      <w:r>
        <w:rPr>
          <w:rFonts w:ascii="Times New Roman" w:hAnsi="Times New Roman" w:cs="Times New Roman"/>
          <w:color w:val="000000" w:themeColor="text1"/>
          <w14:textFill>
            <w14:solidFill>
              <w14:schemeClr w14:val="tx1"/>
            </w14:solidFill>
          </w14:textFill>
        </w:rPr>
        <w:t>8.3.6生态环境</w:t>
      </w:r>
      <w:bookmarkEnd w:id="812"/>
      <w:bookmarkEnd w:id="813"/>
    </w:p>
    <w:p>
      <w:pPr>
        <w:pStyle w:val="13"/>
        <w:keepNext w:val="0"/>
        <w:keepLines w:val="0"/>
        <w:pageBreakBefore w:val="0"/>
        <w:widowControl w:val="0"/>
        <w:kinsoku/>
        <w:wordWrap/>
        <w:overflowPunct/>
        <w:topLinePunct w:val="0"/>
        <w:autoSpaceDE w:val="0"/>
        <w:autoSpaceDN w:val="0"/>
        <w:bidi w:val="0"/>
        <w:adjustRightInd/>
        <w:snapToGrid/>
        <w:ind w:firstLine="480" w:firstLineChars="200"/>
        <w:textAlignment w:val="auto"/>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Hans" w:bidi="ar-SA"/>
          <w14:textFill>
            <w14:solidFill>
              <w14:schemeClr w14:val="tx1"/>
            </w14:solidFill>
          </w14:textFill>
        </w:rPr>
        <w:t>项目所在区域属《四川省生态功能区划》中的Ⅰ1-2平原中部城市与都江堰灌区农业生态功能区，评价范围内不涉及国家公园、自然保护区、自然公园等自然保护地、世界自然遗产、生态保护红线等区域，不涉及重要生境分布。</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评级区内共有维管植物56科，123属，163种；其中蕨类植物共有6科，8属，9种；裸子植物共有2科，3属，3种；</w:t>
      </w:r>
      <w:r>
        <w:rPr>
          <w:rFonts w:hint="eastAsia"/>
          <w:color w:val="000000" w:themeColor="text1"/>
          <w:kern w:val="0"/>
          <w:sz w:val="24"/>
          <w:szCs w:val="24"/>
          <w14:textFill>
            <w14:solidFill>
              <w14:schemeClr w14:val="tx1"/>
            </w14:solidFill>
          </w14:textFill>
        </w:rPr>
        <w:t>被子植物共有48科，112属，151种。评价区蕨类植物中常见的为蜈蚣凤尾蕨（Pterisvittata）。裸子植物中常见的为柏科（Cupressaceae）的侧柏（</w:t>
      </w:r>
      <w:r>
        <w:rPr>
          <w:rFonts w:hint="eastAsia"/>
          <w:i/>
          <w:iCs/>
          <w:color w:val="000000" w:themeColor="text1"/>
          <w:kern w:val="0"/>
          <w:sz w:val="24"/>
          <w:szCs w:val="24"/>
          <w14:textFill>
            <w14:solidFill>
              <w14:schemeClr w14:val="tx1"/>
            </w14:solidFill>
          </w14:textFill>
        </w:rPr>
        <w:t>Platycladusorientalis</w:t>
      </w:r>
      <w:r>
        <w:rPr>
          <w:rFonts w:hint="eastAsia"/>
          <w:color w:val="000000" w:themeColor="text1"/>
          <w:kern w:val="0"/>
          <w:sz w:val="24"/>
          <w:szCs w:val="24"/>
          <w14:textFill>
            <w14:solidFill>
              <w14:schemeClr w14:val="tx1"/>
            </w14:solidFill>
          </w14:textFill>
        </w:rPr>
        <w:t>），被子植物中常见的为菊科（Asteraceae）、豆科（Leguminosae）、禾本科（Poaceae）以及蔷薇科（Rosaceae）。区内植物区系的主体成分是被子植物，被子植物属、种的数量都占总属、种数的90%以上；评价范围内无野生的国家重点保护植物和省级保护植物分布，有一株挂牌的古树名木，树龄约190年的皂荚，未发现分布有珍稀濒危植物（易危、濒危和极危物种）野生种群。评价区分布有中国特有植物17种，其中11种为人工栽培的园林景观植物，其他6种特有种均为当地常见的野生草本植物。评价区未发现极小种群植物物种，项目用地不占用极小种群植物物种及其栖息地。评价区发现入侵植物10种，均为草本植物。</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评价区域内，共统计到陆生野生动物</w:t>
      </w:r>
      <w:r>
        <w:rPr>
          <w:color w:val="000000" w:themeColor="text1"/>
          <w:kern w:val="0"/>
          <w:sz w:val="24"/>
          <w:szCs w:val="24"/>
          <w14:textFill>
            <w14:solidFill>
              <w14:schemeClr w14:val="tx1"/>
            </w14:solidFill>
          </w14:textFill>
        </w:rPr>
        <w:tab/>
      </w:r>
      <w:r>
        <w:rPr>
          <w:color w:val="000000" w:themeColor="text1"/>
          <w:kern w:val="0"/>
          <w:sz w:val="24"/>
          <w:szCs w:val="24"/>
          <w14:textFill>
            <w14:solidFill>
              <w14:schemeClr w14:val="tx1"/>
            </w14:solidFill>
          </w14:textFill>
        </w:rPr>
        <w:t>143</w:t>
      </w:r>
      <w:r>
        <w:rPr>
          <w:rFonts w:hint="eastAsia"/>
          <w:color w:val="000000" w:themeColor="text1"/>
          <w:kern w:val="0"/>
          <w:sz w:val="24"/>
          <w:szCs w:val="24"/>
          <w14:textFill>
            <w14:solidFill>
              <w14:schemeClr w14:val="tx1"/>
            </w14:solidFill>
          </w14:textFill>
        </w:rPr>
        <w:t>种，分属于</w:t>
      </w:r>
      <w:r>
        <w:rPr>
          <w:color w:val="000000" w:themeColor="text1"/>
          <w:kern w:val="0"/>
          <w:sz w:val="24"/>
          <w:szCs w:val="24"/>
          <w14:textFill>
            <w14:solidFill>
              <w14:schemeClr w14:val="tx1"/>
            </w14:solidFill>
          </w14:textFill>
        </w:rPr>
        <w:t>4</w:t>
      </w:r>
      <w:r>
        <w:rPr>
          <w:rFonts w:hint="eastAsia"/>
          <w:color w:val="000000" w:themeColor="text1"/>
          <w:kern w:val="0"/>
          <w:sz w:val="24"/>
          <w:szCs w:val="24"/>
          <w14:textFill>
            <w14:solidFill>
              <w14:schemeClr w14:val="tx1"/>
            </w14:solidFill>
          </w14:textFill>
        </w:rPr>
        <w:t>纲</w:t>
      </w:r>
      <w:r>
        <w:rPr>
          <w:color w:val="000000" w:themeColor="text1"/>
          <w:kern w:val="0"/>
          <w:sz w:val="24"/>
          <w:szCs w:val="24"/>
          <w14:textFill>
            <w14:solidFill>
              <w14:schemeClr w14:val="tx1"/>
            </w14:solidFill>
          </w14:textFill>
        </w:rPr>
        <w:t>20</w:t>
      </w:r>
      <w:r>
        <w:rPr>
          <w:rFonts w:hint="eastAsia"/>
          <w:color w:val="000000" w:themeColor="text1"/>
          <w:kern w:val="0"/>
          <w:sz w:val="24"/>
          <w:szCs w:val="24"/>
          <w14:textFill>
            <w14:solidFill>
              <w14:schemeClr w14:val="tx1"/>
            </w14:solidFill>
          </w14:textFill>
        </w:rPr>
        <w:t>目</w:t>
      </w:r>
      <w:r>
        <w:rPr>
          <w:color w:val="000000" w:themeColor="text1"/>
          <w:kern w:val="0"/>
          <w:sz w:val="24"/>
          <w:szCs w:val="24"/>
          <w14:textFill>
            <w14:solidFill>
              <w14:schemeClr w14:val="tx1"/>
            </w14:solidFill>
          </w14:textFill>
        </w:rPr>
        <w:t>46</w:t>
      </w:r>
      <w:r>
        <w:rPr>
          <w:rFonts w:hint="eastAsia"/>
          <w:color w:val="000000" w:themeColor="text1"/>
          <w:kern w:val="0"/>
          <w:sz w:val="24"/>
          <w:szCs w:val="24"/>
          <w14:textFill>
            <w14:solidFill>
              <w14:schemeClr w14:val="tx1"/>
            </w14:solidFill>
          </w14:textFill>
        </w:rPr>
        <w:t>科，其中两栖纲有</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目</w:t>
      </w:r>
      <w:r>
        <w:rPr>
          <w:color w:val="000000" w:themeColor="text1"/>
          <w:kern w:val="0"/>
          <w:sz w:val="24"/>
          <w:szCs w:val="24"/>
          <w14:textFill>
            <w14:solidFill>
              <w14:schemeClr w14:val="tx1"/>
            </w14:solidFill>
          </w14:textFill>
        </w:rPr>
        <w:t>4</w:t>
      </w:r>
      <w:r>
        <w:rPr>
          <w:rFonts w:hint="eastAsia"/>
          <w:color w:val="000000" w:themeColor="text1"/>
          <w:kern w:val="0"/>
          <w:sz w:val="24"/>
          <w:szCs w:val="24"/>
          <w14:textFill>
            <w14:solidFill>
              <w14:schemeClr w14:val="tx1"/>
            </w14:solidFill>
          </w14:textFill>
        </w:rPr>
        <w:t>科</w:t>
      </w:r>
      <w:r>
        <w:rPr>
          <w:color w:val="000000" w:themeColor="text1"/>
          <w:kern w:val="0"/>
          <w:sz w:val="24"/>
          <w:szCs w:val="24"/>
          <w14:textFill>
            <w14:solidFill>
              <w14:schemeClr w14:val="tx1"/>
            </w14:solidFill>
          </w14:textFill>
        </w:rPr>
        <w:t>8</w:t>
      </w:r>
      <w:r>
        <w:rPr>
          <w:rFonts w:hint="eastAsia"/>
          <w:color w:val="000000" w:themeColor="text1"/>
          <w:kern w:val="0"/>
          <w:sz w:val="24"/>
          <w:szCs w:val="24"/>
          <w14:textFill>
            <w14:solidFill>
              <w14:schemeClr w14:val="tx1"/>
            </w14:solidFill>
          </w14:textFill>
        </w:rPr>
        <w:t>种，爬行纲有</w:t>
      </w:r>
      <w:r>
        <w:rPr>
          <w:color w:val="000000" w:themeColor="text1"/>
          <w:kern w:val="0"/>
          <w:sz w:val="24"/>
          <w:szCs w:val="24"/>
          <w14:textFill>
            <w14:solidFill>
              <w14:schemeClr w14:val="tx1"/>
            </w14:solidFill>
          </w14:textFill>
        </w:rPr>
        <w:t>2</w:t>
      </w:r>
      <w:r>
        <w:rPr>
          <w:rFonts w:hint="eastAsia"/>
          <w:color w:val="000000" w:themeColor="text1"/>
          <w:kern w:val="0"/>
          <w:sz w:val="24"/>
          <w:szCs w:val="24"/>
          <w14:textFill>
            <w14:solidFill>
              <w14:schemeClr w14:val="tx1"/>
            </w14:solidFill>
          </w14:textFill>
        </w:rPr>
        <w:t>目</w:t>
      </w:r>
      <w:r>
        <w:rPr>
          <w:color w:val="000000" w:themeColor="text1"/>
          <w:kern w:val="0"/>
          <w:sz w:val="24"/>
          <w:szCs w:val="24"/>
          <w14:textFill>
            <w14:solidFill>
              <w14:schemeClr w14:val="tx1"/>
            </w14:solidFill>
          </w14:textFill>
        </w:rPr>
        <w:t>5</w:t>
      </w:r>
      <w:r>
        <w:rPr>
          <w:rFonts w:hint="eastAsia"/>
          <w:color w:val="000000" w:themeColor="text1"/>
          <w:kern w:val="0"/>
          <w:sz w:val="24"/>
          <w:szCs w:val="24"/>
          <w14:textFill>
            <w14:solidFill>
              <w14:schemeClr w14:val="tx1"/>
            </w14:solidFill>
          </w14:textFill>
        </w:rPr>
        <w:t>科</w:t>
      </w:r>
      <w:r>
        <w:rPr>
          <w:color w:val="000000" w:themeColor="text1"/>
          <w:kern w:val="0"/>
          <w:sz w:val="24"/>
          <w:szCs w:val="24"/>
          <w14:textFill>
            <w14:solidFill>
              <w14:schemeClr w14:val="tx1"/>
            </w14:solidFill>
          </w14:textFill>
        </w:rPr>
        <w:t>12</w:t>
      </w:r>
      <w:r>
        <w:rPr>
          <w:rFonts w:hint="eastAsia"/>
          <w:color w:val="000000" w:themeColor="text1"/>
          <w:kern w:val="0"/>
          <w:sz w:val="24"/>
          <w:szCs w:val="24"/>
          <w14:textFill>
            <w14:solidFill>
              <w14:schemeClr w14:val="tx1"/>
            </w14:solidFill>
          </w14:textFill>
        </w:rPr>
        <w:t>种，鸟纲有</w:t>
      </w:r>
      <w:r>
        <w:rPr>
          <w:color w:val="000000" w:themeColor="text1"/>
          <w:kern w:val="0"/>
          <w:sz w:val="24"/>
          <w:szCs w:val="24"/>
          <w14:textFill>
            <w14:solidFill>
              <w14:schemeClr w14:val="tx1"/>
            </w14:solidFill>
          </w14:textFill>
        </w:rPr>
        <w:t>14</w:t>
      </w:r>
      <w:r>
        <w:rPr>
          <w:rFonts w:hint="eastAsia"/>
          <w:color w:val="000000" w:themeColor="text1"/>
          <w:kern w:val="0"/>
          <w:sz w:val="24"/>
          <w:szCs w:val="24"/>
          <w14:textFill>
            <w14:solidFill>
              <w14:schemeClr w14:val="tx1"/>
            </w14:solidFill>
          </w14:textFill>
        </w:rPr>
        <w:t>目</w:t>
      </w:r>
      <w:r>
        <w:rPr>
          <w:color w:val="000000" w:themeColor="text1"/>
          <w:kern w:val="0"/>
          <w:sz w:val="24"/>
          <w:szCs w:val="24"/>
          <w14:textFill>
            <w14:solidFill>
              <w14:schemeClr w14:val="tx1"/>
            </w14:solidFill>
          </w14:textFill>
        </w:rPr>
        <w:t>31</w:t>
      </w:r>
      <w:r>
        <w:rPr>
          <w:rFonts w:hint="eastAsia"/>
          <w:color w:val="000000" w:themeColor="text1"/>
          <w:kern w:val="0"/>
          <w:sz w:val="24"/>
          <w:szCs w:val="24"/>
          <w14:textFill>
            <w14:solidFill>
              <w14:schemeClr w14:val="tx1"/>
            </w14:solidFill>
          </w14:textFill>
        </w:rPr>
        <w:t>科</w:t>
      </w:r>
      <w:r>
        <w:rPr>
          <w:color w:val="000000" w:themeColor="text1"/>
          <w:kern w:val="0"/>
          <w:sz w:val="24"/>
          <w:szCs w:val="24"/>
          <w14:textFill>
            <w14:solidFill>
              <w14:schemeClr w14:val="tx1"/>
            </w14:solidFill>
          </w14:textFill>
        </w:rPr>
        <w:t>111</w:t>
      </w:r>
      <w:r>
        <w:rPr>
          <w:rFonts w:hint="eastAsia"/>
          <w:color w:val="000000" w:themeColor="text1"/>
          <w:kern w:val="0"/>
          <w:sz w:val="24"/>
          <w:szCs w:val="24"/>
          <w14:textFill>
            <w14:solidFill>
              <w14:schemeClr w14:val="tx1"/>
            </w14:solidFill>
          </w14:textFill>
        </w:rPr>
        <w:t>种，哺乳纲有</w:t>
      </w:r>
      <w:r>
        <w:rPr>
          <w:color w:val="000000" w:themeColor="text1"/>
          <w:kern w:val="0"/>
          <w:sz w:val="24"/>
          <w:szCs w:val="24"/>
          <w14:textFill>
            <w14:solidFill>
              <w14:schemeClr w14:val="tx1"/>
            </w14:solidFill>
          </w14:textFill>
        </w:rPr>
        <w:t>3</w:t>
      </w:r>
      <w:r>
        <w:rPr>
          <w:rFonts w:hint="eastAsia"/>
          <w:color w:val="000000" w:themeColor="text1"/>
          <w:kern w:val="0"/>
          <w:sz w:val="24"/>
          <w:szCs w:val="24"/>
          <w14:textFill>
            <w14:solidFill>
              <w14:schemeClr w14:val="tx1"/>
            </w14:solidFill>
          </w14:textFill>
        </w:rPr>
        <w:t>目</w:t>
      </w:r>
      <w:r>
        <w:rPr>
          <w:color w:val="000000" w:themeColor="text1"/>
          <w:kern w:val="0"/>
          <w:sz w:val="24"/>
          <w:szCs w:val="24"/>
          <w14:textFill>
            <w14:solidFill>
              <w14:schemeClr w14:val="tx1"/>
            </w14:solidFill>
          </w14:textFill>
        </w:rPr>
        <w:t>5</w:t>
      </w:r>
      <w:r>
        <w:rPr>
          <w:rFonts w:hint="eastAsia"/>
          <w:color w:val="000000" w:themeColor="text1"/>
          <w:kern w:val="0"/>
          <w:sz w:val="24"/>
          <w:szCs w:val="24"/>
          <w14:textFill>
            <w14:solidFill>
              <w14:schemeClr w14:val="tx1"/>
            </w14:solidFill>
          </w14:textFill>
        </w:rPr>
        <w:t>科</w:t>
      </w:r>
      <w:r>
        <w:rPr>
          <w:color w:val="000000" w:themeColor="text1"/>
          <w:kern w:val="0"/>
          <w:sz w:val="24"/>
          <w:szCs w:val="24"/>
          <w14:textFill>
            <w14:solidFill>
              <w14:schemeClr w14:val="tx1"/>
            </w14:solidFill>
          </w14:textFill>
        </w:rPr>
        <w:t>12</w:t>
      </w:r>
      <w:r>
        <w:rPr>
          <w:rFonts w:hint="eastAsia"/>
          <w:color w:val="000000" w:themeColor="text1"/>
          <w:kern w:val="0"/>
          <w:sz w:val="24"/>
          <w:szCs w:val="24"/>
          <w14:textFill>
            <w14:solidFill>
              <w14:schemeClr w14:val="tx1"/>
            </w14:solidFill>
          </w14:textFill>
        </w:rPr>
        <w:t>种。评价区上空有鸟类迁徙通道经过，区内陆生生物多样性较为丰富，以迁徙鸟类为主。其中，重要物种包括国家重点保护野生动物</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1种，分别为凤头鹰、松雀鹰、白尾鹞、青头潜鸭、鸳鸯、斑头秋沙鸭、棉凫、燕隼、红嘴相思鸟、角䴙䴘和黑颈䴙䴘，均为鸟类生物；四川省重点保护野生动物2种，分别为小和黑水鸡；中国特有种</w:t>
      </w:r>
      <w:r>
        <w:rPr>
          <w:color w:val="000000" w:themeColor="text1"/>
          <w:kern w:val="0"/>
          <w:sz w:val="24"/>
          <w:szCs w:val="24"/>
          <w14:textFill>
            <w14:solidFill>
              <w14:schemeClr w14:val="tx1"/>
            </w14:solidFill>
          </w14:textFill>
        </w:rPr>
        <w:t>6</w:t>
      </w:r>
      <w:r>
        <w:rPr>
          <w:rFonts w:hint="eastAsia"/>
          <w:color w:val="000000" w:themeColor="text1"/>
          <w:kern w:val="0"/>
          <w:sz w:val="24"/>
          <w:szCs w:val="24"/>
          <w14:textFill>
            <w14:solidFill>
              <w14:schemeClr w14:val="tx1"/>
            </w14:solidFill>
          </w14:textFill>
        </w:rPr>
        <w:t>种</w:t>
      </w:r>
      <w:r>
        <w:rPr>
          <w:rFonts w:hint="eastAsia"/>
          <w:color w:val="000000" w:themeColor="text1"/>
          <w:kern w:val="0"/>
          <w:sz w:val="24"/>
          <w:szCs w:val="24"/>
          <w:lang w:eastAsia="zh-CN"/>
          <w14:textFill>
            <w14:solidFill>
              <w14:schemeClr w14:val="tx1"/>
            </w14:solidFill>
          </w14:textFill>
        </w:rPr>
        <w:t>，</w:t>
      </w:r>
      <w:r>
        <w:rPr>
          <w:rFonts w:hint="eastAsia"/>
          <w:color w:val="000000" w:themeColor="text1"/>
          <w:kern w:val="0"/>
          <w:sz w:val="24"/>
          <w:szCs w:val="24"/>
          <w:lang w:val="en-US" w:eastAsia="zh-CN"/>
          <w14:textFill>
            <w14:solidFill>
              <w14:schemeClr w14:val="tx1"/>
            </w14:solidFill>
          </w14:textFill>
        </w:rPr>
        <w:t>分别为：</w:t>
      </w:r>
      <w:r>
        <w:rPr>
          <w:color w:val="000000" w:themeColor="text1"/>
          <w:sz w:val="24"/>
          <w:szCs w:val="24"/>
          <w:lang w:bidi="ar"/>
          <w14:textFill>
            <w14:solidFill>
              <w14:schemeClr w14:val="tx1"/>
            </w14:solidFill>
          </w14:textFill>
        </w:rPr>
        <w:t>灰胸竹鸡</w:t>
      </w:r>
      <w:r>
        <w:rPr>
          <w:rFonts w:hint="eastAsia"/>
          <w:color w:val="000000" w:themeColor="text1"/>
          <w:sz w:val="24"/>
          <w:szCs w:val="24"/>
          <w:lang w:eastAsia="zh-CN" w:bidi="ar"/>
          <w14:textFill>
            <w14:solidFill>
              <w14:schemeClr w14:val="tx1"/>
            </w14:solidFill>
          </w14:textFill>
        </w:rPr>
        <w:t>、</w:t>
      </w:r>
      <w:r>
        <w:rPr>
          <w:color w:val="000000" w:themeColor="text1"/>
          <w:sz w:val="24"/>
          <w:szCs w:val="24"/>
          <w:lang w:bidi="ar"/>
          <w14:textFill>
            <w14:solidFill>
              <w14:schemeClr w14:val="tx1"/>
            </w14:solidFill>
          </w14:textFill>
        </w:rPr>
        <w:t>黄腹山雀</w:t>
      </w:r>
      <w:r>
        <w:rPr>
          <w:rFonts w:hint="eastAsia"/>
          <w:color w:val="000000" w:themeColor="text1"/>
          <w:sz w:val="24"/>
          <w:szCs w:val="24"/>
          <w:lang w:eastAsia="zh-CN" w:bidi="ar"/>
          <w14:textFill>
            <w14:solidFill>
              <w14:schemeClr w14:val="tx1"/>
            </w14:solidFill>
          </w14:textFill>
        </w:rPr>
        <w:t>、蹼趾壁虎、四川狭口蛙、钝吻棒花鱼、</w:t>
      </w:r>
      <w:r>
        <w:rPr>
          <w:rFonts w:hint="eastAsia"/>
          <w:color w:val="000000" w:themeColor="text1"/>
          <w:sz w:val="24"/>
          <w:szCs w:val="24"/>
          <w:lang w:val="en-US" w:eastAsia="zh-CN" w:bidi="ar"/>
          <w14:textFill>
            <w14:solidFill>
              <w14:schemeClr w14:val="tx1"/>
            </w14:solidFill>
          </w14:textFill>
        </w:rPr>
        <w:t>北草蜥</w:t>
      </w:r>
      <w:r>
        <w:rPr>
          <w:rFonts w:hint="eastAsia"/>
          <w:color w:val="000000" w:themeColor="text1"/>
          <w:kern w:val="0"/>
          <w:sz w:val="24"/>
          <w:szCs w:val="24"/>
          <w14:textFill>
            <w14:solidFill>
              <w14:schemeClr w14:val="tx1"/>
            </w14:solidFill>
          </w14:textFill>
        </w:rPr>
        <w:t>；在《中国生物多样性红色名录》中列为极危（</w:t>
      </w:r>
      <w:r>
        <w:rPr>
          <w:color w:val="000000" w:themeColor="text1"/>
          <w:kern w:val="0"/>
          <w:sz w:val="24"/>
          <w:szCs w:val="24"/>
          <w14:textFill>
            <w14:solidFill>
              <w14:schemeClr w14:val="tx1"/>
            </w14:solidFill>
          </w14:textFill>
        </w:rPr>
        <w:t>CR</w:t>
      </w:r>
      <w:r>
        <w:rPr>
          <w:rFonts w:hint="eastAsia"/>
          <w:color w:val="000000" w:themeColor="text1"/>
          <w:kern w:val="0"/>
          <w:sz w:val="24"/>
          <w:szCs w:val="24"/>
          <w14:textFill>
            <w14:solidFill>
              <w14:schemeClr w14:val="tx1"/>
            </w14:solidFill>
          </w14:textFill>
        </w:rPr>
        <w:t>）的受威胁物种有青头潜鸭</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种、列入濒危（</w:t>
      </w:r>
      <w:r>
        <w:rPr>
          <w:color w:val="000000" w:themeColor="text1"/>
          <w:kern w:val="0"/>
          <w:sz w:val="24"/>
          <w:szCs w:val="24"/>
          <w14:textFill>
            <w14:solidFill>
              <w14:schemeClr w14:val="tx1"/>
            </w14:solidFill>
          </w14:textFill>
        </w:rPr>
        <w:t>EN</w:t>
      </w:r>
      <w:r>
        <w:rPr>
          <w:rFonts w:hint="eastAsia"/>
          <w:color w:val="000000" w:themeColor="text1"/>
          <w:kern w:val="0"/>
          <w:sz w:val="24"/>
          <w:szCs w:val="24"/>
          <w14:textFill>
            <w14:solidFill>
              <w14:schemeClr w14:val="tx1"/>
            </w14:solidFill>
          </w14:textFill>
        </w:rPr>
        <w:t>）的受威胁物种有棉凫</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种、列入易危（</w:t>
      </w:r>
      <w:r>
        <w:rPr>
          <w:color w:val="000000" w:themeColor="text1"/>
          <w:kern w:val="0"/>
          <w:sz w:val="24"/>
          <w:szCs w:val="24"/>
          <w14:textFill>
            <w14:solidFill>
              <w14:schemeClr w14:val="tx1"/>
            </w14:solidFill>
          </w14:textFill>
        </w:rPr>
        <w:t>VU</w:t>
      </w:r>
      <w:r>
        <w:rPr>
          <w:rFonts w:hint="eastAsia"/>
          <w:color w:val="000000" w:themeColor="text1"/>
          <w:kern w:val="0"/>
          <w:sz w:val="24"/>
          <w:szCs w:val="24"/>
          <w14:textFill>
            <w14:solidFill>
              <w14:schemeClr w14:val="tx1"/>
            </w14:solidFill>
          </w14:textFill>
        </w:rPr>
        <w:t>）的受威胁物种有棘腹蛙、王锦蛇和乌梢蛇</w:t>
      </w:r>
      <w:r>
        <w:rPr>
          <w:color w:val="000000" w:themeColor="text1"/>
          <w:kern w:val="0"/>
          <w:sz w:val="24"/>
          <w:szCs w:val="24"/>
          <w14:textFill>
            <w14:solidFill>
              <w14:schemeClr w14:val="tx1"/>
            </w14:solidFill>
          </w14:textFill>
        </w:rPr>
        <w:t>3</w:t>
      </w:r>
      <w:r>
        <w:rPr>
          <w:rFonts w:hint="eastAsia"/>
          <w:color w:val="000000" w:themeColor="text1"/>
          <w:kern w:val="0"/>
          <w:sz w:val="24"/>
          <w:szCs w:val="24"/>
          <w14:textFill>
            <w14:solidFill>
              <w14:schemeClr w14:val="tx1"/>
            </w14:solidFill>
          </w14:textFill>
        </w:rPr>
        <w:t>种、列入近危（</w:t>
      </w:r>
      <w:r>
        <w:rPr>
          <w:color w:val="000000" w:themeColor="text1"/>
          <w:kern w:val="0"/>
          <w:sz w:val="24"/>
          <w:szCs w:val="24"/>
          <w14:textFill>
            <w14:solidFill>
              <w14:schemeClr w14:val="tx1"/>
            </w14:solidFill>
          </w14:textFill>
        </w:rPr>
        <w:t>NT</w:t>
      </w:r>
      <w:r>
        <w:rPr>
          <w:rFonts w:hint="eastAsia"/>
          <w:color w:val="000000" w:themeColor="text1"/>
          <w:kern w:val="0"/>
          <w:sz w:val="24"/>
          <w:szCs w:val="24"/>
          <w14:textFill>
            <w14:solidFill>
              <w14:schemeClr w14:val="tx1"/>
            </w14:solidFill>
          </w14:textFill>
        </w:rPr>
        <w:t>）的受威胁物种有凤头鹰、松雀鹰</w:t>
      </w:r>
      <w:r>
        <w:rPr>
          <w:color w:val="000000" w:themeColor="text1"/>
          <w:kern w:val="0"/>
          <w:sz w:val="24"/>
          <w:szCs w:val="24"/>
          <w14:textFill>
            <w14:solidFill>
              <w14:schemeClr w14:val="tx1"/>
            </w14:solidFill>
          </w14:textFill>
        </w:rPr>
        <w:tab/>
      </w:r>
      <w:r>
        <w:rPr>
          <w:rFonts w:hint="eastAsia"/>
          <w:color w:val="000000" w:themeColor="text1"/>
          <w:kern w:val="0"/>
          <w:sz w:val="24"/>
          <w:szCs w:val="24"/>
          <w14:textFill>
            <w14:solidFill>
              <w14:schemeClr w14:val="tx1"/>
            </w14:solidFill>
          </w14:textFill>
        </w:rPr>
        <w:t>、白尾鹞</w:t>
      </w:r>
      <w:r>
        <w:rPr>
          <w:color w:val="000000" w:themeColor="text1"/>
          <w:kern w:val="0"/>
          <w:sz w:val="24"/>
          <w:szCs w:val="24"/>
          <w14:textFill>
            <w14:solidFill>
              <w14:schemeClr w14:val="tx1"/>
            </w14:solidFill>
          </w14:textFill>
        </w:rPr>
        <w:tab/>
      </w:r>
      <w:r>
        <w:rPr>
          <w:rFonts w:hint="eastAsia"/>
          <w:color w:val="000000" w:themeColor="text1"/>
          <w:kern w:val="0"/>
          <w:sz w:val="24"/>
          <w:szCs w:val="24"/>
          <w14:textFill>
            <w14:solidFill>
              <w14:schemeClr w14:val="tx1"/>
            </w14:solidFill>
          </w14:textFill>
        </w:rPr>
        <w:t>、鸳鸯</w:t>
      </w:r>
      <w:r>
        <w:rPr>
          <w:color w:val="000000" w:themeColor="text1"/>
          <w:kern w:val="0"/>
          <w:sz w:val="24"/>
          <w:szCs w:val="24"/>
          <w14:textFill>
            <w14:solidFill>
              <w14:schemeClr w14:val="tx1"/>
            </w14:solidFill>
          </w14:textFill>
        </w:rPr>
        <w:tab/>
      </w:r>
      <w:r>
        <w:rPr>
          <w:rFonts w:hint="eastAsia"/>
          <w:color w:val="000000" w:themeColor="text1"/>
          <w:kern w:val="0"/>
          <w:sz w:val="24"/>
          <w:szCs w:val="24"/>
          <w14:textFill>
            <w14:solidFill>
              <w14:schemeClr w14:val="tx1"/>
            </w14:solidFill>
          </w14:textFill>
        </w:rPr>
        <w:t>、白眼潜鸭、罗纹鸭、斑头秋沙鸭</w:t>
      </w:r>
      <w:r>
        <w:rPr>
          <w:color w:val="000000" w:themeColor="text1"/>
          <w:kern w:val="0"/>
          <w:sz w:val="24"/>
          <w:szCs w:val="24"/>
          <w14:textFill>
            <w14:solidFill>
              <w14:schemeClr w14:val="tx1"/>
            </w14:solidFill>
          </w14:textFill>
        </w:rPr>
        <w:tab/>
      </w:r>
      <w:r>
        <w:rPr>
          <w:rFonts w:hint="eastAsia"/>
          <w:color w:val="000000" w:themeColor="text1"/>
          <w:kern w:val="0"/>
          <w:sz w:val="24"/>
          <w:szCs w:val="24"/>
          <w14:textFill>
            <w14:solidFill>
              <w14:schemeClr w14:val="tx1"/>
            </w14:solidFill>
          </w14:textFill>
        </w:rPr>
        <w:t>、黑头蜡嘴雀、黑颈䴙䴘</w:t>
      </w:r>
      <w:r>
        <w:rPr>
          <w:color w:val="000000" w:themeColor="text1"/>
          <w:kern w:val="0"/>
          <w:sz w:val="24"/>
          <w:szCs w:val="24"/>
          <w14:textFill>
            <w14:solidFill>
              <w14:schemeClr w14:val="tx1"/>
            </w14:solidFill>
          </w14:textFill>
        </w:rPr>
        <w:tab/>
      </w:r>
      <w:r>
        <w:rPr>
          <w:rFonts w:hint="eastAsia"/>
          <w:color w:val="000000" w:themeColor="text1"/>
          <w:kern w:val="0"/>
          <w:sz w:val="24"/>
          <w:szCs w:val="24"/>
          <w14:textFill>
            <w14:solidFill>
              <w14:schemeClr w14:val="tx1"/>
            </w14:solidFill>
          </w14:textFill>
        </w:rPr>
        <w:t>、角䴙䴘、黑斑侧褶蛙、沼蛙、乌华游蛇和玉斑锦蛇共计</w:t>
      </w:r>
      <w:r>
        <w:rPr>
          <w:color w:val="000000" w:themeColor="text1"/>
          <w:kern w:val="0"/>
          <w:sz w:val="24"/>
          <w:szCs w:val="24"/>
          <w14:textFill>
            <w14:solidFill>
              <w14:schemeClr w14:val="tx1"/>
            </w14:solidFill>
          </w14:textFill>
        </w:rPr>
        <w:t>14</w:t>
      </w:r>
      <w:r>
        <w:rPr>
          <w:rFonts w:hint="eastAsia"/>
          <w:color w:val="000000" w:themeColor="text1"/>
          <w:kern w:val="0"/>
          <w:sz w:val="24"/>
          <w:szCs w:val="24"/>
          <w14:textFill>
            <w14:solidFill>
              <w14:schemeClr w14:val="tx1"/>
            </w14:solidFill>
          </w14:textFill>
        </w:rPr>
        <w:t>种。</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评价区鱼类的种类和数量较少，约有鱼类5目9科17种。这些鱼类以鲤形目鱼类在种类和数量上占绝对优势，共有10种。评价区野生鱼类中有中国特有种鱼类1种，为钝吻棒花鱼。</w:t>
      </w:r>
    </w:p>
    <w:p>
      <w:pPr>
        <w:autoSpaceDE/>
        <w:autoSpaceDN/>
        <w:spacing w:line="360" w:lineRule="auto"/>
        <w:ind w:firstLine="480" w:firstLineChars="200"/>
        <w:jc w:val="both"/>
        <w:rPr>
          <w:rFonts w:hint="eastAsia" w:ascii="Times New Roman" w:hAnsi="Times New Roman" w:eastAsia="宋体" w:cs="Times New Roman"/>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评价区水系中浮游藻类种类及数量均较为丰富，调查到的浮游藻类涵盖了7门31科48属81种藻类。其中硅藻门最多，有8科15属30种，占总数的37.04%，绿藻门14科19属28种，占总数的34.57%。本项目调查到的底栖大型无脊椎动物有4门7纲12目15种，主要以腹足纲和昆虫纲生物为主，优势</w:t>
      </w:r>
      <w:r>
        <w:rPr>
          <w:rFonts w:hint="eastAsia" w:ascii="Times New Roman" w:hAnsi="Times New Roman" w:eastAsia="宋体" w:cs="Times New Roman"/>
          <w:color w:val="000000" w:themeColor="text1"/>
          <w:kern w:val="0"/>
          <w:sz w:val="24"/>
          <w:szCs w:val="24"/>
          <w14:textFill>
            <w14:solidFill>
              <w14:schemeClr w14:val="tx1"/>
            </w14:solidFill>
          </w14:textFill>
        </w:rPr>
        <w:t>种主要为昆虫纲的蜉蝣目、毛翅目等对水质的敏感程度较高的生物为主，该类生物更偏好清洁水体的生存环境，可表明评价区内水质状况良好，水生生态环境质量较高。</w:t>
      </w:r>
    </w:p>
    <w:p>
      <w:pPr>
        <w:autoSpaceDE/>
        <w:autoSpaceDN/>
        <w:spacing w:line="360" w:lineRule="auto"/>
        <w:ind w:firstLine="480" w:firstLineChars="200"/>
        <w:jc w:val="both"/>
        <w:rPr>
          <w:color w:val="000000" w:themeColor="text1"/>
          <w:kern w:val="0"/>
          <w:sz w:val="24"/>
          <w:szCs w:val="24"/>
          <w14:textFill>
            <w14:solidFill>
              <w14:schemeClr w14:val="tx1"/>
            </w14:solidFill>
          </w14:textFill>
        </w:rPr>
      </w:pPr>
      <w:r>
        <w:rPr>
          <w:rFonts w:hint="eastAsia" w:ascii="Times New Roman" w:hAnsi="Times New Roman" w:eastAsia="宋体" w:cs="Times New Roman"/>
          <w:color w:val="000000" w:themeColor="text1"/>
          <w:kern w:val="0"/>
          <w:sz w:val="24"/>
          <w:szCs w:val="24"/>
          <w14:textFill>
            <w14:solidFill>
              <w14:schemeClr w14:val="tx1"/>
            </w14:solidFill>
          </w14:textFill>
        </w:rPr>
        <w:t>本项目不涉及世界自然遗产，不涉及重要物种的天然集中分布区、栖息地，重要水生生物的产卵场、索饵场、越冬场和洄游通道，迁徙鸟类的重要繁殖地、越冬地等，亦不涉及其他需要保护的物种、种群、生物群落及生态空间等。</w:t>
      </w:r>
    </w:p>
    <w:p>
      <w:pPr>
        <w:pStyle w:val="3"/>
        <w:spacing w:line="360" w:lineRule="auto"/>
        <w:ind w:left="0" w:firstLine="640"/>
        <w:rPr>
          <w:rFonts w:eastAsia="黑体"/>
          <w:color w:val="000000" w:themeColor="text1"/>
          <w14:textFill>
            <w14:solidFill>
              <w14:schemeClr w14:val="tx1"/>
            </w14:solidFill>
          </w14:textFill>
        </w:rPr>
      </w:pPr>
      <w:bookmarkStart w:id="814" w:name="_Toc9118"/>
      <w:bookmarkStart w:id="815" w:name="_Toc12540"/>
      <w:bookmarkStart w:id="816" w:name="_Toc11402"/>
      <w:bookmarkStart w:id="817" w:name="_Toc70496368"/>
      <w:bookmarkStart w:id="818" w:name="_Toc2674"/>
      <w:bookmarkStart w:id="819" w:name="_Toc10794"/>
      <w:r>
        <w:rPr>
          <w:rFonts w:eastAsia="黑体"/>
          <w:color w:val="000000" w:themeColor="text1"/>
          <w14:textFill>
            <w14:solidFill>
              <w14:schemeClr w14:val="tx1"/>
            </w14:solidFill>
          </w14:textFill>
        </w:rPr>
        <w:t>8.4环境影响分析结论</w:t>
      </w:r>
      <w:bookmarkEnd w:id="814"/>
      <w:bookmarkEnd w:id="815"/>
      <w:bookmarkEnd w:id="816"/>
      <w:bookmarkEnd w:id="817"/>
      <w:bookmarkEnd w:id="818"/>
      <w:bookmarkEnd w:id="819"/>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20" w:name="10.5.1大气环境影响分析结论"/>
      <w:bookmarkEnd w:id="820"/>
      <w:bookmarkStart w:id="821" w:name="_bookmark178"/>
      <w:bookmarkEnd w:id="821"/>
      <w:bookmarkStart w:id="822" w:name="_Toc2000"/>
      <w:bookmarkStart w:id="823" w:name="_Toc2217"/>
      <w:bookmarkStart w:id="824" w:name="_Toc20320"/>
      <w:bookmarkStart w:id="825" w:name="_Toc70496369"/>
      <w:bookmarkStart w:id="826" w:name="_Toc15142"/>
      <w:bookmarkStart w:id="827" w:name="_Toc25673"/>
      <w:r>
        <w:rPr>
          <w:rFonts w:ascii="Times New Roman" w:hAnsi="Times New Roman" w:cs="Times New Roman"/>
          <w:color w:val="000000" w:themeColor="text1"/>
          <w14:textFill>
            <w14:solidFill>
              <w14:schemeClr w14:val="tx1"/>
            </w14:solidFill>
          </w14:textFill>
        </w:rPr>
        <w:t>8.4.1大气环境影响分析结论</w:t>
      </w:r>
      <w:bookmarkEnd w:id="822"/>
      <w:bookmarkEnd w:id="823"/>
      <w:bookmarkEnd w:id="824"/>
      <w:bookmarkEnd w:id="825"/>
      <w:bookmarkEnd w:id="826"/>
      <w:bookmarkEnd w:id="827"/>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bookmarkStart w:id="828" w:name="10.5.2水环境影响分析结论"/>
      <w:bookmarkEnd w:id="828"/>
      <w:bookmarkStart w:id="829" w:name="_bookmark179"/>
      <w:bookmarkEnd w:id="829"/>
      <w:r>
        <w:rPr>
          <w:rFonts w:ascii="Times New Roman" w:cs="Times New Roman"/>
          <w:color w:val="000000" w:themeColor="text1"/>
          <w14:textFill>
            <w14:solidFill>
              <w14:schemeClr w14:val="tx1"/>
            </w14:solidFill>
          </w14:textFill>
        </w:rPr>
        <w:t>施工期主要的大气污染物是扬尘、运输车辆汽车尾气。施工扬尘的影响范围大致为其下风各150m左右，建议在环境保护目标周边工程施工时采取围挡、洒水抑尘等措施减少扬尘环境影响；项目施工需要动用一定数量的施工车辆和运输车辆，但数量较少，因而尾气排放量有限，汽车尾气对环境的影响是短暂而有限的。由于</w:t>
      </w:r>
      <w:r>
        <w:rPr>
          <w:rFonts w:hint="eastAsia" w:ascii="Times New Roman" w:cs="Times New Roman"/>
          <w:color w:val="000000" w:themeColor="text1"/>
          <w14:textFill>
            <w14:solidFill>
              <w14:schemeClr w14:val="tx1"/>
            </w14:solidFill>
          </w14:textFill>
        </w:rPr>
        <w:t>各渠道</w:t>
      </w:r>
      <w:r>
        <w:rPr>
          <w:rFonts w:ascii="Times New Roman" w:cs="Times New Roman"/>
          <w:color w:val="000000" w:themeColor="text1"/>
          <w14:textFill>
            <w14:solidFill>
              <w14:schemeClr w14:val="tx1"/>
            </w14:solidFill>
          </w14:textFill>
        </w:rPr>
        <w:t>分段施工，每段清淤施工时间相对较短，辅之以除臭措施，对环境影响较小，而随着河道清淤工程的结束，恶臭气味将会逐渐消失，因此本项目清淤过程产生的恶臭对周边敏感目标的影响是短暂而有限的，经过及时清理后，恶臭对环境影响较小。</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采取上述措施后，可以将工程施工期对周围环境空气的影响减至最小程度。</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30" w:name="_Toc70496370"/>
      <w:bookmarkStart w:id="831" w:name="_Toc30071"/>
      <w:bookmarkStart w:id="832" w:name="_Toc1201"/>
      <w:bookmarkStart w:id="833" w:name="_Toc14119"/>
      <w:bookmarkStart w:id="834" w:name="_Toc19386"/>
      <w:bookmarkStart w:id="835" w:name="_Toc1732"/>
      <w:r>
        <w:rPr>
          <w:rFonts w:ascii="Times New Roman" w:hAnsi="Times New Roman" w:cs="Times New Roman"/>
          <w:color w:val="000000" w:themeColor="text1"/>
          <w14:textFill>
            <w14:solidFill>
              <w14:schemeClr w14:val="tx1"/>
            </w14:solidFill>
          </w14:textFill>
        </w:rPr>
        <w:t>8.4.2水环境影响分析结论</w:t>
      </w:r>
      <w:bookmarkEnd w:id="830"/>
      <w:bookmarkEnd w:id="831"/>
      <w:bookmarkEnd w:id="832"/>
      <w:bookmarkEnd w:id="833"/>
      <w:bookmarkEnd w:id="834"/>
      <w:bookmarkEnd w:id="835"/>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kern w:val="10"/>
          <w14:textFill>
            <w14:solidFill>
              <w14:schemeClr w14:val="tx1"/>
            </w14:solidFill>
          </w14:textFill>
        </w:rPr>
        <w:t>本项目施工期不设置施工营地，施工人员租用项目周边民房，产生的生活废水依托民房内现有措施处置后，排入市政</w:t>
      </w:r>
      <w:r>
        <w:rPr>
          <w:rFonts w:hint="eastAsia" w:ascii="Times New Roman" w:cs="Times New Roman"/>
          <w:color w:val="000000" w:themeColor="text1"/>
          <w:kern w:val="10"/>
          <w14:textFill>
            <w14:solidFill>
              <w14:schemeClr w14:val="tx1"/>
            </w14:solidFill>
          </w14:textFill>
        </w:rPr>
        <w:t>污水</w:t>
      </w:r>
      <w:r>
        <w:rPr>
          <w:rFonts w:ascii="Times New Roman" w:cs="Times New Roman"/>
          <w:color w:val="000000" w:themeColor="text1"/>
          <w:kern w:val="10"/>
          <w14:textFill>
            <w14:solidFill>
              <w14:schemeClr w14:val="tx1"/>
            </w14:solidFill>
          </w14:textFill>
        </w:rPr>
        <w:t>管网，进入</w:t>
      </w:r>
      <w:r>
        <w:rPr>
          <w:rFonts w:hint="eastAsia" w:ascii="Times New Roman" w:cs="Times New Roman"/>
          <w:color w:val="000000" w:themeColor="text1"/>
          <w:kern w:val="10"/>
          <w14:textFill>
            <w14:solidFill>
              <w14:schemeClr w14:val="tx1"/>
            </w14:solidFill>
          </w14:textFill>
        </w:rPr>
        <w:t>城市</w:t>
      </w:r>
      <w:r>
        <w:rPr>
          <w:rFonts w:ascii="Times New Roman" w:cs="Times New Roman"/>
          <w:color w:val="000000" w:themeColor="text1"/>
          <w:kern w:val="10"/>
          <w14:textFill>
            <w14:solidFill>
              <w14:schemeClr w14:val="tx1"/>
            </w14:solidFill>
          </w14:textFill>
        </w:rPr>
        <w:t>污水处理厂进行处理</w:t>
      </w:r>
      <w:r>
        <w:rPr>
          <w:rFonts w:hint="eastAsia" w:ascii="Times New Roman" w:cs="Times New Roman"/>
          <w:color w:val="000000" w:themeColor="text1"/>
          <w:kern w:val="10"/>
          <w14:textFill>
            <w14:solidFill>
              <w14:schemeClr w14:val="tx1"/>
            </w14:solidFill>
          </w14:textFill>
        </w:rPr>
        <w:t>后外排</w:t>
      </w:r>
      <w:r>
        <w:rPr>
          <w:rFonts w:ascii="Times New Roman" w:cs="Times New Roman"/>
          <w:color w:val="000000" w:themeColor="text1"/>
          <w14:textFill>
            <w14:solidFill>
              <w14:schemeClr w14:val="tx1"/>
            </w14:solidFill>
          </w14:textFill>
        </w:rPr>
        <w:t>；项目施工废水主要</w:t>
      </w:r>
      <w:r>
        <w:rPr>
          <w:rFonts w:hint="eastAsia" w:ascii="Times New Roman" w:cs="Times New Roman"/>
          <w:color w:val="000000" w:themeColor="text1"/>
          <w14:textFill>
            <w14:solidFill>
              <w14:schemeClr w14:val="tx1"/>
            </w14:solidFill>
          </w14:textFill>
        </w:rPr>
        <w:t>为施工机械、运输</w:t>
      </w:r>
      <w:r>
        <w:rPr>
          <w:rFonts w:ascii="Times New Roman" w:cs="Times New Roman"/>
          <w:color w:val="000000" w:themeColor="text1"/>
          <w14:textFill>
            <w14:solidFill>
              <w14:schemeClr w14:val="tx1"/>
            </w14:solidFill>
          </w14:textFill>
        </w:rPr>
        <w:t>车辆冲洗废水，产生量极少，施工废水设</w:t>
      </w:r>
      <w:r>
        <w:rPr>
          <w:rFonts w:hint="eastAsia" w:ascii="Times New Roman" w:cs="Times New Roman"/>
          <w:color w:val="000000" w:themeColor="text1"/>
          <w14:textFill>
            <w14:solidFill>
              <w14:schemeClr w14:val="tx1"/>
            </w14:solidFill>
          </w14:textFill>
        </w:rPr>
        <w:t>沉淀池</w:t>
      </w:r>
      <w:r>
        <w:rPr>
          <w:rFonts w:ascii="Times New Roman" w:cs="Times New Roman"/>
          <w:color w:val="000000" w:themeColor="text1"/>
          <w14:textFill>
            <w14:solidFill>
              <w14:schemeClr w14:val="tx1"/>
            </w14:solidFill>
          </w14:textFill>
        </w:rPr>
        <w:t>沉淀处理后可用作运输车辆进出工地的冲洗用水和施工场地洒水防尘用水；</w:t>
      </w:r>
      <w:r>
        <w:rPr>
          <w:rFonts w:hint="eastAsia" w:ascii="Times New Roman" w:cs="Times New Roman"/>
          <w:color w:val="000000" w:themeColor="text1"/>
          <w14:textFill>
            <w14:solidFill>
              <w14:schemeClr w14:val="tx1"/>
            </w14:solidFill>
          </w14:textFill>
        </w:rPr>
        <w:t>围堰导流产生的基坑废水经临时沉淀池沉淀处理后，用于洒水降尘，不外排；临时堆土场产生的淋沥水经导流沟收集至沉淀池沉淀处理后用于洒水降尘，不外排。</w:t>
      </w:r>
      <w:r>
        <w:rPr>
          <w:rFonts w:ascii="Times New Roman" w:cs="Times New Roman"/>
          <w:color w:val="000000" w:themeColor="text1"/>
          <w:kern w:val="10"/>
          <w14:textFill>
            <w14:solidFill>
              <w14:schemeClr w14:val="tx1"/>
            </w14:solidFill>
          </w14:textFill>
        </w:rPr>
        <w:t>项目</w:t>
      </w:r>
      <w:r>
        <w:rPr>
          <w:rFonts w:ascii="Times New Roman" w:cs="Times New Roman"/>
          <w:color w:val="000000" w:themeColor="text1"/>
          <w14:textFill>
            <w14:solidFill>
              <w14:schemeClr w14:val="tx1"/>
            </w14:solidFill>
          </w14:textFill>
        </w:rPr>
        <w:t>严格执行上述环保措施、加强施工期的环境管理下，本项目施工期间产生的污水对水环境的影响不大。</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36" w:name="_bookmark180"/>
      <w:bookmarkEnd w:id="836"/>
      <w:bookmarkStart w:id="837" w:name="10.5.3声环境影响分析结论"/>
      <w:bookmarkEnd w:id="837"/>
      <w:bookmarkStart w:id="838" w:name="_Toc70496371"/>
      <w:bookmarkStart w:id="839" w:name="_Toc14172"/>
      <w:bookmarkStart w:id="840" w:name="_Toc9904"/>
      <w:bookmarkStart w:id="841" w:name="_Toc12475"/>
      <w:bookmarkStart w:id="842" w:name="_Toc14790"/>
      <w:bookmarkStart w:id="843" w:name="_Toc31952"/>
      <w:r>
        <w:rPr>
          <w:rFonts w:ascii="Times New Roman" w:hAnsi="Times New Roman" w:cs="Times New Roman"/>
          <w:color w:val="000000" w:themeColor="text1"/>
          <w14:textFill>
            <w14:solidFill>
              <w14:schemeClr w14:val="tx1"/>
            </w14:solidFill>
          </w14:textFill>
        </w:rPr>
        <w:t>8.4.3声环境影响分析结论</w:t>
      </w:r>
      <w:bookmarkEnd w:id="838"/>
      <w:bookmarkEnd w:id="839"/>
      <w:bookmarkEnd w:id="840"/>
      <w:bookmarkEnd w:id="841"/>
      <w:bookmarkEnd w:id="842"/>
      <w:bookmarkEnd w:id="843"/>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bookmarkStart w:id="844" w:name="10.5.4固废影响分析结论"/>
      <w:bookmarkEnd w:id="844"/>
      <w:bookmarkStart w:id="845" w:name="_bookmark181"/>
      <w:bookmarkEnd w:id="845"/>
      <w:r>
        <w:rPr>
          <w:color w:val="000000" w:themeColor="text1"/>
          <w:sz w:val="24"/>
          <w:szCs w:val="24"/>
          <w14:textFill>
            <w14:solidFill>
              <w14:schemeClr w14:val="tx1"/>
            </w14:solidFill>
          </w14:textFill>
        </w:rPr>
        <w:t>施工区域主要敏感点为周边居民区，要求采用消声减振、隔声屏等措施，同时尽可能缩短施工噪声的污染时间，尽量避免夜间施工，必要时对施工点附近居民进行一定的补偿。在此基础上，本项目施工期噪声对周围敏感点影响在可以接受范围内。</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46" w:name="_Toc70496372"/>
      <w:bookmarkStart w:id="847" w:name="_Toc10909"/>
      <w:bookmarkStart w:id="848" w:name="_Toc30652"/>
      <w:bookmarkStart w:id="849" w:name="_Toc4809"/>
      <w:bookmarkStart w:id="850" w:name="_Toc8786"/>
      <w:bookmarkStart w:id="851" w:name="_Toc9350"/>
      <w:r>
        <w:rPr>
          <w:rFonts w:ascii="Times New Roman" w:hAnsi="Times New Roman" w:cs="Times New Roman"/>
          <w:color w:val="000000" w:themeColor="text1"/>
          <w14:textFill>
            <w14:solidFill>
              <w14:schemeClr w14:val="tx1"/>
            </w14:solidFill>
          </w14:textFill>
        </w:rPr>
        <w:t>8.4.4固废影响分析结论</w:t>
      </w:r>
      <w:bookmarkEnd w:id="846"/>
      <w:bookmarkEnd w:id="847"/>
      <w:bookmarkEnd w:id="848"/>
      <w:bookmarkEnd w:id="849"/>
      <w:bookmarkEnd w:id="850"/>
      <w:bookmarkEnd w:id="851"/>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项目施工期产生的生活垃圾交由环卫部门统一处置，</w:t>
      </w:r>
      <w:r>
        <w:rPr>
          <w:rFonts w:hint="eastAsia"/>
          <w:color w:val="000000" w:themeColor="text1"/>
          <w:sz w:val="24"/>
          <w:szCs w:val="24"/>
          <w14:textFill>
            <w14:solidFill>
              <w14:schemeClr w14:val="tx1"/>
            </w14:solidFill>
          </w14:textFill>
        </w:rPr>
        <w:t>建筑垃圾能利用的回收利用，不能利用的运至政府指定弃土场。开挖弃方用作</w:t>
      </w:r>
      <w:r>
        <w:rPr>
          <w:rFonts w:hint="eastAsia"/>
          <w:color w:val="000000" w:themeColor="text1"/>
          <w:sz w:val="24"/>
          <w:lang w:val="zh-CN"/>
          <w14:textFill>
            <w14:solidFill>
              <w14:schemeClr w14:val="tx1"/>
            </w14:solidFill>
          </w14:textFill>
        </w:rPr>
        <w:t>成都市环城生态区农田综合整治及农业灌区设施建设项目农</w:t>
      </w:r>
      <w:r>
        <w:rPr>
          <w:rFonts w:hint="eastAsia"/>
          <w:color w:val="000000" w:themeColor="text1"/>
          <w:sz w:val="24"/>
          <w:lang w:val="en-US" w:eastAsia="zh-CN"/>
          <w14:textFill>
            <w14:solidFill>
              <w14:schemeClr w14:val="tx1"/>
            </w14:solidFill>
          </w14:textFill>
        </w:rPr>
        <w:t>综合利用</w:t>
      </w:r>
      <w:r>
        <w:rPr>
          <w:rFonts w:hint="eastAsia"/>
          <w:color w:val="000000" w:themeColor="text1"/>
          <w:sz w:val="24"/>
          <w:lang w:val="zh-CN"/>
          <w14:textFill>
            <w14:solidFill>
              <w14:schemeClr w14:val="tx1"/>
            </w14:solidFill>
          </w14:textFill>
        </w:rPr>
        <w:t>，或者运至</w:t>
      </w:r>
      <w:r>
        <w:rPr>
          <w:rFonts w:hint="eastAsia"/>
          <w:color w:val="000000" w:themeColor="text1"/>
          <w:sz w:val="24"/>
          <w:lang w:val="en-US" w:eastAsia="zh-CN"/>
          <w14:textFill>
            <w14:solidFill>
              <w14:schemeClr w14:val="tx1"/>
            </w14:solidFill>
          </w14:textFill>
        </w:rPr>
        <w:t>余土摊平处理区回填</w:t>
      </w:r>
      <w:r>
        <w:rPr>
          <w:rFonts w:hint="eastAsia"/>
          <w:color w:val="000000" w:themeColor="text1"/>
          <w:sz w:val="24"/>
          <w:lang w:val="zh-CN"/>
          <w14:textFill>
            <w14:solidFill>
              <w14:schemeClr w14:val="tx1"/>
            </w14:solidFill>
          </w14:textFill>
        </w:rPr>
        <w:t>利用</w:t>
      </w:r>
      <w:r>
        <w:rPr>
          <w:color w:val="000000" w:themeColor="text1"/>
          <w:sz w:val="24"/>
          <w:szCs w:val="24"/>
          <w14:textFill>
            <w14:solidFill>
              <w14:schemeClr w14:val="tx1"/>
            </w14:solidFill>
          </w14:textFill>
        </w:rPr>
        <w:t>。在</w:t>
      </w:r>
      <w:r>
        <w:rPr>
          <w:rFonts w:hint="eastAsia"/>
          <w:color w:val="000000" w:themeColor="text1"/>
          <w:sz w:val="24"/>
          <w:szCs w:val="24"/>
          <w14:textFill>
            <w14:solidFill>
              <w14:schemeClr w14:val="tx1"/>
            </w14:solidFill>
          </w14:textFill>
        </w:rPr>
        <w:t>弃方</w:t>
      </w:r>
      <w:r>
        <w:rPr>
          <w:color w:val="000000" w:themeColor="text1"/>
          <w:sz w:val="24"/>
          <w:szCs w:val="24"/>
          <w14:textFill>
            <w14:solidFill>
              <w14:schemeClr w14:val="tx1"/>
            </w14:solidFill>
          </w14:textFill>
        </w:rPr>
        <w:t>运输过程中应加强运输车辆的覆盖，防止</w:t>
      </w:r>
      <w:r>
        <w:rPr>
          <w:rFonts w:hint="eastAsia"/>
          <w:color w:val="000000" w:themeColor="text1"/>
          <w:sz w:val="24"/>
          <w:szCs w:val="24"/>
          <w14:textFill>
            <w14:solidFill>
              <w14:schemeClr w14:val="tx1"/>
            </w14:solidFill>
          </w14:textFill>
        </w:rPr>
        <w:t>弃方</w:t>
      </w:r>
      <w:r>
        <w:rPr>
          <w:color w:val="000000" w:themeColor="text1"/>
          <w:sz w:val="24"/>
          <w:szCs w:val="24"/>
          <w14:textFill>
            <w14:solidFill>
              <w14:schemeClr w14:val="tx1"/>
            </w14:solidFill>
          </w14:textFill>
        </w:rPr>
        <w:t>洒落，同时做好施工道路的洒水降尘工作。对周边环境影响较小。</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52" w:name="10.5.5生态影响分析结论"/>
      <w:bookmarkEnd w:id="852"/>
      <w:bookmarkStart w:id="853" w:name="_bookmark182"/>
      <w:bookmarkEnd w:id="853"/>
      <w:bookmarkStart w:id="854" w:name="_Toc2630"/>
      <w:bookmarkStart w:id="855" w:name="_Toc6197"/>
      <w:bookmarkStart w:id="856" w:name="_Toc10776"/>
      <w:bookmarkStart w:id="857" w:name="_Toc70496373"/>
      <w:bookmarkStart w:id="858" w:name="_Toc16945"/>
      <w:bookmarkStart w:id="859" w:name="_Toc23923"/>
      <w:r>
        <w:rPr>
          <w:rFonts w:ascii="Times New Roman" w:hAnsi="Times New Roman" w:cs="Times New Roman"/>
          <w:color w:val="000000" w:themeColor="text1"/>
          <w14:textFill>
            <w14:solidFill>
              <w14:schemeClr w14:val="tx1"/>
            </w14:solidFill>
          </w14:textFill>
        </w:rPr>
        <w:t>8.4.5生态影响分析结论</w:t>
      </w:r>
      <w:bookmarkEnd w:id="854"/>
      <w:bookmarkEnd w:id="855"/>
      <w:bookmarkEnd w:id="856"/>
      <w:bookmarkEnd w:id="857"/>
      <w:bookmarkEnd w:id="858"/>
      <w:bookmarkEnd w:id="859"/>
    </w:p>
    <w:p>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本项目永久占地</w:t>
      </w:r>
      <w:r>
        <w:rPr>
          <w:rFonts w:hint="eastAsia"/>
          <w:color w:val="000000" w:themeColor="text1"/>
          <w:sz w:val="24"/>
          <w:szCs w:val="24"/>
          <w:lang w:val="en-US" w:eastAsia="zh-CN"/>
          <w14:textFill>
            <w14:solidFill>
              <w14:schemeClr w14:val="tx1"/>
            </w14:solidFill>
          </w14:textFill>
        </w:rPr>
        <w:t>5.66</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；临时占地</w:t>
      </w:r>
      <w:r>
        <w:rPr>
          <w:rFonts w:hint="eastAsia"/>
          <w:color w:val="000000" w:themeColor="text1"/>
          <w:sz w:val="24"/>
          <w:szCs w:val="24"/>
          <w:lang w:val="en-US" w:eastAsia="zh-CN"/>
          <w14:textFill>
            <w14:solidFill>
              <w14:schemeClr w14:val="tx1"/>
            </w14:solidFill>
          </w14:textFill>
        </w:rPr>
        <w:t>3.25</w:t>
      </w:r>
      <w:r>
        <w:rPr>
          <w:rFonts w:hint="eastAsia"/>
          <w:color w:val="000000" w:themeColor="text1"/>
          <w:sz w:val="24"/>
          <w:szCs w:val="24"/>
          <w14:textFill>
            <w14:solidFill>
              <w14:schemeClr w14:val="tx1"/>
            </w14:solidFill>
          </w14:textFill>
        </w:rPr>
        <w:t>hm</w:t>
      </w:r>
      <w:r>
        <w:rPr>
          <w:rFonts w:hint="eastAsia"/>
          <w:color w:val="000000" w:themeColor="text1"/>
          <w:sz w:val="24"/>
          <w:szCs w:val="24"/>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，项目占地范围内面积最大的是</w:t>
      </w:r>
      <w:r>
        <w:rPr>
          <w:rFonts w:hint="eastAsia"/>
          <w:color w:val="000000" w:themeColor="text1"/>
          <w:sz w:val="24"/>
          <w:szCs w:val="24"/>
          <w:lang w:val="en-US" w:eastAsia="zh-CN"/>
          <w14:textFill>
            <w14:solidFill>
              <w14:schemeClr w14:val="tx1"/>
            </w14:solidFill>
          </w14:textFill>
        </w:rPr>
        <w:t>水利设施用地</w:t>
      </w:r>
      <w:r>
        <w:rPr>
          <w:rFonts w:hint="eastAsia"/>
          <w:color w:val="000000" w:themeColor="text1"/>
          <w:sz w:val="24"/>
          <w:szCs w:val="24"/>
          <w14:textFill>
            <w14:solidFill>
              <w14:schemeClr w14:val="tx1"/>
            </w14:solidFill>
          </w14:textFill>
        </w:rPr>
        <w:t>，所占比例为</w:t>
      </w:r>
      <w:r>
        <w:rPr>
          <w:rFonts w:hint="eastAsia"/>
          <w:color w:val="000000" w:themeColor="text1"/>
          <w:sz w:val="24"/>
          <w:szCs w:val="24"/>
          <w:lang w:val="en-US" w:eastAsia="zh-CN"/>
          <w14:textFill>
            <w14:solidFill>
              <w14:schemeClr w14:val="tx1"/>
            </w14:solidFill>
          </w14:textFill>
        </w:rPr>
        <w:t>58.14</w:t>
      </w:r>
      <w:r>
        <w:rPr>
          <w:rFonts w:hint="eastAsia"/>
          <w:color w:val="000000" w:themeColor="text1"/>
          <w:sz w:val="24"/>
          <w:szCs w:val="24"/>
          <w14:textFill>
            <w14:solidFill>
              <w14:schemeClr w14:val="tx1"/>
            </w14:solidFill>
          </w14:textFill>
        </w:rPr>
        <w:t>%，其次为</w:t>
      </w:r>
      <w:r>
        <w:rPr>
          <w:rFonts w:hint="eastAsia"/>
          <w:color w:val="000000" w:themeColor="text1"/>
          <w:sz w:val="24"/>
          <w:szCs w:val="24"/>
          <w:lang w:val="en-US" w:eastAsia="zh-CN"/>
          <w14:textFill>
            <w14:solidFill>
              <w14:schemeClr w14:val="tx1"/>
            </w14:solidFill>
          </w14:textFill>
        </w:rPr>
        <w:t>林地和耕地</w:t>
      </w:r>
      <w:r>
        <w:rPr>
          <w:rFonts w:hint="eastAsia"/>
          <w:color w:val="000000" w:themeColor="text1"/>
          <w:sz w:val="24"/>
          <w:szCs w:val="24"/>
          <w14:textFill>
            <w14:solidFill>
              <w14:schemeClr w14:val="tx1"/>
            </w14:solidFill>
          </w14:textFill>
        </w:rPr>
        <w:t>，所占比例为</w:t>
      </w:r>
      <w:r>
        <w:rPr>
          <w:rFonts w:hint="eastAsia"/>
          <w:color w:val="000000" w:themeColor="text1"/>
          <w:sz w:val="24"/>
          <w:szCs w:val="24"/>
          <w:lang w:val="en-US" w:eastAsia="zh-CN"/>
          <w14:textFill>
            <w14:solidFill>
              <w14:schemeClr w14:val="tx1"/>
            </w14:solidFill>
          </w14:textFill>
        </w:rPr>
        <w:t>31.99</w:t>
      </w:r>
      <w:r>
        <w:rPr>
          <w:rFonts w:hint="eastAsia"/>
          <w:color w:val="000000" w:themeColor="text1"/>
          <w:sz w:val="24"/>
          <w:szCs w:val="24"/>
          <w14:textFill>
            <w14:solidFill>
              <w14:schemeClr w14:val="tx1"/>
            </w14:solidFill>
          </w14:textFill>
        </w:rPr>
        <w:t>%。在施工期结束后对其进行绿化恢复，因此不会对评价区的生物量和生产力造成永久损失。</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受人为干扰、施工损伤和大气污染、水污染、噪声、灯光、振动等因素的影响，动物资源的分布格局、物种多样性和种群数量将会在一定程度上波动。因施工损伤、施工噪声、环境污染、人为活动等因素，将使两栖类、爬行类、兽类、鸟类等动物远离施工区，对其分布格局造成影响；施工损伤、人为活动和环境污染，将影响其生存和繁殖，致使个体数量有所减少。施工占地将破坏部分动物的栖息环境，使其周边分布的生物数量减少，但随着施工期结束和生态恢复措施的落实，评价区物种多样性指数不会因此降低。</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评价区包括了花果山风景名胜区，在施工期结束后，需及时对施工现场进行生态修复，在修复的同时，考虑到风景名胜区内的景观格局一致性，尽可能选择项目区域原有的园林绿化植物品种，保证景观格局的一致性。在生态修复复绿的过程中，注意辨识所选择的植被品种，不要引入潜在的入侵植物。</w:t>
      </w:r>
    </w:p>
    <w:p>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综上，本项目在选择合适的施工期、遵守各项施工期规章制度及落实了生态保护措施的前提下，对区域生态环境的干扰是有限的、可恢复的，其影响可接受。</w:t>
      </w:r>
    </w:p>
    <w:p>
      <w:pPr>
        <w:pStyle w:val="3"/>
        <w:spacing w:line="360" w:lineRule="auto"/>
        <w:ind w:left="0" w:firstLine="640"/>
        <w:rPr>
          <w:rFonts w:eastAsia="黑体"/>
          <w:color w:val="000000" w:themeColor="text1"/>
          <w14:textFill>
            <w14:solidFill>
              <w14:schemeClr w14:val="tx1"/>
            </w14:solidFill>
          </w14:textFill>
        </w:rPr>
      </w:pPr>
      <w:bookmarkStart w:id="860" w:name="_Toc70496374"/>
      <w:bookmarkStart w:id="861" w:name="_Toc26903"/>
      <w:r>
        <w:rPr>
          <w:rFonts w:eastAsia="黑体"/>
          <w:color w:val="000000" w:themeColor="text1"/>
          <w14:textFill>
            <w14:solidFill>
              <w14:schemeClr w14:val="tx1"/>
            </w14:solidFill>
          </w14:textFill>
        </w:rPr>
        <w:t>8.5环境保护措施</w:t>
      </w:r>
      <w:bookmarkEnd w:id="860"/>
      <w:bookmarkEnd w:id="861"/>
    </w:p>
    <w:p>
      <w:pPr>
        <w:pStyle w:val="76"/>
        <w:spacing w:line="360" w:lineRule="auto"/>
        <w:ind w:firstLine="482" w:firstLineChars="200"/>
        <w:jc w:val="both"/>
        <w:rPr>
          <w:rFonts w:ascii="Times New Roman" w:cs="Times New Roman"/>
          <w:b/>
          <w:color w:val="000000" w:themeColor="text1"/>
          <w14:textFill>
            <w14:solidFill>
              <w14:schemeClr w14:val="tx1"/>
            </w14:solidFill>
          </w14:textFill>
        </w:rPr>
      </w:pPr>
      <w:r>
        <w:rPr>
          <w:rFonts w:ascii="Times New Roman" w:cs="Times New Roman"/>
          <w:b/>
          <w:color w:val="000000" w:themeColor="text1"/>
          <w14:textFill>
            <w14:solidFill>
              <w14:schemeClr w14:val="tx1"/>
            </w14:solidFill>
          </w14:textFill>
        </w:rPr>
        <w:t>1、水污染防治措施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kern w:val="10"/>
          <w14:textFill>
            <w14:solidFill>
              <w14:schemeClr w14:val="tx1"/>
            </w14:solidFill>
          </w14:textFill>
        </w:rPr>
        <w:t>本项目施工期不设置施工营地，施工人员租用项目周边民房，产生的生活废水依托</w:t>
      </w:r>
      <w:r>
        <w:rPr>
          <w:rFonts w:hint="eastAsia" w:ascii="Times New Roman" w:cs="Times New Roman"/>
          <w:color w:val="000000" w:themeColor="text1"/>
          <w:kern w:val="10"/>
          <w14:textFill>
            <w14:solidFill>
              <w14:schemeClr w14:val="tx1"/>
            </w14:solidFill>
          </w14:textFill>
        </w:rPr>
        <w:t>居民区</w:t>
      </w:r>
      <w:r>
        <w:rPr>
          <w:rFonts w:ascii="Times New Roman" w:cs="Times New Roman"/>
          <w:color w:val="000000" w:themeColor="text1"/>
          <w:kern w:val="10"/>
          <w14:textFill>
            <w14:solidFill>
              <w14:schemeClr w14:val="tx1"/>
            </w14:solidFill>
          </w14:textFill>
        </w:rPr>
        <w:t>现有措施处置后，排入市政</w:t>
      </w:r>
      <w:r>
        <w:rPr>
          <w:rFonts w:hint="eastAsia" w:ascii="Times New Roman" w:cs="Times New Roman"/>
          <w:color w:val="000000" w:themeColor="text1"/>
          <w:kern w:val="10"/>
          <w14:textFill>
            <w14:solidFill>
              <w14:schemeClr w14:val="tx1"/>
            </w14:solidFill>
          </w14:textFill>
        </w:rPr>
        <w:t>污水</w:t>
      </w:r>
      <w:r>
        <w:rPr>
          <w:rFonts w:ascii="Times New Roman" w:cs="Times New Roman"/>
          <w:color w:val="000000" w:themeColor="text1"/>
          <w:kern w:val="10"/>
          <w14:textFill>
            <w14:solidFill>
              <w14:schemeClr w14:val="tx1"/>
            </w14:solidFill>
          </w14:textFill>
        </w:rPr>
        <w:t>管网，</w:t>
      </w:r>
      <w:r>
        <w:rPr>
          <w:rFonts w:hint="eastAsia" w:ascii="Times New Roman" w:cs="Times New Roman"/>
          <w:color w:val="000000" w:themeColor="text1"/>
          <w:kern w:val="10"/>
          <w14:textFill>
            <w14:solidFill>
              <w14:schemeClr w14:val="tx1"/>
            </w14:solidFill>
          </w14:textFill>
        </w:rPr>
        <w:t>经城市</w:t>
      </w:r>
      <w:r>
        <w:rPr>
          <w:rFonts w:ascii="Times New Roman" w:cs="Times New Roman"/>
          <w:color w:val="000000" w:themeColor="text1"/>
          <w:kern w:val="10"/>
          <w14:textFill>
            <w14:solidFill>
              <w14:schemeClr w14:val="tx1"/>
            </w14:solidFill>
          </w14:textFill>
        </w:rPr>
        <w:t>污水处理厂进行处理</w:t>
      </w:r>
      <w:r>
        <w:rPr>
          <w:rFonts w:hint="eastAsia" w:ascii="Times New Roman" w:cs="Times New Roman"/>
          <w:color w:val="000000" w:themeColor="text1"/>
          <w:kern w:val="10"/>
          <w14:textFill>
            <w14:solidFill>
              <w14:schemeClr w14:val="tx1"/>
            </w14:solidFill>
          </w14:textFill>
        </w:rPr>
        <w:t>后外排</w:t>
      </w:r>
      <w:r>
        <w:rPr>
          <w:rFonts w:ascii="Times New Roman" w:cs="Times New Roman"/>
          <w:color w:val="000000" w:themeColor="text1"/>
          <w14:textFill>
            <w14:solidFill>
              <w14:schemeClr w14:val="tx1"/>
            </w14:solidFill>
          </w14:textFill>
        </w:rPr>
        <w:t>；加强施工期管理，对施工机械定期检修，施工废水沉淀处理后回用于洒水抑尘；施工材料堆放时要采取遮蔽措施，防止降雨冲刷造成污染；尽可能在</w:t>
      </w:r>
      <w:r>
        <w:rPr>
          <w:rFonts w:hint="eastAsia" w:ascii="Times New Roman" w:cs="Times New Roman"/>
          <w:color w:val="000000" w:themeColor="text1"/>
          <w14:textFill>
            <w14:solidFill>
              <w14:schemeClr w14:val="tx1"/>
            </w14:solidFill>
          </w14:textFill>
        </w:rPr>
        <w:t>规定</w:t>
      </w:r>
      <w:r>
        <w:rPr>
          <w:rFonts w:ascii="Times New Roman" w:cs="Times New Roman"/>
          <w:color w:val="000000" w:themeColor="text1"/>
          <w14:textFill>
            <w14:solidFill>
              <w14:schemeClr w14:val="tx1"/>
            </w14:solidFill>
          </w14:textFill>
        </w:rPr>
        <w:t>时间内完成施工进度，非特殊情况不</w:t>
      </w:r>
      <w:r>
        <w:rPr>
          <w:rFonts w:hint="eastAsia" w:ascii="Times New Roman" w:cs="Times New Roman"/>
          <w:color w:val="000000" w:themeColor="text1"/>
          <w14:textFill>
            <w14:solidFill>
              <w14:schemeClr w14:val="tx1"/>
            </w14:solidFill>
          </w14:textFill>
        </w:rPr>
        <w:t>得</w:t>
      </w:r>
      <w:r>
        <w:rPr>
          <w:rFonts w:ascii="Times New Roman" w:cs="Times New Roman"/>
          <w:color w:val="000000" w:themeColor="text1"/>
          <w14:textFill>
            <w14:solidFill>
              <w14:schemeClr w14:val="tx1"/>
            </w14:solidFill>
          </w14:textFill>
        </w:rPr>
        <w:t>随意延长工期；</w:t>
      </w:r>
      <w:r>
        <w:rPr>
          <w:rFonts w:hint="eastAsia" w:ascii="Times New Roman" w:cs="Times New Roman"/>
          <w:color w:val="000000" w:themeColor="text1"/>
          <w14:textFill>
            <w14:solidFill>
              <w14:schemeClr w14:val="tx1"/>
            </w14:solidFill>
          </w14:textFill>
        </w:rPr>
        <w:t>施工期间</w:t>
      </w:r>
      <w:r>
        <w:rPr>
          <w:rFonts w:ascii="Times New Roman" w:cs="Times New Roman"/>
          <w:color w:val="000000" w:themeColor="text1"/>
          <w14:textFill>
            <w14:solidFill>
              <w14:schemeClr w14:val="tx1"/>
            </w14:solidFill>
          </w14:textFill>
        </w:rPr>
        <w:t>禁止生产废水直接进入</w:t>
      </w:r>
      <w:r>
        <w:rPr>
          <w:rFonts w:hint="eastAsia" w:ascii="Times New Roman" w:cs="Times New Roman"/>
          <w:color w:val="000000" w:themeColor="text1"/>
          <w14:textFill>
            <w14:solidFill>
              <w14:schemeClr w14:val="tx1"/>
            </w14:solidFill>
          </w14:textFill>
        </w:rPr>
        <w:t>周边地表水</w:t>
      </w:r>
      <w:r>
        <w:rPr>
          <w:rFonts w:ascii="Times New Roman" w:cs="Times New Roman"/>
          <w:color w:val="000000" w:themeColor="text1"/>
          <w14:textFill>
            <w14:solidFill>
              <w14:schemeClr w14:val="tx1"/>
            </w14:solidFill>
          </w14:textFill>
        </w:rPr>
        <w:t>。</w:t>
      </w:r>
    </w:p>
    <w:p>
      <w:pPr>
        <w:pStyle w:val="76"/>
        <w:spacing w:line="360" w:lineRule="auto"/>
        <w:ind w:firstLine="482" w:firstLineChars="200"/>
        <w:jc w:val="both"/>
        <w:rPr>
          <w:rFonts w:ascii="Times New Roman" w:cs="Times New Roman"/>
          <w:b/>
          <w:color w:val="000000" w:themeColor="text1"/>
          <w14:textFill>
            <w14:solidFill>
              <w14:schemeClr w14:val="tx1"/>
            </w14:solidFill>
          </w14:textFill>
        </w:rPr>
      </w:pPr>
      <w:r>
        <w:rPr>
          <w:rFonts w:ascii="Times New Roman" w:cs="Times New Roman"/>
          <w:b/>
          <w:color w:val="000000" w:themeColor="text1"/>
          <w14:textFill>
            <w14:solidFill>
              <w14:schemeClr w14:val="tx1"/>
            </w14:solidFill>
          </w14:textFill>
        </w:rPr>
        <w:t>2、大气污染防治措施</w:t>
      </w:r>
    </w:p>
    <w:p>
      <w:pPr>
        <w:pStyle w:val="13"/>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对施工场地进行隔挡；在风速超过4m/s</w:t>
      </w:r>
      <w:r>
        <w:rPr>
          <w:rFonts w:hint="eastAsia"/>
          <w:color w:val="000000" w:themeColor="text1"/>
          <w:sz w:val="24"/>
          <w14:textFill>
            <w14:solidFill>
              <w14:schemeClr w14:val="tx1"/>
            </w14:solidFill>
          </w14:textFill>
        </w:rPr>
        <w:t>应停止</w:t>
      </w:r>
      <w:r>
        <w:rPr>
          <w:color w:val="000000" w:themeColor="text1"/>
          <w:sz w:val="24"/>
          <w14:textFill>
            <w14:solidFill>
              <w14:schemeClr w14:val="tx1"/>
            </w14:solidFill>
          </w14:textFill>
        </w:rPr>
        <w:t>施工；运送物料的车辆采用覆盖措施；施工堆场内的运输道路要及时清扫，运输车辆进入施工场地应低速行驶，以减少汽车行驶扬尘；燃油机车和施工机械应使用清洁能源；加强机械、车辆的管理和维修；施工现场在敏感区域段（临时上岸点）应设围栏，减少扬尘的扩散及景观影响。</w:t>
      </w:r>
    </w:p>
    <w:p>
      <w:pPr>
        <w:pStyle w:val="76"/>
        <w:spacing w:line="360" w:lineRule="auto"/>
        <w:ind w:firstLine="482" w:firstLineChars="200"/>
        <w:jc w:val="both"/>
        <w:rPr>
          <w:rFonts w:ascii="Times New Roman" w:cs="Times New Roman"/>
          <w:b/>
          <w:color w:val="000000" w:themeColor="text1"/>
          <w14:textFill>
            <w14:solidFill>
              <w14:schemeClr w14:val="tx1"/>
            </w14:solidFill>
          </w14:textFill>
        </w:rPr>
      </w:pPr>
      <w:r>
        <w:rPr>
          <w:rFonts w:ascii="Times New Roman" w:cs="Times New Roman"/>
          <w:b/>
          <w:color w:val="000000" w:themeColor="text1"/>
          <w14:textFill>
            <w14:solidFill>
              <w14:schemeClr w14:val="tx1"/>
            </w14:solidFill>
          </w14:textFill>
        </w:rPr>
        <w:t>3、噪声污染防治措施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合理安排施工时间，禁止夜间作业；</w:t>
      </w:r>
      <w:r>
        <w:rPr>
          <w:rFonts w:ascii="Times New Roman" w:cs="Times New Roman"/>
          <w:snapToGrid w:val="0"/>
          <w:color w:val="000000" w:themeColor="text1"/>
          <w14:textFill>
            <w14:solidFill>
              <w14:schemeClr w14:val="tx1"/>
            </w14:solidFill>
          </w14:textFill>
        </w:rPr>
        <w:t>选用低噪声设备和工艺；加强检查、维护和保养机械设备；施工场地设置围挡，</w:t>
      </w:r>
      <w:r>
        <w:rPr>
          <w:rFonts w:ascii="Times New Roman" w:cs="Times New Roman"/>
          <w:color w:val="000000" w:themeColor="text1"/>
          <w14:textFill>
            <w14:solidFill>
              <w14:schemeClr w14:val="tx1"/>
            </w14:solidFill>
          </w14:textFill>
        </w:rPr>
        <w:t>施工作业时应采取减震措施，或设置临时声屏障进行降噪；</w:t>
      </w:r>
      <w:r>
        <w:rPr>
          <w:rFonts w:ascii="Times New Roman" w:cs="Times New Roman"/>
          <w:snapToGrid w:val="0"/>
          <w:color w:val="000000" w:themeColor="text1"/>
          <w14:textFill>
            <w14:solidFill>
              <w14:schemeClr w14:val="tx1"/>
            </w14:solidFill>
          </w14:textFill>
        </w:rPr>
        <w:t>施工单位在施工现场张贴相关施工通告；</w:t>
      </w:r>
      <w:r>
        <w:rPr>
          <w:rFonts w:ascii="Times New Roman" w:cs="Times New Roman"/>
          <w:color w:val="000000" w:themeColor="text1"/>
          <w14:textFill>
            <w14:solidFill>
              <w14:schemeClr w14:val="tx1"/>
            </w14:solidFill>
          </w14:textFill>
        </w:rPr>
        <w:t>运输车辆途经噪声敏感点需适当减速并禁止鸣笛。</w:t>
      </w:r>
    </w:p>
    <w:p>
      <w:pPr>
        <w:pStyle w:val="76"/>
        <w:spacing w:line="360" w:lineRule="auto"/>
        <w:ind w:firstLine="482" w:firstLineChars="200"/>
        <w:jc w:val="both"/>
        <w:rPr>
          <w:rFonts w:ascii="Times New Roman" w:cs="Times New Roman"/>
          <w:b/>
          <w:color w:val="000000" w:themeColor="text1"/>
          <w14:textFill>
            <w14:solidFill>
              <w14:schemeClr w14:val="tx1"/>
            </w14:solidFill>
          </w14:textFill>
        </w:rPr>
      </w:pPr>
      <w:r>
        <w:rPr>
          <w:rFonts w:ascii="Times New Roman" w:cs="Times New Roman"/>
          <w:b/>
          <w:color w:val="000000" w:themeColor="text1"/>
          <w14:textFill>
            <w14:solidFill>
              <w14:schemeClr w14:val="tx1"/>
            </w14:solidFill>
          </w14:textFill>
        </w:rPr>
        <w:t>4、固体废物处置措施</w:t>
      </w:r>
    </w:p>
    <w:p>
      <w:pPr>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施工产生的废料首先考虑废料的回收利用，对拆除的设备、钢筋、钢板、木材等下角料可分类回收，送废品回收站，</w:t>
      </w:r>
      <w:r>
        <w:rPr>
          <w:color w:val="000000" w:themeColor="text1"/>
          <w:kern w:val="0"/>
          <w:sz w:val="24"/>
          <w:szCs w:val="24"/>
          <w14:textFill>
            <w14:solidFill>
              <w14:schemeClr w14:val="tx1"/>
            </w14:solidFill>
          </w14:textFill>
        </w:rPr>
        <w:t>不能利用的</w:t>
      </w:r>
      <w:r>
        <w:rPr>
          <w:rFonts w:hint="eastAsia"/>
          <w:color w:val="000000" w:themeColor="text1"/>
          <w:kern w:val="0"/>
          <w:sz w:val="24"/>
          <w:szCs w:val="24"/>
          <w14:textFill>
            <w14:solidFill>
              <w14:schemeClr w14:val="tx1"/>
            </w14:solidFill>
          </w14:textFill>
        </w:rPr>
        <w:t>砖、石、砂等</w:t>
      </w:r>
      <w:r>
        <w:rPr>
          <w:color w:val="000000" w:themeColor="text1"/>
          <w:kern w:val="0"/>
          <w:sz w:val="24"/>
          <w:szCs w:val="24"/>
          <w14:textFill>
            <w14:solidFill>
              <w14:schemeClr w14:val="tx1"/>
            </w14:solidFill>
          </w14:textFill>
        </w:rPr>
        <w:t>集中堆置，</w:t>
      </w:r>
      <w:r>
        <w:rPr>
          <w:rFonts w:hint="eastAsia"/>
          <w:color w:val="000000" w:themeColor="text1"/>
          <w:kern w:val="0"/>
          <w:sz w:val="24"/>
          <w:szCs w:val="24"/>
          <w14:textFill>
            <w14:solidFill>
              <w14:schemeClr w14:val="tx1"/>
            </w14:solidFill>
          </w14:textFill>
        </w:rPr>
        <w:t>交政府</w:t>
      </w:r>
      <w:r>
        <w:rPr>
          <w:rFonts w:hint="eastAsia" w:ascii="Times New Roman" w:hAnsi="Times New Roman" w:eastAsia="宋体" w:cs="Times New Roman"/>
          <w:color w:val="000000" w:themeColor="text1"/>
          <w:kern w:val="0"/>
          <w:sz w:val="24"/>
          <w:lang w:val="zh-CN"/>
          <w14:textFill>
            <w14:solidFill>
              <w14:schemeClr w14:val="tx1"/>
            </w14:solidFill>
          </w14:textFill>
        </w:rPr>
        <w:t>指定建筑垃圾堆放场</w:t>
      </w:r>
      <w:r>
        <w:rPr>
          <w:rFonts w:hint="eastAsia"/>
          <w:color w:val="000000" w:themeColor="text1"/>
          <w:kern w:val="0"/>
          <w:sz w:val="24"/>
          <w:szCs w:val="24"/>
          <w14:textFill>
            <w14:solidFill>
              <w14:schemeClr w14:val="tx1"/>
            </w14:solidFill>
          </w14:textFill>
        </w:rPr>
        <w:t>处置；弃方</w:t>
      </w:r>
      <w:r>
        <w:rPr>
          <w:rFonts w:hint="eastAsia"/>
          <w:color w:val="000000" w:themeColor="text1"/>
          <w:kern w:val="0"/>
          <w:sz w:val="24"/>
          <w:szCs w:val="24"/>
          <w:lang w:val="zh-CN"/>
          <w14:textFill>
            <w14:solidFill>
              <w14:schemeClr w14:val="tx1"/>
            </w14:solidFill>
          </w14:textFill>
        </w:rPr>
        <w:t>运往临时堆土区用作</w:t>
      </w:r>
      <w:r>
        <w:rPr>
          <w:rFonts w:hint="eastAsia"/>
          <w:color w:val="000000" w:themeColor="text1"/>
          <w:sz w:val="24"/>
          <w:lang w:val="zh-CN"/>
          <w14:textFill>
            <w14:solidFill>
              <w14:schemeClr w14:val="tx1"/>
            </w14:solidFill>
          </w14:textFill>
        </w:rPr>
        <w:t>成都市环城生态区农田综合整治及农业灌区设施建设项目农</w:t>
      </w:r>
      <w:r>
        <w:rPr>
          <w:rFonts w:hint="eastAsia"/>
          <w:color w:val="000000" w:themeColor="text1"/>
          <w:sz w:val="24"/>
          <w:lang w:val="en-US" w:eastAsia="zh-CN"/>
          <w14:textFill>
            <w14:solidFill>
              <w14:schemeClr w14:val="tx1"/>
            </w14:solidFill>
          </w14:textFill>
        </w:rPr>
        <w:t>综合利用</w:t>
      </w:r>
      <w:r>
        <w:rPr>
          <w:rFonts w:hint="eastAsia"/>
          <w:color w:val="000000" w:themeColor="text1"/>
          <w:sz w:val="24"/>
          <w:lang w:val="zh-CN"/>
          <w14:textFill>
            <w14:solidFill>
              <w14:schemeClr w14:val="tx1"/>
            </w14:solidFill>
          </w14:textFill>
        </w:rPr>
        <w:t>，或者运至</w:t>
      </w:r>
      <w:r>
        <w:rPr>
          <w:rFonts w:hint="eastAsia"/>
          <w:color w:val="000000" w:themeColor="text1"/>
          <w:sz w:val="24"/>
          <w:lang w:val="en-US" w:eastAsia="zh-CN"/>
          <w14:textFill>
            <w14:solidFill>
              <w14:schemeClr w14:val="tx1"/>
            </w14:solidFill>
          </w14:textFill>
        </w:rPr>
        <w:t>余土摊平处理区回填</w:t>
      </w:r>
      <w:r>
        <w:rPr>
          <w:rFonts w:hint="eastAsia"/>
          <w:color w:val="000000" w:themeColor="text1"/>
          <w:sz w:val="24"/>
          <w:lang w:val="zh-CN"/>
          <w14:textFill>
            <w14:solidFill>
              <w14:schemeClr w14:val="tx1"/>
            </w14:solidFill>
          </w14:textFill>
        </w:rPr>
        <w:t>利用</w:t>
      </w:r>
      <w:r>
        <w:rPr>
          <w:rFonts w:hint="eastAsia"/>
          <w:color w:val="000000" w:themeColor="text1"/>
          <w:kern w:val="0"/>
          <w:sz w:val="24"/>
          <w:szCs w:val="24"/>
          <w:lang w:val="zh-CN"/>
          <w14:textFill>
            <w14:solidFill>
              <w14:schemeClr w14:val="tx1"/>
            </w14:solidFill>
          </w14:textFill>
        </w:rPr>
        <w:t>。</w:t>
      </w:r>
      <w:r>
        <w:rPr>
          <w:rFonts w:hint="eastAsia"/>
          <w:color w:val="000000" w:themeColor="text1"/>
          <w:kern w:val="0"/>
          <w:sz w:val="24"/>
          <w:szCs w:val="24"/>
          <w14:textFill>
            <w14:solidFill>
              <w14:schemeClr w14:val="tx1"/>
            </w14:solidFill>
          </w14:textFill>
        </w:rPr>
        <w:t>施工期施工人员产生的生活垃圾</w:t>
      </w:r>
      <w:r>
        <w:rPr>
          <w:color w:val="000000" w:themeColor="text1"/>
          <w:kern w:val="0"/>
          <w:sz w:val="24"/>
          <w:szCs w:val="24"/>
          <w14:textFill>
            <w14:solidFill>
              <w14:schemeClr w14:val="tx1"/>
            </w14:solidFill>
          </w14:textFill>
        </w:rPr>
        <w:t>集中收集后由当地环卫部门清运处理。</w:t>
      </w:r>
    </w:p>
    <w:p>
      <w:pPr>
        <w:pStyle w:val="76"/>
        <w:spacing w:line="360" w:lineRule="auto"/>
        <w:ind w:firstLine="482" w:firstLineChars="200"/>
        <w:jc w:val="both"/>
        <w:rPr>
          <w:rFonts w:ascii="Times New Roman" w:cs="Times New Roman"/>
          <w:b/>
          <w:color w:val="000000" w:themeColor="text1"/>
          <w14:textFill>
            <w14:solidFill>
              <w14:schemeClr w14:val="tx1"/>
            </w14:solidFill>
          </w14:textFill>
        </w:rPr>
      </w:pPr>
      <w:r>
        <w:rPr>
          <w:rFonts w:ascii="Times New Roman" w:cs="Times New Roman"/>
          <w:b/>
          <w:color w:val="000000" w:themeColor="text1"/>
          <w14:textFill>
            <w14:solidFill>
              <w14:schemeClr w14:val="tx1"/>
            </w14:solidFill>
          </w14:textFill>
        </w:rPr>
        <w:t>5、生态环境保护措施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（1）优化施工布置和临时占地，尽量减少占用农田和植被。做好工程施工的规划工作，合理安排施工时序，减少雨季施工时间，以减轻水土流失影响。</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（2）加强宣传工作，宣传植被保护的重要性，并制订出切实可行的奖罚措施，调动广大群众保护植物的积极性。</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（3）为消减施工队伍对植被的影响，拟在工程施工区设置警示牌，标明施工活动区，严令禁止到非施工区域活动，非施工区严禁烟火等活动。</w:t>
      </w:r>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（4）在施工期间对施工人员和附近居民加强施工区生态保护的宣传教育，禁止施工人员捕食蛙类、蛇类、鸟类、兽类，以减轻施工对当地陆生动植物的影响，并采取有效措施抑制鼠类的危害。</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（5）为减少施工造成的水土流失，采取截、排水沟、挡渣墙等一系列防护措施进行防护。</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（6）为将工程对植被的影响减少到最低限度，应在所有可能的地区采用可能的方法恢复植被，形成完整的生态影响恢复措施体系。</w:t>
      </w:r>
    </w:p>
    <w:p>
      <w:pPr>
        <w:pStyle w:val="76"/>
        <w:spacing w:line="360" w:lineRule="auto"/>
        <w:ind w:firstLine="482" w:firstLineChars="200"/>
        <w:jc w:val="both"/>
        <w:rPr>
          <w:rFonts w:ascii="Times New Roman" w:cs="Times New Roman"/>
          <w:b/>
          <w:color w:val="000000" w:themeColor="text1"/>
          <w14:textFill>
            <w14:solidFill>
              <w14:schemeClr w14:val="tx1"/>
            </w14:solidFill>
          </w14:textFill>
        </w:rPr>
      </w:pPr>
      <w:r>
        <w:rPr>
          <w:rFonts w:hint="eastAsia" w:ascii="Times New Roman" w:cs="Times New Roman"/>
          <w:b/>
          <w:color w:val="000000" w:themeColor="text1"/>
          <w14:textFill>
            <w14:solidFill>
              <w14:schemeClr w14:val="tx1"/>
            </w14:solidFill>
          </w14:textFill>
        </w:rPr>
        <w:t>6</w:t>
      </w:r>
      <w:r>
        <w:rPr>
          <w:rFonts w:ascii="Times New Roman" w:cs="Times New Roman"/>
          <w:b/>
          <w:color w:val="000000" w:themeColor="text1"/>
          <w14:textFill>
            <w14:solidFill>
              <w14:schemeClr w14:val="tx1"/>
            </w14:solidFill>
          </w14:textFill>
        </w:rPr>
        <w:t>、环境风险防范措施</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kern w:val="10"/>
          <w14:textFill>
            <w14:solidFill>
              <w14:schemeClr w14:val="tx1"/>
            </w14:solidFill>
          </w14:textFill>
        </w:rPr>
        <w:t>制定周密的施工计划；加强施工设备管理，重视设备性能的检查，</w:t>
      </w:r>
      <w:r>
        <w:rPr>
          <w:rFonts w:ascii="Times New Roman" w:cs="Times New Roman"/>
          <w:color w:val="000000" w:themeColor="text1"/>
          <w14:textFill>
            <w14:solidFill>
              <w14:schemeClr w14:val="tx1"/>
            </w14:solidFill>
          </w14:textFill>
        </w:rPr>
        <w:t>降低设备事故发生机率；在项目区域附近设置警示牌，同时公布对应单位联系电话及事故应急计划；施工水域一旦发生油品泄漏险情，应立即通知事故应急中心、环保部门及有关单位报告；项目还需配备一定量的应急设备，如围油栏、吸油毡、吸油枪、事故应急储水箱等；建议多部门联动机制，一旦发生风险事故，及时启动应急计划，可避免对水生生态环境带来危害。</w:t>
      </w:r>
    </w:p>
    <w:p>
      <w:pPr>
        <w:pStyle w:val="3"/>
        <w:spacing w:line="360" w:lineRule="auto"/>
        <w:ind w:left="0" w:firstLine="640"/>
        <w:rPr>
          <w:rFonts w:eastAsia="黑体"/>
          <w:color w:val="000000" w:themeColor="text1"/>
          <w14:textFill>
            <w14:solidFill>
              <w14:schemeClr w14:val="tx1"/>
            </w14:solidFill>
          </w14:textFill>
        </w:rPr>
      </w:pPr>
      <w:bookmarkStart w:id="862" w:name="_bookmark183"/>
      <w:bookmarkEnd w:id="862"/>
      <w:bookmarkStart w:id="863" w:name="10.7公众参与"/>
      <w:bookmarkEnd w:id="863"/>
      <w:bookmarkStart w:id="864" w:name="_bookmark184"/>
      <w:bookmarkEnd w:id="864"/>
      <w:bookmarkStart w:id="865" w:name="_bookmark185"/>
      <w:bookmarkEnd w:id="865"/>
      <w:bookmarkStart w:id="866" w:name="10.8环境经济效益分析"/>
      <w:bookmarkEnd w:id="866"/>
      <w:bookmarkStart w:id="867" w:name="10.6风险分析结论"/>
      <w:bookmarkEnd w:id="867"/>
      <w:bookmarkStart w:id="868" w:name="_Toc29624"/>
      <w:bookmarkStart w:id="869" w:name="_Toc11916"/>
      <w:bookmarkStart w:id="870" w:name="_Toc10063"/>
      <w:bookmarkStart w:id="871" w:name="_Toc23171"/>
      <w:bookmarkStart w:id="872" w:name="_Toc9557"/>
      <w:bookmarkStart w:id="873" w:name="_Toc70496375"/>
      <w:r>
        <w:rPr>
          <w:rFonts w:eastAsia="黑体"/>
          <w:color w:val="000000" w:themeColor="text1"/>
          <w14:textFill>
            <w14:solidFill>
              <w14:schemeClr w14:val="tx1"/>
            </w14:solidFill>
          </w14:textFill>
        </w:rPr>
        <w:t>8.6环境影响经济效益分析</w:t>
      </w:r>
      <w:bookmarkEnd w:id="868"/>
      <w:bookmarkEnd w:id="869"/>
      <w:bookmarkEnd w:id="870"/>
      <w:bookmarkEnd w:id="871"/>
      <w:bookmarkEnd w:id="872"/>
      <w:bookmarkEnd w:id="873"/>
    </w:p>
    <w:p>
      <w:pPr>
        <w:adjustRightInd w:val="0"/>
        <w:snapToGrid w:val="0"/>
        <w:spacing w:line="360" w:lineRule="auto"/>
        <w:ind w:firstLine="480" w:firstLineChars="200"/>
        <w:jc w:val="both"/>
        <w:rPr>
          <w:color w:val="000000" w:themeColor="text1"/>
          <w:sz w:val="24"/>
          <w:szCs w:val="24"/>
          <w14:textFill>
            <w14:solidFill>
              <w14:schemeClr w14:val="tx1"/>
            </w14:solidFill>
          </w14:textFill>
        </w:rPr>
      </w:pPr>
      <w:r>
        <w:rPr>
          <w:color w:val="000000" w:themeColor="text1"/>
          <w:sz w:val="24"/>
          <w14:textFill>
            <w14:solidFill>
              <w14:schemeClr w14:val="tx1"/>
            </w14:solidFill>
          </w14:textFill>
        </w:rPr>
        <w:t>本项目总投资</w:t>
      </w:r>
      <w:r>
        <w:rPr>
          <w:rFonts w:hint="eastAsia"/>
          <w:color w:val="000000" w:themeColor="text1"/>
          <w:kern w:val="0"/>
          <w:sz w:val="24"/>
          <w:szCs w:val="24"/>
          <w14:textFill>
            <w14:solidFill>
              <w14:schemeClr w14:val="tx1"/>
            </w14:solidFill>
          </w14:textFill>
        </w:rPr>
        <w:t>4460.56</w:t>
      </w:r>
      <w:r>
        <w:rPr>
          <w:color w:val="000000" w:themeColor="text1"/>
          <w:sz w:val="24"/>
          <w14:textFill>
            <w14:solidFill>
              <w14:schemeClr w14:val="tx1"/>
            </w14:solidFill>
          </w14:textFill>
        </w:rPr>
        <w:t>万元，其中环保投资</w:t>
      </w:r>
      <w:r>
        <w:rPr>
          <w:rFonts w:hint="eastAsia"/>
          <w:color w:val="000000" w:themeColor="text1"/>
          <w:sz w:val="24"/>
          <w14:textFill>
            <w14:solidFill>
              <w14:schemeClr w14:val="tx1"/>
            </w14:solidFill>
          </w14:textFill>
        </w:rPr>
        <w:t>125</w:t>
      </w:r>
      <w:r>
        <w:rPr>
          <w:color w:val="000000" w:themeColor="text1"/>
          <w:sz w:val="24"/>
          <w14:textFill>
            <w14:solidFill>
              <w14:schemeClr w14:val="tx1"/>
            </w14:solidFill>
          </w14:textFill>
        </w:rPr>
        <w:t>万元，占总投资的</w:t>
      </w:r>
      <w:r>
        <w:rPr>
          <w:rFonts w:hint="eastAsia"/>
          <w:color w:val="000000" w:themeColor="text1"/>
          <w:sz w:val="24"/>
          <w14:textFill>
            <w14:solidFill>
              <w14:schemeClr w14:val="tx1"/>
            </w14:solidFill>
          </w14:textFill>
        </w:rPr>
        <w:t>2.8</w:t>
      </w:r>
      <w:r>
        <w:rPr>
          <w:color w:val="000000" w:themeColor="text1"/>
          <w:sz w:val="24"/>
          <w14:textFill>
            <w14:solidFill>
              <w14:schemeClr w14:val="tx1"/>
            </w14:solidFill>
          </w14:textFill>
        </w:rPr>
        <w:t>%。</w:t>
      </w:r>
      <w:r>
        <w:rPr>
          <w:color w:val="000000" w:themeColor="text1"/>
          <w:sz w:val="24"/>
          <w:szCs w:val="24"/>
          <w14:textFill>
            <w14:solidFill>
              <w14:schemeClr w14:val="tx1"/>
            </w14:solidFill>
          </w14:textFill>
        </w:rPr>
        <w:t>根据环境经济损益系数计算结果，项目的收益大于费用，说明经济效益是好的，同时还能取得显著的社会和环境效益。</w:t>
      </w:r>
    </w:p>
    <w:p>
      <w:pPr>
        <w:pStyle w:val="3"/>
        <w:spacing w:line="360" w:lineRule="auto"/>
        <w:ind w:left="0" w:firstLine="640"/>
        <w:rPr>
          <w:rFonts w:eastAsia="黑体"/>
          <w:color w:val="000000" w:themeColor="text1"/>
          <w14:textFill>
            <w14:solidFill>
              <w14:schemeClr w14:val="tx1"/>
            </w14:solidFill>
          </w14:textFill>
        </w:rPr>
      </w:pPr>
      <w:bookmarkStart w:id="874" w:name="_Toc70496376"/>
      <w:bookmarkStart w:id="875" w:name="_Toc20568"/>
      <w:r>
        <w:rPr>
          <w:rFonts w:eastAsia="黑体"/>
          <w:color w:val="000000" w:themeColor="text1"/>
          <w14:textFill>
            <w14:solidFill>
              <w14:schemeClr w14:val="tx1"/>
            </w14:solidFill>
          </w14:textFill>
        </w:rPr>
        <w:t>8.7公众参与</w:t>
      </w:r>
      <w:bookmarkEnd w:id="874"/>
      <w:bookmarkEnd w:id="875"/>
    </w:p>
    <w:p>
      <w:pPr>
        <w:pStyle w:val="76"/>
        <w:spacing w:line="360" w:lineRule="auto"/>
        <w:ind w:firstLine="480" w:firstLineChars="200"/>
        <w:jc w:val="both"/>
        <w:rPr>
          <w:rFonts w:ascii="Times New Roman" w:cs="Times New Roman"/>
          <w:color w:val="000000" w:themeColor="text1"/>
          <w:szCs w:val="23"/>
          <w14:textFill>
            <w14:solidFill>
              <w14:schemeClr w14:val="tx1"/>
            </w14:solidFill>
          </w14:textFill>
        </w:rPr>
      </w:pPr>
      <w:r>
        <w:rPr>
          <w:rFonts w:ascii="Times New Roman" w:cs="Times New Roman"/>
          <w:color w:val="000000" w:themeColor="text1"/>
          <w:szCs w:val="23"/>
          <w14:textFill>
            <w14:solidFill>
              <w14:schemeClr w14:val="tx1"/>
            </w14:solidFill>
          </w14:textFill>
        </w:rPr>
        <w:t>建设单位在委托我单位承担本项目的环境影响评价工作后，于202</w:t>
      </w:r>
      <w:r>
        <w:rPr>
          <w:rFonts w:hint="eastAsia" w:ascii="Times New Roman" w:cs="Times New Roman"/>
          <w:color w:val="000000" w:themeColor="text1"/>
          <w:szCs w:val="23"/>
          <w14:textFill>
            <w14:solidFill>
              <w14:schemeClr w14:val="tx1"/>
            </w14:solidFill>
          </w14:textFill>
        </w:rPr>
        <w:t>4</w:t>
      </w:r>
      <w:r>
        <w:rPr>
          <w:rFonts w:ascii="Times New Roman" w:cs="Times New Roman"/>
          <w:color w:val="000000" w:themeColor="text1"/>
          <w:szCs w:val="23"/>
          <w14:textFill>
            <w14:solidFill>
              <w14:schemeClr w14:val="tx1"/>
            </w14:solidFill>
          </w14:textFill>
        </w:rPr>
        <w:t>年3月1</w:t>
      </w:r>
      <w:r>
        <w:rPr>
          <w:rFonts w:hint="eastAsia" w:ascii="Times New Roman" w:cs="Times New Roman"/>
          <w:color w:val="000000" w:themeColor="text1"/>
          <w:szCs w:val="23"/>
          <w14:textFill>
            <w14:solidFill>
              <w14:schemeClr w14:val="tx1"/>
            </w14:solidFill>
          </w14:textFill>
        </w:rPr>
        <w:t>2</w:t>
      </w:r>
      <w:r>
        <w:rPr>
          <w:rFonts w:ascii="Times New Roman" w:cs="Times New Roman"/>
          <w:color w:val="000000" w:themeColor="text1"/>
          <w:szCs w:val="23"/>
          <w14:textFill>
            <w14:solidFill>
              <w14:schemeClr w14:val="tx1"/>
            </w14:solidFill>
          </w14:textFill>
        </w:rPr>
        <w:t>日~202</w:t>
      </w:r>
      <w:r>
        <w:rPr>
          <w:rFonts w:hint="eastAsia" w:ascii="Times New Roman" w:cs="Times New Roman"/>
          <w:color w:val="000000" w:themeColor="text1"/>
          <w:szCs w:val="23"/>
          <w14:textFill>
            <w14:solidFill>
              <w14:schemeClr w14:val="tx1"/>
            </w14:solidFill>
          </w14:textFill>
        </w:rPr>
        <w:t>4</w:t>
      </w:r>
      <w:r>
        <w:rPr>
          <w:rFonts w:ascii="Times New Roman" w:cs="Times New Roman"/>
          <w:color w:val="000000" w:themeColor="text1"/>
          <w:szCs w:val="23"/>
          <w14:textFill>
            <w14:solidFill>
              <w14:schemeClr w14:val="tx1"/>
            </w14:solidFill>
          </w14:textFill>
        </w:rPr>
        <w:t>年</w:t>
      </w:r>
      <w:r>
        <w:rPr>
          <w:rFonts w:hint="eastAsia" w:ascii="Times New Roman" w:cs="Times New Roman"/>
          <w:color w:val="000000" w:themeColor="text1"/>
          <w:szCs w:val="23"/>
          <w14:textFill>
            <w14:solidFill>
              <w14:schemeClr w14:val="tx1"/>
            </w14:solidFill>
          </w14:textFill>
        </w:rPr>
        <w:t>3</w:t>
      </w:r>
      <w:r>
        <w:rPr>
          <w:rFonts w:ascii="Times New Roman" w:cs="Times New Roman"/>
          <w:color w:val="000000" w:themeColor="text1"/>
          <w:szCs w:val="23"/>
          <w14:textFill>
            <w14:solidFill>
              <w14:schemeClr w14:val="tx1"/>
            </w14:solidFill>
          </w14:textFill>
        </w:rPr>
        <w:t>月1</w:t>
      </w:r>
      <w:r>
        <w:rPr>
          <w:rFonts w:hint="eastAsia" w:ascii="Times New Roman" w:cs="Times New Roman"/>
          <w:color w:val="000000" w:themeColor="text1"/>
          <w:szCs w:val="23"/>
          <w14:textFill>
            <w14:solidFill>
              <w14:schemeClr w14:val="tx1"/>
            </w14:solidFill>
          </w14:textFill>
        </w:rPr>
        <w:t>9</w:t>
      </w:r>
      <w:r>
        <w:rPr>
          <w:rFonts w:ascii="Times New Roman" w:cs="Times New Roman"/>
          <w:color w:val="000000" w:themeColor="text1"/>
          <w:szCs w:val="23"/>
          <w14:textFill>
            <w14:solidFill>
              <w14:schemeClr w14:val="tx1"/>
            </w14:solidFill>
          </w14:textFill>
        </w:rPr>
        <w:t>日在</w:t>
      </w:r>
      <w:r>
        <w:rPr>
          <w:rFonts w:hint="eastAsia" w:ascii="Times New Roman" w:cs="Times New Roman"/>
          <w:color w:val="000000" w:themeColor="text1"/>
          <w:szCs w:val="23"/>
          <w14:textFill>
            <w14:solidFill>
              <w14:schemeClr w14:val="tx1"/>
            </w14:solidFill>
          </w14:textFill>
        </w:rPr>
        <w:t>成都天府绿道投资集团有限公司官网</w:t>
      </w:r>
      <w:r>
        <w:rPr>
          <w:rFonts w:ascii="Times New Roman" w:cs="Times New Roman"/>
          <w:color w:val="000000" w:themeColor="text1"/>
          <w:szCs w:val="23"/>
          <w14:textFill>
            <w14:solidFill>
              <w14:schemeClr w14:val="tx1"/>
            </w14:solidFill>
          </w14:textFill>
        </w:rPr>
        <w:t>进行了该项目环境影响评价公众参与首次公示，在本项目环境影响报告书基本完成，形成征求意见稿后，于202</w:t>
      </w:r>
      <w:r>
        <w:rPr>
          <w:rFonts w:hint="eastAsia" w:ascii="Times New Roman" w:cs="Times New Roman"/>
          <w:color w:val="000000" w:themeColor="text1"/>
          <w:szCs w:val="23"/>
          <w14:textFill>
            <w14:solidFill>
              <w14:schemeClr w14:val="tx1"/>
            </w14:solidFill>
          </w14:textFill>
        </w:rPr>
        <w:t>4</w:t>
      </w:r>
      <w:r>
        <w:rPr>
          <w:rFonts w:ascii="Times New Roman" w:cs="Times New Roman"/>
          <w:color w:val="000000" w:themeColor="text1"/>
          <w:szCs w:val="23"/>
          <w14:textFill>
            <w14:solidFill>
              <w14:schemeClr w14:val="tx1"/>
            </w14:solidFill>
          </w14:textFill>
        </w:rPr>
        <w:t>年</w:t>
      </w:r>
      <w:r>
        <w:rPr>
          <w:rFonts w:hint="eastAsia" w:ascii="Times New Roman" w:cs="Times New Roman"/>
          <w:color w:val="000000" w:themeColor="text1"/>
          <w:szCs w:val="23"/>
          <w14:textFill>
            <w14:solidFill>
              <w14:schemeClr w14:val="tx1"/>
            </w14:solidFill>
          </w14:textFill>
        </w:rPr>
        <w:t>3</w:t>
      </w:r>
      <w:r>
        <w:rPr>
          <w:rFonts w:ascii="Times New Roman" w:cs="Times New Roman"/>
          <w:color w:val="000000" w:themeColor="text1"/>
          <w:szCs w:val="23"/>
          <w14:textFill>
            <w14:solidFill>
              <w14:schemeClr w14:val="tx1"/>
            </w14:solidFill>
          </w14:textFill>
        </w:rPr>
        <w:t>月</w:t>
      </w:r>
      <w:r>
        <w:rPr>
          <w:rFonts w:hint="eastAsia" w:ascii="Times New Roman" w:cs="Times New Roman"/>
          <w:color w:val="000000" w:themeColor="text1"/>
          <w:szCs w:val="23"/>
          <w14:textFill>
            <w14:solidFill>
              <w14:schemeClr w14:val="tx1"/>
            </w14:solidFill>
          </w14:textFill>
        </w:rPr>
        <w:t>28</w:t>
      </w:r>
      <w:r>
        <w:rPr>
          <w:rFonts w:ascii="Times New Roman" w:cs="Times New Roman"/>
          <w:color w:val="000000" w:themeColor="text1"/>
          <w:szCs w:val="23"/>
          <w14:textFill>
            <w14:solidFill>
              <w14:schemeClr w14:val="tx1"/>
            </w14:solidFill>
          </w14:textFill>
        </w:rPr>
        <w:t>日~</w:t>
      </w:r>
      <w:r>
        <w:rPr>
          <w:rFonts w:ascii="Times New Roman" w:cs="Times New Roman"/>
          <w:color w:val="000000" w:themeColor="text1"/>
          <w14:textFill>
            <w14:solidFill>
              <w14:schemeClr w14:val="tx1"/>
            </w14:solidFill>
          </w14:textFill>
        </w:rPr>
        <w:t>202</w:t>
      </w:r>
      <w:r>
        <w:rPr>
          <w:rFonts w:hint="eastAsia" w:ascii="Times New Roman" w:cs="Times New Roman"/>
          <w:color w:val="000000" w:themeColor="text1"/>
          <w14:textFill>
            <w14:solidFill>
              <w14:schemeClr w14:val="tx1"/>
            </w14:solidFill>
          </w14:textFill>
        </w:rPr>
        <w:t>4</w:t>
      </w:r>
      <w:r>
        <w:rPr>
          <w:rFonts w:ascii="Times New Roman" w:cs="Times New Roman"/>
          <w:color w:val="000000" w:themeColor="text1"/>
          <w14:textFill>
            <w14:solidFill>
              <w14:schemeClr w14:val="tx1"/>
            </w14:solidFill>
          </w14:textFill>
        </w:rPr>
        <w:t>年4月</w:t>
      </w:r>
      <w:r>
        <w:rPr>
          <w:rFonts w:hint="eastAsia" w:ascii="Times New Roman" w:cs="Times New Roman"/>
          <w:color w:val="000000" w:themeColor="text1"/>
          <w14:textFill>
            <w14:solidFill>
              <w14:schemeClr w14:val="tx1"/>
            </w14:solidFill>
          </w14:textFill>
        </w:rPr>
        <w:t>11</w:t>
      </w:r>
      <w:r>
        <w:rPr>
          <w:rFonts w:ascii="Times New Roman" w:cs="Times New Roman"/>
          <w:color w:val="000000" w:themeColor="text1"/>
          <w14:textFill>
            <w14:solidFill>
              <w14:schemeClr w14:val="tx1"/>
            </w14:solidFill>
          </w14:textFill>
        </w:rPr>
        <w:t>日在</w:t>
      </w:r>
      <w:r>
        <w:rPr>
          <w:rFonts w:hint="eastAsia" w:ascii="Times New Roman" w:cs="Times New Roman"/>
          <w:color w:val="000000" w:themeColor="text1"/>
          <w:szCs w:val="23"/>
          <w14:textFill>
            <w14:solidFill>
              <w14:schemeClr w14:val="tx1"/>
            </w14:solidFill>
          </w14:textFill>
        </w:rPr>
        <w:t>成都天府绿道投资集团有限公司官网</w:t>
      </w:r>
      <w:r>
        <w:rPr>
          <w:rFonts w:ascii="Times New Roman" w:cs="Times New Roman"/>
          <w:color w:val="000000" w:themeColor="text1"/>
          <w14:textFill>
            <w14:solidFill>
              <w14:schemeClr w14:val="tx1"/>
            </w14:solidFill>
          </w14:textFill>
        </w:rPr>
        <w:t>发布了第二次公示信息</w:t>
      </w:r>
      <w:r>
        <w:rPr>
          <w:rFonts w:hint="eastAsia" w:ascii="Times New Roman" w:cs="Times New Roman"/>
          <w:color w:val="000000" w:themeColor="text1"/>
          <w14:textFill>
            <w14:solidFill>
              <w14:schemeClr w14:val="tx1"/>
            </w14:solidFill>
          </w14:textFill>
        </w:rPr>
        <w:t>。</w:t>
      </w:r>
    </w:p>
    <w:p>
      <w:pPr>
        <w:adjustRightInd w:val="0"/>
        <w:snapToGrid w:val="0"/>
        <w:spacing w:line="360" w:lineRule="auto"/>
        <w:ind w:firstLine="480" w:firstLineChars="200"/>
        <w:jc w:val="both"/>
        <w:rPr>
          <w:color w:val="000000" w:themeColor="text1"/>
          <w:sz w:val="28"/>
          <w:szCs w:val="24"/>
          <w14:textFill>
            <w14:solidFill>
              <w14:schemeClr w14:val="tx1"/>
            </w14:solidFill>
          </w14:textFill>
        </w:rPr>
      </w:pPr>
      <w:r>
        <w:rPr>
          <w:color w:val="000000" w:themeColor="text1"/>
          <w:sz w:val="24"/>
          <w:szCs w:val="23"/>
          <w14:textFill>
            <w14:solidFill>
              <w14:schemeClr w14:val="tx1"/>
            </w14:solidFill>
          </w14:textFill>
        </w:rPr>
        <w:t>公众参与调查期间，未收到反对工程建设的反馈意见，表明公众认为工程的建设是有利的，公众对本项目是持支持态度的。同时，建设单位表示在项目建设、运营过程中会严格落实各项环保措施，确保本项目建设运营过程中废气、废水、噪声达标排放，固体废物妥善处置，并加强日常监管与维护，以降低本项目建设运营对周围环境空气、水环境、声环境、生态环境的影响。经现场调查</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本项目施工期已完成</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施工期间未收到环保投诉</w:t>
      </w:r>
      <w:r>
        <w:rPr>
          <w:rFonts w:hint="eastAsia"/>
          <w:color w:val="000000" w:themeColor="text1"/>
          <w:sz w:val="24"/>
          <w:szCs w:val="23"/>
          <w14:textFill>
            <w14:solidFill>
              <w14:schemeClr w14:val="tx1"/>
            </w14:solidFill>
          </w14:textFill>
        </w:rPr>
        <w:t>。</w:t>
      </w:r>
    </w:p>
    <w:p>
      <w:pPr>
        <w:pStyle w:val="3"/>
        <w:spacing w:line="360" w:lineRule="auto"/>
        <w:ind w:left="0" w:firstLine="640"/>
        <w:rPr>
          <w:rFonts w:eastAsia="黑体"/>
          <w:color w:val="000000" w:themeColor="text1"/>
          <w14:textFill>
            <w14:solidFill>
              <w14:schemeClr w14:val="tx1"/>
            </w14:solidFill>
          </w14:textFill>
        </w:rPr>
      </w:pPr>
      <w:bookmarkStart w:id="876" w:name="10.9总结论"/>
      <w:bookmarkEnd w:id="876"/>
      <w:bookmarkStart w:id="877" w:name="_bookmark186"/>
      <w:bookmarkEnd w:id="877"/>
      <w:bookmarkStart w:id="878" w:name="_Toc27022"/>
      <w:bookmarkStart w:id="879" w:name="_Toc30136"/>
      <w:bookmarkStart w:id="880" w:name="_Toc4147"/>
      <w:bookmarkStart w:id="881" w:name="_Toc70496377"/>
      <w:bookmarkStart w:id="882" w:name="_Toc3532"/>
      <w:bookmarkStart w:id="883" w:name="_Toc32479"/>
      <w:r>
        <w:rPr>
          <w:rFonts w:eastAsia="黑体"/>
          <w:color w:val="000000" w:themeColor="text1"/>
          <w14:textFill>
            <w14:solidFill>
              <w14:schemeClr w14:val="tx1"/>
            </w14:solidFill>
          </w14:textFill>
        </w:rPr>
        <w:t>8.8</w:t>
      </w:r>
      <w:r>
        <w:rPr>
          <w:rFonts w:hint="eastAsia" w:eastAsia="黑体"/>
          <w:color w:val="000000" w:themeColor="text1"/>
          <w14:textFill>
            <w14:solidFill>
              <w14:schemeClr w14:val="tx1"/>
            </w14:solidFill>
          </w14:textFill>
        </w:rPr>
        <w:t>综合评价</w:t>
      </w:r>
      <w:r>
        <w:rPr>
          <w:rFonts w:eastAsia="黑体"/>
          <w:color w:val="000000" w:themeColor="text1"/>
          <w14:textFill>
            <w14:solidFill>
              <w14:schemeClr w14:val="tx1"/>
            </w14:solidFill>
          </w14:textFill>
        </w:rPr>
        <w:t>结论</w:t>
      </w:r>
      <w:bookmarkEnd w:id="878"/>
      <w:bookmarkEnd w:id="879"/>
      <w:bookmarkEnd w:id="880"/>
      <w:bookmarkEnd w:id="881"/>
      <w:bookmarkEnd w:id="882"/>
      <w:bookmarkEnd w:id="883"/>
    </w:p>
    <w:p>
      <w:pPr>
        <w:adjustRightInd w:val="0"/>
        <w:snapToGrid w:val="0"/>
        <w:spacing w:line="360" w:lineRule="auto"/>
        <w:ind w:firstLine="480" w:firstLineChars="200"/>
        <w:rPr>
          <w:b/>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拟建项目符合国家产业政策，所采用的污染防治措施技术经济可行，能保证各种污染物稳定达标排放，污染物的排放符合总量控制的要求，预测表明该项目的实施对周围环境的影响在可接受范围内。项目建设得到公众的普遍支持；在充分落实本报告书提出的各项工程环保措施、风险控制措施及环境监督管理措施，从环保角度分析，拟建项目建设具有环境可行性。</w:t>
      </w:r>
    </w:p>
    <w:p>
      <w:pPr>
        <w:pStyle w:val="3"/>
        <w:spacing w:line="360" w:lineRule="auto"/>
        <w:ind w:left="0" w:firstLine="640"/>
        <w:rPr>
          <w:rFonts w:eastAsia="黑体"/>
          <w:color w:val="000000" w:themeColor="text1"/>
          <w14:textFill>
            <w14:solidFill>
              <w14:schemeClr w14:val="tx1"/>
            </w14:solidFill>
          </w14:textFill>
        </w:rPr>
      </w:pPr>
      <w:bookmarkStart w:id="884" w:name="_Toc22561"/>
      <w:bookmarkStart w:id="885" w:name="_Toc22540"/>
      <w:bookmarkStart w:id="886" w:name="_Toc25856"/>
      <w:bookmarkStart w:id="887" w:name="_Toc70496378"/>
      <w:bookmarkStart w:id="888" w:name="_Toc17991"/>
      <w:bookmarkStart w:id="889" w:name="_Toc16618"/>
      <w:r>
        <w:rPr>
          <w:rFonts w:eastAsia="黑体"/>
          <w:color w:val="000000" w:themeColor="text1"/>
          <w14:textFill>
            <w14:solidFill>
              <w14:schemeClr w14:val="tx1"/>
            </w14:solidFill>
          </w14:textFill>
        </w:rPr>
        <w:t>8.9要求与建议</w:t>
      </w:r>
      <w:bookmarkEnd w:id="884"/>
      <w:bookmarkEnd w:id="885"/>
      <w:bookmarkEnd w:id="886"/>
      <w:bookmarkEnd w:id="887"/>
      <w:bookmarkEnd w:id="888"/>
      <w:bookmarkEnd w:id="889"/>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90" w:name="_Toc70496379"/>
      <w:bookmarkStart w:id="891" w:name="_Toc12372"/>
      <w:bookmarkStart w:id="892" w:name="_Toc14979"/>
      <w:bookmarkStart w:id="893" w:name="_Toc1682"/>
      <w:bookmarkStart w:id="894" w:name="_Toc20388"/>
      <w:bookmarkStart w:id="895" w:name="_Toc8137"/>
      <w:r>
        <w:rPr>
          <w:rFonts w:ascii="Times New Roman" w:hAnsi="Times New Roman" w:cs="Times New Roman"/>
          <w:color w:val="000000" w:themeColor="text1"/>
          <w14:textFill>
            <w14:solidFill>
              <w14:schemeClr w14:val="tx1"/>
            </w14:solidFill>
          </w14:textFill>
        </w:rPr>
        <w:t>8.9.1要求</w:t>
      </w:r>
      <w:bookmarkEnd w:id="890"/>
      <w:bookmarkEnd w:id="891"/>
      <w:bookmarkEnd w:id="892"/>
      <w:bookmarkEnd w:id="893"/>
      <w:bookmarkEnd w:id="894"/>
      <w:bookmarkEnd w:id="895"/>
    </w:p>
    <w:p>
      <w:pPr>
        <w:adjustRightIn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（1）建设单位在项目实施过程中，认真落实各项污染治理措施，使建设项目的污染物排放达到环境保护的要求。</w:t>
      </w:r>
    </w:p>
    <w:p>
      <w:pPr>
        <w:adjustRightInd w:val="0"/>
        <w:spacing w:line="360" w:lineRule="auto"/>
        <w:ind w:firstLine="480" w:firstLineChars="200"/>
        <w:jc w:val="both"/>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（2）加强环保管理，进行环境要素的监测工作。</w:t>
      </w:r>
    </w:p>
    <w:p>
      <w:pPr>
        <w:pStyle w:val="4"/>
        <w:spacing w:line="360" w:lineRule="auto"/>
        <w:ind w:left="0" w:firstLine="560"/>
        <w:rPr>
          <w:rFonts w:ascii="Times New Roman" w:hAnsi="Times New Roman" w:cs="Times New Roman"/>
          <w:color w:val="000000" w:themeColor="text1"/>
          <w14:textFill>
            <w14:solidFill>
              <w14:schemeClr w14:val="tx1"/>
            </w14:solidFill>
          </w14:textFill>
        </w:rPr>
      </w:pPr>
      <w:bookmarkStart w:id="896" w:name="_Toc70496380"/>
      <w:bookmarkStart w:id="897" w:name="_Toc1626"/>
      <w:bookmarkStart w:id="898" w:name="_Toc32753"/>
      <w:bookmarkStart w:id="899" w:name="_Toc6975"/>
      <w:bookmarkStart w:id="900" w:name="_Toc15024"/>
      <w:bookmarkStart w:id="901" w:name="_Toc9784"/>
      <w:r>
        <w:rPr>
          <w:rFonts w:ascii="Times New Roman" w:hAnsi="Times New Roman" w:cs="Times New Roman"/>
          <w:color w:val="000000" w:themeColor="text1"/>
          <w14:textFill>
            <w14:solidFill>
              <w14:schemeClr w14:val="tx1"/>
            </w14:solidFill>
          </w14:textFill>
        </w:rPr>
        <w:t>8.9.2建议</w:t>
      </w:r>
      <w:bookmarkEnd w:id="896"/>
      <w:bookmarkEnd w:id="897"/>
      <w:bookmarkEnd w:id="898"/>
      <w:bookmarkEnd w:id="899"/>
      <w:bookmarkEnd w:id="900"/>
      <w:bookmarkEnd w:id="901"/>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（1）严格执行扬尘防治措施，降低扬尘污染。</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（2）</w:t>
      </w:r>
      <w:r>
        <w:rPr>
          <w:rFonts w:hint="eastAsia" w:ascii="Times New Roman" w:cs="Times New Roman"/>
          <w:color w:val="000000" w:themeColor="text1"/>
          <w14:textFill>
            <w14:solidFill>
              <w14:schemeClr w14:val="tx1"/>
            </w14:solidFill>
          </w14:textFill>
        </w:rPr>
        <w:t>弃方</w:t>
      </w:r>
      <w:r>
        <w:rPr>
          <w:rFonts w:ascii="Times New Roman" w:cs="Times New Roman"/>
          <w:color w:val="000000" w:themeColor="text1"/>
          <w14:textFill>
            <w14:solidFill>
              <w14:schemeClr w14:val="tx1"/>
            </w14:solidFill>
          </w14:textFill>
        </w:rPr>
        <w:t>运输尽量避开人流密集的地方。</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（3）合理选择项目弃</w:t>
      </w:r>
      <w:r>
        <w:rPr>
          <w:rFonts w:hint="eastAsia" w:ascii="Times New Roman" w:cs="Times New Roman"/>
          <w:color w:val="000000" w:themeColor="text1"/>
          <w14:textFill>
            <w14:solidFill>
              <w14:schemeClr w14:val="tx1"/>
            </w14:solidFill>
          </w14:textFill>
        </w:rPr>
        <w:t>方</w:t>
      </w:r>
      <w:r>
        <w:rPr>
          <w:rFonts w:ascii="Times New Roman" w:cs="Times New Roman"/>
          <w:color w:val="000000" w:themeColor="text1"/>
          <w14:textFill>
            <w14:solidFill>
              <w14:schemeClr w14:val="tx1"/>
            </w14:solidFill>
          </w14:textFill>
        </w:rPr>
        <w:t>去向，尽量作为区内建设项目填方，土方实现区域平衡，减少运距。</w:t>
      </w:r>
    </w:p>
    <w:p>
      <w:pPr>
        <w:pStyle w:val="76"/>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（4）淤泥经干化后采用封闭式环保土方运输车运至</w:t>
      </w:r>
      <w:r>
        <w:rPr>
          <w:rFonts w:hint="eastAsia" w:ascii="Times New Roman" w:cs="Times New Roman"/>
          <w:color w:val="000000" w:themeColor="text1"/>
          <w14:textFill>
            <w14:solidFill>
              <w14:schemeClr w14:val="tx1"/>
            </w14:solidFill>
          </w14:textFill>
        </w:rPr>
        <w:t>余土摊平处理区</w:t>
      </w:r>
      <w:r>
        <w:rPr>
          <w:rFonts w:ascii="Times New Roman" w:cs="Times New Roman"/>
          <w:color w:val="000000" w:themeColor="text1"/>
          <w14:textFill>
            <w14:solidFill>
              <w14:schemeClr w14:val="tx1"/>
            </w14:solidFill>
          </w14:textFill>
        </w:rPr>
        <w:t>填埋处置，不得随意堆弃。</w:t>
      </w:r>
    </w:p>
    <w:p>
      <w:pPr>
        <w:pStyle w:val="76"/>
        <w:spacing w:line="360" w:lineRule="auto"/>
        <w:ind w:firstLine="480" w:firstLineChars="200"/>
        <w:jc w:val="both"/>
        <w:rPr>
          <w:color w:val="000000" w:themeColor="text1"/>
          <w:sz w:val="24"/>
          <w:szCs w:val="24"/>
          <w14:textFill>
            <w14:solidFill>
              <w14:schemeClr w14:val="tx1"/>
            </w14:solidFill>
          </w14:textFill>
        </w:rPr>
      </w:pPr>
      <w:r>
        <w:rPr>
          <w:rFonts w:ascii="Times New Roman" w:cs="Times New Roman"/>
          <w:color w:val="000000" w:themeColor="text1"/>
          <w14:textFill>
            <w14:solidFill>
              <w14:schemeClr w14:val="tx1"/>
            </w14:solidFill>
          </w14:textFill>
        </w:rPr>
        <w:t>（</w:t>
      </w:r>
      <w:r>
        <w:rPr>
          <w:rFonts w:hint="eastAsia" w:ascii="Times New Roman" w:cs="Times New Roman"/>
          <w:color w:val="000000" w:themeColor="text1"/>
          <w:lang w:val="en-US" w:eastAsia="zh-CN"/>
          <w14:textFill>
            <w14:solidFill>
              <w14:schemeClr w14:val="tx1"/>
            </w14:solidFill>
          </w14:textFill>
        </w:rPr>
        <w:t>5</w:t>
      </w:r>
      <w:r>
        <w:rPr>
          <w:rFonts w:ascii="Times New Roman" w:cs="Times New Roman"/>
          <w:color w:val="000000" w:themeColor="text1"/>
          <w14:textFill>
            <w14:solidFill>
              <w14:schemeClr w14:val="tx1"/>
            </w14:solidFill>
          </w14:textFill>
        </w:rPr>
        <w:t>）</w:t>
      </w:r>
      <w:r>
        <w:rPr>
          <w:color w:val="000000" w:themeColor="text1"/>
          <w:sz w:val="24"/>
          <w:szCs w:val="24"/>
          <w14:textFill>
            <w14:solidFill>
              <w14:schemeClr w14:val="tx1"/>
            </w14:solidFill>
          </w14:textFill>
        </w:rPr>
        <w:t>避开雨季施工，控制降水流失污染。</w:t>
      </w:r>
    </w:p>
    <w:sectPr>
      <w:headerReference r:id="rId22" w:type="default"/>
      <w:pgSz w:w="11910" w:h="16840"/>
      <w:pgMar w:top="1440" w:right="1803" w:bottom="1440" w:left="1803" w:header="882" w:footer="1097"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NewRoman">
    <w:altName w:val="Times New Roman"/>
    <w:panose1 w:val="00000000000000000000"/>
    <w:charset w:val="00"/>
    <w:family w:val="roman"/>
    <w:pitch w:val="default"/>
    <w:sig w:usb0="00000000" w:usb1="00000000" w:usb2="00000000" w:usb3="00000000" w:csb0="00000001" w:csb1="00000000"/>
  </w:font>
  <w:font w:name="Calibri Light">
    <w:panose1 w:val="020F03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隶书">
    <w:altName w:val="微软雅黑"/>
    <w:panose1 w:val="02010509060101010101"/>
    <w:charset w:val="86"/>
    <w:family w:val="modern"/>
    <w:pitch w:val="default"/>
    <w:sig w:usb0="00000000" w:usb1="00000000" w:usb2="00000000" w:usb3="00000000" w:csb0="00040000" w:csb1="00000000"/>
  </w:font>
  <w:font w:name="宋">
    <w:altName w:val="宋体"/>
    <w:panose1 w:val="00000000000000000000"/>
    <w:charset w:val="86"/>
    <w:family w:val="roman"/>
    <w:pitch w:val="default"/>
    <w:sig w:usb0="00000000" w:usb1="00000000" w:usb2="00000000" w:usb3="00000000" w:csb0="00040001" w:csb1="00000000"/>
  </w:font>
  <w:font w:name="Segoe UI Symbol">
    <w:panose1 w:val="020B0502040204020203"/>
    <w:charset w:val="00"/>
    <w:family w:val="swiss"/>
    <w:pitch w:val="default"/>
    <w:sig w:usb0="800001E3" w:usb1="1200FFEF" w:usb2="00040000" w:usb3="04000000" w:csb0="00000001" w:csb1="40000000"/>
  </w:font>
  <w:font w:name="Malgun Gothic">
    <w:panose1 w:val="020B0503020000020004"/>
    <w:charset w:val="81"/>
    <w:family w:val="swiss"/>
    <w:pitch w:val="default"/>
    <w:sig w:usb0="9000002F" w:usb1="29D77CFB" w:usb2="00000012" w:usb3="00000000" w:csb0="00080001" w:csb1="00000000"/>
  </w:font>
  <w:font w:name="Helvetica">
    <w:altName w:val="Arial"/>
    <w:panose1 w:val="020B0504020202020204"/>
    <w:charset w:val="00"/>
    <w:family w:val="swiss"/>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14" w:lineRule="auto"/>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1"/>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ge">
                <wp:posOffset>9855835</wp:posOffset>
              </wp:positionV>
              <wp:extent cx="172085" cy="131445"/>
              <wp:effectExtent l="0" t="0" r="1270" b="4445"/>
              <wp:wrapNone/>
              <wp:docPr id="2" name="文本框 1057"/>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pPr>
                            <w:pStyle w:val="24"/>
                            <w:jc w:val="center"/>
                          </w:pPr>
                          <w:r>
                            <w:fldChar w:fldCharType="begin"/>
                          </w:r>
                          <w:r>
                            <w:instrText xml:space="preserve">PAGE   \* MERGEFORMAT</w:instrText>
                          </w:r>
                          <w:r>
                            <w:fldChar w:fldCharType="separate"/>
                          </w:r>
                          <w:r>
                            <w:rPr>
                              <w:lang w:val="zh-CN"/>
                            </w:rPr>
                            <w:t>170</w:t>
                          </w:r>
                          <w:r>
                            <w:fldChar w:fldCharType="end"/>
                          </w:r>
                        </w:p>
                      </w:txbxContent>
                    </wps:txbx>
                    <wps:bodyPr rot="0" vert="horz" wrap="none" lIns="0" tIns="0" rIns="0" bIns="0" anchor="t" anchorCtr="0" upright="1">
                      <a:spAutoFit/>
                    </wps:bodyPr>
                  </wps:wsp>
                </a:graphicData>
              </a:graphic>
            </wp:anchor>
          </w:drawing>
        </mc:Choice>
        <mc:Fallback>
          <w:pict>
            <v:shape id="文本框 1057" o:spid="_x0000_s1026" o:spt="202" type="#_x0000_t202" style="position:absolute;left:0pt;margin-top:776.05pt;height:10.35pt;width:13.55pt;mso-position-horizontal:center;mso-position-horizontal-relative:margin;mso-position-vertical-relative:page;mso-wrap-style:none;z-index:251665408;mso-width-relative:page;mso-height-relative:page;" filled="f" stroked="f" coordsize="21600,21600" o:gfxdata="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et0bdUAAAAJAQAADwAAAAAAAAABACAAAAAi&#10;AAAAZHJzL2Rvd25yZXYueG1sUEsBAhQAFAAAAAgAh07iQF6OChoNAgAABQQAAA4AAAAAAAAAAQAg&#10;AAAAJAEAAGRycy9lMm9Eb2MueG1sUEsFBgAAAAAGAAYAWQEAAKMFAAAAAA==&#10;">
              <v:fill on="f" focussize="0,0"/>
              <v:stroke on="f"/>
              <v:imagedata o:title=""/>
              <o:lock v:ext="edit" aspectratio="f"/>
              <v:textbox inset="0mm,0mm,0mm,0mm" style="mso-fit-shape-to-text:t;">
                <w:txbxContent>
                  <w:p>
                    <w:pPr>
                      <w:pStyle w:val="24"/>
                      <w:jc w:val="center"/>
                    </w:pPr>
                    <w:r>
                      <w:fldChar w:fldCharType="begin"/>
                    </w:r>
                    <w:r>
                      <w:instrText xml:space="preserve">PAGE   \* MERGEFORMAT</w:instrText>
                    </w:r>
                    <w:r>
                      <w:fldChar w:fldCharType="separate"/>
                    </w:r>
                    <w:r>
                      <w:rPr>
                        <w:lang w:val="zh-CN"/>
                      </w:rPr>
                      <w:t>170</w:t>
                    </w:r>
                    <w:r>
                      <w:fldChar w:fldCharType="end"/>
                    </w:r>
                  </w:p>
                </w:txbxContent>
              </v:textbox>
            </v:shape>
          </w:pict>
        </mc:Fallback>
      </mc:AlternateContent>
    </w:r>
  </w:p>
  <w:p>
    <w:pPr>
      <w:spacing w:line="10" w:lineRule="exact"/>
      <w:rPr>
        <w:sz w:val="1"/>
        <w:szCs w:val="1"/>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14" w:lineRule="auto"/>
      <w:rPr>
        <w:sz w:val="20"/>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ge">
                <wp:posOffset>9855835</wp:posOffset>
              </wp:positionV>
              <wp:extent cx="330200" cy="152400"/>
              <wp:effectExtent l="1905" t="0" r="1270" b="2540"/>
              <wp:wrapNone/>
              <wp:docPr id="1" name="文本框 1025"/>
              <wp:cNvGraphicFramePr/>
              <a:graphic xmlns:a="http://schemas.openxmlformats.org/drawingml/2006/main">
                <a:graphicData uri="http://schemas.microsoft.com/office/word/2010/wordprocessingShape">
                  <wps:wsp>
                    <wps:cNvSpPr txBox="1">
                      <a:spLocks noChangeArrowheads="1"/>
                    </wps:cNvSpPr>
                    <wps:spPr bwMode="auto">
                      <a:xfrm>
                        <a:off x="0" y="0"/>
                        <a:ext cx="330200" cy="152400"/>
                      </a:xfrm>
                      <a:prstGeom prst="rect">
                        <a:avLst/>
                      </a:prstGeom>
                      <a:noFill/>
                      <a:ln>
                        <a:noFill/>
                      </a:ln>
                    </wps:spPr>
                    <wps:txbx>
                      <w:txbxContent>
                        <w:p>
                          <w:pPr>
                            <w:spacing w:before="12"/>
                            <w:ind w:left="20"/>
                            <w:rPr>
                              <w:sz w:val="18"/>
                            </w:rPr>
                          </w:pPr>
                          <w:r>
                            <w:rPr>
                              <w:sz w:val="18"/>
                            </w:rPr>
                            <w:t>-</w:t>
                          </w:r>
                          <w:r>
                            <w:fldChar w:fldCharType="begin"/>
                          </w:r>
                          <w:r>
                            <w:rPr>
                              <w:sz w:val="18"/>
                            </w:rPr>
                            <w:instrText xml:space="preserve"> PAGE </w:instrText>
                          </w:r>
                          <w:r>
                            <w:fldChar w:fldCharType="separate"/>
                          </w:r>
                          <w:r>
                            <w:rPr>
                              <w:sz w:val="18"/>
                            </w:rPr>
                            <w:t>180</w:t>
                          </w:r>
                          <w:r>
                            <w:fldChar w:fldCharType="end"/>
                          </w:r>
                          <w:r>
                            <w:rPr>
                              <w:sz w:val="18"/>
                            </w:rPr>
                            <w:t>-</w:t>
                          </w:r>
                        </w:p>
                      </w:txbxContent>
                    </wps:txbx>
                    <wps:bodyPr rot="0" vert="horz" wrap="square" lIns="0" tIns="0" rIns="0" bIns="0" anchor="t" anchorCtr="0" upright="1">
                      <a:noAutofit/>
                    </wps:bodyPr>
                  </wps:wsp>
                </a:graphicData>
              </a:graphic>
            </wp:anchor>
          </w:drawing>
        </mc:Choice>
        <mc:Fallback>
          <w:pict>
            <v:shape id="文本框 1025" o:spid="_x0000_s1026" o:spt="202" type="#_x0000_t202" style="position:absolute;left:0pt;margin-top:776.05pt;height:12pt;width:26pt;mso-position-horizontal:center;mso-position-horizontal-relative:margin;mso-position-vertical-relative:page;z-index:251664384;mso-width-relative:page;mso-height-relative:page;" filled="f" stroked="f" coordsize="21600,21600" o:gfxdata="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DW8K9YAAAAJAQAADwAAAAAAAAABACAAAAAi&#10;AAAAZHJzL2Rvd25yZXYueG1sUEsBAhQAFAAAAAgAh07iQOcTsygMAgAABwQAAA4AAAAAAAAAAQAg&#10;AAAAJQEAAGRycy9lMm9Eb2MueG1sUEsFBgAAAAAGAAYAWQEAAKMFAAAAAA==&#10;">
              <v:fill on="f" focussize="0,0"/>
              <v:stroke on="f"/>
              <v:imagedata o:title=""/>
              <o:lock v:ext="edit" aspectratio="f"/>
              <v:textbox inset="0mm,0mm,0mm,0mm">
                <w:txbxContent>
                  <w:p>
                    <w:pPr>
                      <w:spacing w:before="12"/>
                      <w:ind w:left="20"/>
                      <w:rPr>
                        <w:sz w:val="18"/>
                      </w:rPr>
                    </w:pPr>
                    <w:r>
                      <w:rPr>
                        <w:sz w:val="18"/>
                      </w:rPr>
                      <w:t>-</w:t>
                    </w:r>
                    <w:r>
                      <w:fldChar w:fldCharType="begin"/>
                    </w:r>
                    <w:r>
                      <w:rPr>
                        <w:sz w:val="18"/>
                      </w:rPr>
                      <w:instrText xml:space="preserve"> PAGE </w:instrText>
                    </w:r>
                    <w:r>
                      <w:fldChar w:fldCharType="separate"/>
                    </w:r>
                    <w:r>
                      <w:rPr>
                        <w:sz w:val="18"/>
                      </w:rPr>
                      <w:t>180</w:t>
                    </w:r>
                    <w:r>
                      <w:fldChar w:fldCharType="end"/>
                    </w:r>
                    <w:r>
                      <w:rPr>
                        <w:sz w:val="18"/>
                      </w:rPr>
                      <w: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14" w:lineRule="auto"/>
      <w:rPr>
        <w:sz w:val="20"/>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ge">
                <wp:posOffset>9855835</wp:posOffset>
              </wp:positionV>
              <wp:extent cx="272415" cy="152400"/>
              <wp:effectExtent l="1905" t="0" r="1905" b="2540"/>
              <wp:wrapNone/>
              <wp:docPr id="7" name="文本框 1055"/>
              <wp:cNvGraphicFramePr/>
              <a:graphic xmlns:a="http://schemas.openxmlformats.org/drawingml/2006/main">
                <a:graphicData uri="http://schemas.microsoft.com/office/word/2010/wordprocessingShape">
                  <wps:wsp>
                    <wps:cNvSpPr txBox="1">
                      <a:spLocks noChangeArrowheads="1"/>
                    </wps:cNvSpPr>
                    <wps:spPr bwMode="auto">
                      <a:xfrm>
                        <a:off x="0" y="0"/>
                        <a:ext cx="272415" cy="152400"/>
                      </a:xfrm>
                      <a:prstGeom prst="rect">
                        <a:avLst/>
                      </a:prstGeom>
                      <a:noFill/>
                      <a:ln>
                        <a:noFill/>
                      </a:ln>
                    </wps:spPr>
                    <wps:txbx>
                      <w:txbxContent>
                        <w:p>
                          <w:pPr>
                            <w:spacing w:before="12"/>
                            <w:ind w:left="20"/>
                            <w:rPr>
                              <w:sz w:val="18"/>
                            </w:rPr>
                          </w:pPr>
                          <w:r>
                            <w:rPr>
                              <w:sz w:val="18"/>
                            </w:rPr>
                            <w:t>-</w:t>
                          </w:r>
                          <w:r>
                            <w:fldChar w:fldCharType="begin"/>
                          </w:r>
                          <w:r>
                            <w:rPr>
                              <w:sz w:val="18"/>
                            </w:rPr>
                            <w:instrText xml:space="preserve"> PAGE </w:instrText>
                          </w:r>
                          <w:r>
                            <w:fldChar w:fldCharType="separate"/>
                          </w:r>
                          <w:r>
                            <w:rPr>
                              <w:sz w:val="18"/>
                            </w:rPr>
                            <w:t>64</w:t>
                          </w:r>
                          <w:r>
                            <w:fldChar w:fldCharType="end"/>
                          </w:r>
                          <w:r>
                            <w:rPr>
                              <w:sz w:val="18"/>
                            </w:rPr>
                            <w:t>-</w:t>
                          </w:r>
                        </w:p>
                      </w:txbxContent>
                    </wps:txbx>
                    <wps:bodyPr rot="0" vert="horz" wrap="square" lIns="0" tIns="0" rIns="0" bIns="0" anchor="t" anchorCtr="0" upright="1">
                      <a:noAutofit/>
                    </wps:bodyPr>
                  </wps:wsp>
                </a:graphicData>
              </a:graphic>
            </wp:anchor>
          </w:drawing>
        </mc:Choice>
        <mc:Fallback>
          <w:pict>
            <v:shape id="文本框 1055" o:spid="_x0000_s1026" o:spt="202" type="#_x0000_t202" style="position:absolute;left:0pt;margin-top:776.05pt;height:12pt;width:21.45pt;mso-position-horizontal:center;mso-position-horizontal-relative:margin;mso-position-vertical-relative:page;z-index:251662336;mso-width-relative:page;mso-height-relative:page;" filled="f" stroked="f" coordsize="21600,21600" o:gfxdata="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XwYDo1wAAAAkBAAAPAAAAAAAAAAEA&#10;IAAAACIAAABkcnMvZG93bnJldi54bWxQSwECFAAUAAAACACHTuJAZ13VwhACAAAHBAAADgAAAAAA&#10;AAABACAAAAAmAQAAZHJzL2Uyb0RvYy54bWxQSwUGAAAAAAYABgBZAQAAqAUAAAAA&#10;">
              <v:fill on="f" focussize="0,0"/>
              <v:stroke on="f"/>
              <v:imagedata o:title=""/>
              <o:lock v:ext="edit" aspectratio="f"/>
              <v:textbox inset="0mm,0mm,0mm,0mm">
                <w:txbxContent>
                  <w:p>
                    <w:pPr>
                      <w:spacing w:before="12"/>
                      <w:ind w:left="20"/>
                      <w:rPr>
                        <w:sz w:val="18"/>
                      </w:rPr>
                    </w:pPr>
                    <w:r>
                      <w:rPr>
                        <w:sz w:val="18"/>
                      </w:rPr>
                      <w:t>-</w:t>
                    </w:r>
                    <w:r>
                      <w:fldChar w:fldCharType="begin"/>
                    </w:r>
                    <w:r>
                      <w:rPr>
                        <w:sz w:val="18"/>
                      </w:rPr>
                      <w:instrText xml:space="preserve"> PAGE </w:instrText>
                    </w:r>
                    <w:r>
                      <w:fldChar w:fldCharType="separate"/>
                    </w:r>
                    <w:r>
                      <w:rPr>
                        <w:sz w:val="18"/>
                      </w:rPr>
                      <w:t>64</w:t>
                    </w:r>
                    <w:r>
                      <w:fldChar w:fldCharType="end"/>
                    </w:r>
                    <w:r>
                      <w:rPr>
                        <w:sz w:val="1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14" w:lineRule="auto"/>
      <w:rPr>
        <w:sz w:val="20"/>
      </w:rPr>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ge">
                <wp:posOffset>9855835</wp:posOffset>
              </wp:positionV>
              <wp:extent cx="272415" cy="152400"/>
              <wp:effectExtent l="0" t="0" r="0" b="0"/>
              <wp:wrapNone/>
              <wp:docPr id="28" name="文本框 1055"/>
              <wp:cNvGraphicFramePr/>
              <a:graphic xmlns:a="http://schemas.openxmlformats.org/drawingml/2006/main">
                <a:graphicData uri="http://schemas.microsoft.com/office/word/2010/wordprocessingShape">
                  <wps:wsp>
                    <wps:cNvSpPr txBox="1">
                      <a:spLocks noChangeArrowheads="1"/>
                    </wps:cNvSpPr>
                    <wps:spPr bwMode="auto">
                      <a:xfrm>
                        <a:off x="0" y="0"/>
                        <a:ext cx="272415" cy="152400"/>
                      </a:xfrm>
                      <a:prstGeom prst="rect">
                        <a:avLst/>
                      </a:prstGeom>
                      <a:noFill/>
                      <a:ln>
                        <a:noFill/>
                      </a:ln>
                    </wps:spPr>
                    <wps:txbx>
                      <w:txbxContent>
                        <w:p>
                          <w:pPr>
                            <w:spacing w:before="12"/>
                            <w:ind w:left="20"/>
                            <w:rPr>
                              <w:sz w:val="18"/>
                            </w:rPr>
                          </w:pPr>
                          <w:r>
                            <w:rPr>
                              <w:sz w:val="18"/>
                            </w:rPr>
                            <w:t>-</w:t>
                          </w:r>
                          <w:r>
                            <w:fldChar w:fldCharType="begin"/>
                          </w:r>
                          <w:r>
                            <w:rPr>
                              <w:sz w:val="18"/>
                            </w:rPr>
                            <w:instrText xml:space="preserve"> PAGE </w:instrText>
                          </w:r>
                          <w:r>
                            <w:fldChar w:fldCharType="separate"/>
                          </w:r>
                          <w:r>
                            <w:rPr>
                              <w:sz w:val="18"/>
                            </w:rPr>
                            <w:t>64</w:t>
                          </w:r>
                          <w:r>
                            <w:fldChar w:fldCharType="end"/>
                          </w:r>
                          <w:r>
                            <w:rPr>
                              <w:sz w:val="18"/>
                            </w:rPr>
                            <w:t>-</w:t>
                          </w:r>
                        </w:p>
                      </w:txbxContent>
                    </wps:txbx>
                    <wps:bodyPr rot="0" vert="horz" wrap="square" lIns="0" tIns="0" rIns="0" bIns="0" anchor="t" anchorCtr="0" upright="1">
                      <a:noAutofit/>
                    </wps:bodyPr>
                  </wps:wsp>
                </a:graphicData>
              </a:graphic>
            </wp:anchor>
          </w:drawing>
        </mc:Choice>
        <mc:Fallback>
          <w:pict>
            <v:shape id="文本框 1055" o:spid="_x0000_s1026" o:spt="202" type="#_x0000_t202" style="position:absolute;left:0pt;margin-top:776.05pt;height:12pt;width:21.45pt;mso-position-horizontal:center;mso-position-horizontal-relative:margin;mso-position-vertical-relative:page;z-index:251668480;mso-width-relative:page;mso-height-relative:page;" filled="f" stroked="f" coordsize="21600,21600" o:gfxdata="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XwYDo1wAAAAkBAAAPAAAAAAAAAAEA&#10;IAAAACIAAABkcnMvZG93bnJldi54bWxQSwECFAAUAAAACACHTuJA90m/RhACAAAIBAAADgAAAAAA&#10;AAABACAAAAAmAQAAZHJzL2Uyb0RvYy54bWxQSwUGAAAAAAYABgBZAQAAqAUAAAAA&#10;">
              <v:fill on="f" focussize="0,0"/>
              <v:stroke on="f"/>
              <v:imagedata o:title=""/>
              <o:lock v:ext="edit" aspectratio="f"/>
              <v:textbox inset="0mm,0mm,0mm,0mm">
                <w:txbxContent>
                  <w:p>
                    <w:pPr>
                      <w:spacing w:before="12"/>
                      <w:ind w:left="20"/>
                      <w:rPr>
                        <w:sz w:val="18"/>
                      </w:rPr>
                    </w:pPr>
                    <w:r>
                      <w:rPr>
                        <w:sz w:val="18"/>
                      </w:rPr>
                      <w:t>-</w:t>
                    </w:r>
                    <w:r>
                      <w:fldChar w:fldCharType="begin"/>
                    </w:r>
                    <w:r>
                      <w:rPr>
                        <w:sz w:val="18"/>
                      </w:rPr>
                      <w:instrText xml:space="preserve"> PAGE </w:instrText>
                    </w:r>
                    <w:r>
                      <w:fldChar w:fldCharType="separate"/>
                    </w:r>
                    <w:r>
                      <w:rPr>
                        <w:sz w:val="18"/>
                      </w:rPr>
                      <w:t>64</w:t>
                    </w:r>
                    <w:r>
                      <w:fldChar w:fldCharType="end"/>
                    </w:r>
                    <w:r>
                      <w:rPr>
                        <w:sz w:val="1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14" w:lineRule="auto"/>
      <w:rPr>
        <w:sz w:val="20"/>
      </w:rPr>
    </w:pPr>
    <w:r>
      <w:rPr>
        <w:sz w:val="20"/>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fz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GLfzszAgAAZQQAAA4AAAAAAAAAAQAgAAAAHwEAAGRycy9lMm9Eb2MueG1sUEsF&#10;BgAAAAAGAAYAWQEAAMQFA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14" w:lineRule="auto"/>
      <w:rPr>
        <w:sz w:val="20"/>
      </w:rPr>
    </w:pPr>
    <w: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ge">
                <wp:posOffset>9855835</wp:posOffset>
              </wp:positionV>
              <wp:extent cx="272415" cy="152400"/>
              <wp:effectExtent l="0" t="0" r="0" b="0"/>
              <wp:wrapNone/>
              <wp:docPr id="129" name="文本框 1055"/>
              <wp:cNvGraphicFramePr/>
              <a:graphic xmlns:a="http://schemas.openxmlformats.org/drawingml/2006/main">
                <a:graphicData uri="http://schemas.microsoft.com/office/word/2010/wordprocessingShape">
                  <wps:wsp>
                    <wps:cNvSpPr txBox="1">
                      <a:spLocks noChangeArrowheads="1"/>
                    </wps:cNvSpPr>
                    <wps:spPr bwMode="auto">
                      <a:xfrm>
                        <a:off x="0" y="0"/>
                        <a:ext cx="272415" cy="152400"/>
                      </a:xfrm>
                      <a:prstGeom prst="rect">
                        <a:avLst/>
                      </a:prstGeom>
                      <a:noFill/>
                      <a:ln>
                        <a:noFill/>
                      </a:ln>
                    </wps:spPr>
                    <wps:txbx>
                      <w:txbxContent>
                        <w:p>
                          <w:pPr>
                            <w:spacing w:before="12"/>
                            <w:ind w:left="20"/>
                            <w:rPr>
                              <w:sz w:val="18"/>
                            </w:rPr>
                          </w:pPr>
                          <w:r>
                            <w:rPr>
                              <w:sz w:val="18"/>
                            </w:rPr>
                            <w:t>-</w:t>
                          </w:r>
                          <w:r>
                            <w:fldChar w:fldCharType="begin"/>
                          </w:r>
                          <w:r>
                            <w:rPr>
                              <w:sz w:val="18"/>
                            </w:rPr>
                            <w:instrText xml:space="preserve"> PAGE </w:instrText>
                          </w:r>
                          <w:r>
                            <w:fldChar w:fldCharType="separate"/>
                          </w:r>
                          <w:r>
                            <w:rPr>
                              <w:sz w:val="18"/>
                            </w:rPr>
                            <w:t>64</w:t>
                          </w:r>
                          <w:r>
                            <w:fldChar w:fldCharType="end"/>
                          </w:r>
                          <w:r>
                            <w:rPr>
                              <w:sz w:val="18"/>
                            </w:rPr>
                            <w:t>-</w:t>
                          </w:r>
                        </w:p>
                      </w:txbxContent>
                    </wps:txbx>
                    <wps:bodyPr rot="0" vert="horz" wrap="square" lIns="0" tIns="0" rIns="0" bIns="0" anchor="t" anchorCtr="0" upright="1">
                      <a:noAutofit/>
                    </wps:bodyPr>
                  </wps:wsp>
                </a:graphicData>
              </a:graphic>
            </wp:anchor>
          </w:drawing>
        </mc:Choice>
        <mc:Fallback>
          <w:pict>
            <v:shape id="文本框 1055" o:spid="_x0000_s1026" o:spt="202" type="#_x0000_t202" style="position:absolute;left:0pt;margin-top:776.05pt;height:12pt;width:21.45pt;mso-position-horizontal:center;mso-position-horizontal-relative:margin;mso-position-vertical-relative:page;z-index:251688960;mso-width-relative:page;mso-height-relative:page;" filled="f" stroked="f" coordsize="21600,21600" o:gfxdata="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XwYDo1wAAAAkBAAAPAAAAAAAAAAEA&#10;IAAAACIAAABkcnMvZG93bnJldi54bWxQSwECFAAUAAAACACHTuJAG9pqyRACAAAJBAAADgAAAAAA&#10;AAABACAAAAAmAQAAZHJzL2Uyb0RvYy54bWxQSwUGAAAAAAYABgBZAQAAqAUAAAAA&#10;">
              <v:fill on="f" focussize="0,0"/>
              <v:stroke on="f"/>
              <v:imagedata o:title=""/>
              <o:lock v:ext="edit" aspectratio="f"/>
              <v:textbox inset="0mm,0mm,0mm,0mm">
                <w:txbxContent>
                  <w:p>
                    <w:pPr>
                      <w:spacing w:before="12"/>
                      <w:ind w:left="20"/>
                      <w:rPr>
                        <w:sz w:val="18"/>
                      </w:rPr>
                    </w:pPr>
                    <w:r>
                      <w:rPr>
                        <w:sz w:val="18"/>
                      </w:rPr>
                      <w:t>-</w:t>
                    </w:r>
                    <w:r>
                      <w:fldChar w:fldCharType="begin"/>
                    </w:r>
                    <w:r>
                      <w:rPr>
                        <w:sz w:val="18"/>
                      </w:rPr>
                      <w:instrText xml:space="preserve"> PAGE </w:instrText>
                    </w:r>
                    <w:r>
                      <w:fldChar w:fldCharType="separate"/>
                    </w:r>
                    <w:r>
                      <w:rPr>
                        <w:sz w:val="18"/>
                      </w:rPr>
                      <w:t>64</w:t>
                    </w:r>
                    <w:r>
                      <w:fldChar w:fldCharType="end"/>
                    </w:r>
                    <w:r>
                      <w:rPr>
                        <w:sz w:val="1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sz w:val="20"/>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ge">
                <wp:posOffset>9855835</wp:posOffset>
              </wp:positionV>
              <wp:extent cx="272415" cy="152400"/>
              <wp:effectExtent l="1905" t="0" r="1905" b="2540"/>
              <wp:wrapNone/>
              <wp:docPr id="6" name="文本框 1047"/>
              <wp:cNvGraphicFramePr/>
              <a:graphic xmlns:a="http://schemas.openxmlformats.org/drawingml/2006/main">
                <a:graphicData uri="http://schemas.microsoft.com/office/word/2010/wordprocessingShape">
                  <wps:wsp>
                    <wps:cNvSpPr txBox="1">
                      <a:spLocks noChangeArrowheads="1"/>
                    </wps:cNvSpPr>
                    <wps:spPr bwMode="auto">
                      <a:xfrm>
                        <a:off x="0" y="0"/>
                        <a:ext cx="272415" cy="152400"/>
                      </a:xfrm>
                      <a:prstGeom prst="rect">
                        <a:avLst/>
                      </a:prstGeom>
                      <a:noFill/>
                      <a:ln>
                        <a:noFill/>
                      </a:ln>
                    </wps:spPr>
                    <wps:txbx>
                      <w:txbxContent>
                        <w:p>
                          <w:pPr>
                            <w:spacing w:before="12"/>
                            <w:ind w:left="20"/>
                            <w:rPr>
                              <w:sz w:val="18"/>
                            </w:rPr>
                          </w:pPr>
                          <w:r>
                            <w:rPr>
                              <w:sz w:val="18"/>
                            </w:rPr>
                            <w:t>-</w:t>
                          </w:r>
                          <w:r>
                            <w:fldChar w:fldCharType="begin"/>
                          </w:r>
                          <w:r>
                            <w:rPr>
                              <w:sz w:val="18"/>
                            </w:rPr>
                            <w:instrText xml:space="preserve"> PAGE </w:instrText>
                          </w:r>
                          <w:r>
                            <w:fldChar w:fldCharType="separate"/>
                          </w:r>
                          <w:r>
                            <w:rPr>
                              <w:sz w:val="18"/>
                            </w:rPr>
                            <w:t>113</w:t>
                          </w:r>
                          <w:r>
                            <w:fldChar w:fldCharType="end"/>
                          </w:r>
                          <w:r>
                            <w:rPr>
                              <w:sz w:val="18"/>
                            </w:rPr>
                            <w:t>-</w:t>
                          </w:r>
                        </w:p>
                      </w:txbxContent>
                    </wps:txbx>
                    <wps:bodyPr rot="0" vert="horz" wrap="square" lIns="0" tIns="0" rIns="0" bIns="0" anchor="t" anchorCtr="0" upright="1">
                      <a:noAutofit/>
                    </wps:bodyPr>
                  </wps:wsp>
                </a:graphicData>
              </a:graphic>
            </wp:anchor>
          </w:drawing>
        </mc:Choice>
        <mc:Fallback>
          <w:pict>
            <v:shape id="文本框 1047" o:spid="_x0000_s1026" o:spt="202" type="#_x0000_t202" style="position:absolute;left:0pt;margin-top:776.05pt;height:12pt;width:21.45pt;mso-position-horizontal:center;mso-position-horizontal-relative:margin;mso-position-vertical-relative:page;z-index:251661312;mso-width-relative:page;mso-height-relative:page;" filled="f" stroked="f" coordsize="21600,21600" o:gfxdata="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XwYDo1wAAAAkBAAAPAAAAAAAAAAEA&#10;IAAAACIAAABkcnMvZG93bnJldi54bWxQSwECFAAUAAAACACHTuJAtgDLvxACAAAHBAAADgAAAAAA&#10;AAABACAAAAAmAQAAZHJzL2Uyb0RvYy54bWxQSwUGAAAAAAYABgBZAQAAqAUAAAAA&#10;">
              <v:fill on="f" focussize="0,0"/>
              <v:stroke on="f"/>
              <v:imagedata o:title=""/>
              <o:lock v:ext="edit" aspectratio="f"/>
              <v:textbox inset="0mm,0mm,0mm,0mm">
                <w:txbxContent>
                  <w:p>
                    <w:pPr>
                      <w:spacing w:before="12"/>
                      <w:ind w:left="20"/>
                      <w:rPr>
                        <w:sz w:val="18"/>
                      </w:rPr>
                    </w:pPr>
                    <w:r>
                      <w:rPr>
                        <w:sz w:val="18"/>
                      </w:rPr>
                      <w:t>-</w:t>
                    </w:r>
                    <w:r>
                      <w:fldChar w:fldCharType="begin"/>
                    </w:r>
                    <w:r>
                      <w:rPr>
                        <w:sz w:val="18"/>
                      </w:rPr>
                      <w:instrText xml:space="preserve"> PAGE </w:instrText>
                    </w:r>
                    <w:r>
                      <w:fldChar w:fldCharType="separate"/>
                    </w:r>
                    <w:r>
                      <w:rPr>
                        <w:sz w:val="18"/>
                      </w:rPr>
                      <w:t>113</w:t>
                    </w:r>
                    <w:r>
                      <w:fldChar w:fldCharType="end"/>
                    </w:r>
                    <w:r>
                      <w:rPr>
                        <w:sz w:val="18"/>
                      </w:rPr>
                      <w:t>-</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1"/>
      <w:jc w:val="center"/>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ge">
                <wp:posOffset>9855835</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595792968"/>
                          </w:sdtPr>
                          <w:sdtContent>
                            <w:p>
                              <w:pPr>
                                <w:pStyle w:val="24"/>
                                <w:ind w:firstLine="361"/>
                                <w:jc w:val="center"/>
                              </w:pPr>
                              <w:r>
                                <w:fldChar w:fldCharType="begin"/>
                              </w:r>
                              <w:r>
                                <w:instrText xml:space="preserve">PAGE   \* MERGEFORMAT</w:instrText>
                              </w:r>
                              <w:r>
                                <w:fldChar w:fldCharType="separate"/>
                              </w:r>
                              <w:r>
                                <w:rPr>
                                  <w:lang w:val="zh-CN"/>
                                </w:rPr>
                                <w:t>153</w:t>
                              </w:r>
                              <w:r>
                                <w:fldChar w:fldCharType="end"/>
                              </w:r>
                            </w:p>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776.05pt;height:144pt;width:144pt;mso-position-horizontal:center;mso-position-horizontal-relative:margin;mso-position-vertical-relative:page;mso-wrap-style:none;z-index:251669504;mso-width-relative:page;mso-height-relative:page;" filled="f" stroked="f" coordsize="21600,21600" o:gfxdata="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PqcY+nWAAAACgEAAA8AAAAAAAAAAQAgAAAAIgAAAGRycy9kb3ducmV2LnhtbFBLAQIUABQA&#10;AAAIAIdO4kAUalOoKwIAAFcEAAAOAAAAAAAAAAEAIAAAACUBAABkcnMvZTJvRG9jLnhtbFBLBQYA&#10;AAAABgAGAFkBAADCBQAAAAA=&#10;">
              <v:fill on="f" focussize="0,0"/>
              <v:stroke on="f" weight="0.5pt"/>
              <v:imagedata o:title=""/>
              <o:lock v:ext="edit" aspectratio="f"/>
              <v:textbox inset="0mm,0mm,0mm,0mm" style="mso-fit-shape-to-text:t;">
                <w:txbxContent>
                  <w:sdt>
                    <w:sdtPr>
                      <w:id w:val="-595792968"/>
                    </w:sdtPr>
                    <w:sdtContent>
                      <w:p>
                        <w:pPr>
                          <w:pStyle w:val="24"/>
                          <w:ind w:firstLine="361"/>
                          <w:jc w:val="center"/>
                        </w:pPr>
                        <w:r>
                          <w:fldChar w:fldCharType="begin"/>
                        </w:r>
                        <w:r>
                          <w:instrText xml:space="preserve">PAGE   \* MERGEFORMAT</w:instrText>
                        </w:r>
                        <w:r>
                          <w:fldChar w:fldCharType="separate"/>
                        </w:r>
                        <w:r>
                          <w:rPr>
                            <w:lang w:val="zh-CN"/>
                          </w:rPr>
                          <w:t>153</w:t>
                        </w:r>
                        <w:r>
                          <w:fldChar w:fldCharType="end"/>
                        </w:r>
                      </w:p>
                    </w:sdtContent>
                  </w:sdt>
                  <w:p/>
                </w:txbxContent>
              </v:textbox>
            </v:shape>
          </w:pict>
        </mc:Fallback>
      </mc:AlternateContent>
    </w:r>
  </w:p>
  <w:p>
    <w:pPr>
      <w:pStyle w:val="14"/>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1"/>
      <w:jc w:val="cente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ge">
                <wp:posOffset>9855835</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549663693"/>
                          </w:sdtPr>
                          <w:sdtContent>
                            <w:p>
                              <w:pPr>
                                <w:pStyle w:val="24"/>
                                <w:ind w:firstLine="361"/>
                                <w:jc w:val="center"/>
                              </w:pPr>
                              <w:r>
                                <w:fldChar w:fldCharType="begin"/>
                              </w:r>
                              <w:r>
                                <w:instrText xml:space="preserve">PAGE   \* MERGEFORMAT</w:instrText>
                              </w:r>
                              <w:r>
                                <w:fldChar w:fldCharType="separate"/>
                              </w:r>
                              <w:r>
                                <w:rPr>
                                  <w:lang w:val="zh-CN"/>
                                </w:rPr>
                                <w:t>141</w:t>
                              </w:r>
                              <w:r>
                                <w:fldChar w:fldCharType="end"/>
                              </w:r>
                            </w:p>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776.05pt;height:144pt;width:144pt;mso-position-horizontal:center;mso-position-horizontal-relative:margin;mso-position-vertical-relative:page;mso-wrap-style:none;z-index:251670528;mso-width-relative:page;mso-height-relative:page;" filled="f" stroked="f" coordsize="21600,21600" o:gfxdata="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6nGPp1gAAAAoBAAAPAAAAAAAAAAEAIAAAACIAAABkcnMvZG93bnJldi54bWxQSwECFAAU&#10;AAAACACHTuJADYyasiwCAABXBAAADgAAAAAAAAABACAAAAAlAQAAZHJzL2Uyb0RvYy54bWxQSwUG&#10;AAAAAAYABgBZAQAAwwUAAAAA&#10;">
              <v:fill on="f" focussize="0,0"/>
              <v:stroke on="f" weight="0.5pt"/>
              <v:imagedata o:title=""/>
              <o:lock v:ext="edit" aspectratio="f"/>
              <v:textbox inset="0mm,0mm,0mm,0mm" style="mso-fit-shape-to-text:t;">
                <w:txbxContent>
                  <w:sdt>
                    <w:sdtPr>
                      <w:id w:val="549663693"/>
                    </w:sdtPr>
                    <w:sdtContent>
                      <w:p>
                        <w:pPr>
                          <w:pStyle w:val="24"/>
                          <w:ind w:firstLine="361"/>
                          <w:jc w:val="center"/>
                        </w:pPr>
                        <w:r>
                          <w:fldChar w:fldCharType="begin"/>
                        </w:r>
                        <w:r>
                          <w:instrText xml:space="preserve">PAGE   \* MERGEFORMAT</w:instrText>
                        </w:r>
                        <w:r>
                          <w:fldChar w:fldCharType="separate"/>
                        </w:r>
                        <w:r>
                          <w:rPr>
                            <w:lang w:val="zh-CN"/>
                          </w:rPr>
                          <w:t>141</w:t>
                        </w:r>
                        <w:r>
                          <w:fldChar w:fldCharType="end"/>
                        </w:r>
                      </w:p>
                    </w:sdtContent>
                  </w:sdt>
                  <w:p/>
                </w:txbxContent>
              </v:textbox>
            </v:shape>
          </w:pict>
        </mc:Fallback>
      </mc:AlternateContent>
    </w:r>
  </w:p>
  <w:p>
    <w:pPr>
      <w:pStyle w:val="14"/>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14" w:lineRule="auto"/>
      <w:rPr>
        <w:sz w:val="20"/>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ge">
                <wp:posOffset>9855835</wp:posOffset>
              </wp:positionV>
              <wp:extent cx="330200" cy="152400"/>
              <wp:effectExtent l="1905" t="0" r="1270" b="2540"/>
              <wp:wrapNone/>
              <wp:docPr id="3" name="文本框 1027"/>
              <wp:cNvGraphicFramePr/>
              <a:graphic xmlns:a="http://schemas.openxmlformats.org/drawingml/2006/main">
                <a:graphicData uri="http://schemas.microsoft.com/office/word/2010/wordprocessingShape">
                  <wps:wsp>
                    <wps:cNvSpPr txBox="1">
                      <a:spLocks noChangeArrowheads="1"/>
                    </wps:cNvSpPr>
                    <wps:spPr bwMode="auto">
                      <a:xfrm>
                        <a:off x="0" y="0"/>
                        <a:ext cx="330200" cy="152400"/>
                      </a:xfrm>
                      <a:prstGeom prst="rect">
                        <a:avLst/>
                      </a:prstGeom>
                      <a:noFill/>
                      <a:ln>
                        <a:noFill/>
                      </a:ln>
                    </wps:spPr>
                    <wps:txbx>
                      <w:txbxContent>
                        <w:p>
                          <w:pPr>
                            <w:spacing w:before="12"/>
                            <w:ind w:left="20"/>
                            <w:rPr>
                              <w:sz w:val="18"/>
                            </w:rPr>
                          </w:pPr>
                          <w:r>
                            <w:rPr>
                              <w:sz w:val="18"/>
                            </w:rPr>
                            <w:t>-</w:t>
                          </w:r>
                          <w:r>
                            <w:fldChar w:fldCharType="begin"/>
                          </w:r>
                          <w:r>
                            <w:rPr>
                              <w:sz w:val="18"/>
                            </w:rPr>
                            <w:instrText xml:space="preserve"> PAGE </w:instrText>
                          </w:r>
                          <w:r>
                            <w:fldChar w:fldCharType="separate"/>
                          </w:r>
                          <w:r>
                            <w:rPr>
                              <w:sz w:val="18"/>
                            </w:rPr>
                            <w:t>168</w:t>
                          </w:r>
                          <w:r>
                            <w:fldChar w:fldCharType="end"/>
                          </w:r>
                          <w:r>
                            <w:rPr>
                              <w:sz w:val="18"/>
                            </w:rPr>
                            <w:t>-</w:t>
                          </w:r>
                        </w:p>
                      </w:txbxContent>
                    </wps:txbx>
                    <wps:bodyPr rot="0" vert="horz" wrap="square" lIns="0" tIns="0" rIns="0" bIns="0" anchor="t" anchorCtr="0" upright="1">
                      <a:noAutofit/>
                    </wps:bodyPr>
                  </wps:wsp>
                </a:graphicData>
              </a:graphic>
            </wp:anchor>
          </w:drawing>
        </mc:Choice>
        <mc:Fallback>
          <w:pict>
            <v:shape id="文本框 1027" o:spid="_x0000_s1026" o:spt="202" type="#_x0000_t202" style="position:absolute;left:0pt;margin-top:776.05pt;height:12pt;width:26pt;mso-position-horizontal:center;mso-position-horizontal-relative:margin;mso-position-vertical-relative:page;z-index:251663360;mso-width-relative:page;mso-height-relative:page;" filled="f" stroked="f" coordsize="21600,21600" o:gfxdata="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A1vCvWAAAACQEAAA8AAAAAAAAAAQAgAAAA&#10;IgAAAGRycy9kb3ducmV2LnhtbFBLAQIUABQAAAAIAIdO4kBLbQU9DQIAAAcEAAAOAAAAAAAAAAEA&#10;IAAAACUBAABkcnMvZTJvRG9jLnhtbFBLBQYAAAAABgAGAFkBAACkBQAAAAA=&#10;">
              <v:fill on="f" focussize="0,0"/>
              <v:stroke on="f"/>
              <v:imagedata o:title=""/>
              <o:lock v:ext="edit" aspectratio="f"/>
              <v:textbox inset="0mm,0mm,0mm,0mm">
                <w:txbxContent>
                  <w:p>
                    <w:pPr>
                      <w:spacing w:before="12"/>
                      <w:ind w:left="20"/>
                      <w:rPr>
                        <w:sz w:val="18"/>
                      </w:rPr>
                    </w:pPr>
                    <w:r>
                      <w:rPr>
                        <w:sz w:val="18"/>
                      </w:rPr>
                      <w:t>-</w:t>
                    </w:r>
                    <w:r>
                      <w:fldChar w:fldCharType="begin"/>
                    </w:r>
                    <w:r>
                      <w:rPr>
                        <w:sz w:val="18"/>
                      </w:rPr>
                      <w:instrText xml:space="preserve"> PAGE </w:instrText>
                    </w:r>
                    <w:r>
                      <w:fldChar w:fldCharType="separate"/>
                    </w:r>
                    <w:r>
                      <w:rPr>
                        <w:sz w:val="18"/>
                      </w:rPr>
                      <w:t>168</w:t>
                    </w:r>
                    <w:r>
                      <w:fldChar w:fldCharType="end"/>
                    </w:r>
                    <w:r>
                      <w:rPr>
                        <w:sz w:val="18"/>
                      </w:rPr>
                      <w:t>-</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ascii="隶书" w:hAnsi="黑体" w:eastAsia="隶书"/>
        <w:b/>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rFonts w:ascii="隶书" w:hAnsi="黑体" w:eastAsia="隶书"/>
        <w:b/>
        <w:sz w:val="15"/>
        <w:szCs w:val="15"/>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1"/>
      <w:rPr>
        <w:rFonts w:ascii="隶书" w:hAnsi="黑体" w:eastAsia="隶书"/>
        <w:b/>
        <w:sz w:val="15"/>
        <w:szCs w:val="15"/>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1"/>
      <w:rPr>
        <w:rFonts w:ascii="隶书" w:hAnsi="黑体" w:eastAsia="隶书"/>
        <w:b/>
        <w:sz w:val="15"/>
        <w:szCs w:val="15"/>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1"/>
      <w:rPr>
        <w:rFonts w:ascii="隶书" w:hAnsi="黑体" w:eastAsia="隶书"/>
        <w:b/>
        <w:sz w:val="15"/>
        <w:szCs w:val="15"/>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1"/>
      <w:rPr>
        <w:rFonts w:ascii="隶书" w:hAnsi="黑体" w:eastAsia="隶书"/>
        <w:b/>
        <w:sz w:val="21"/>
        <w:szCs w:val="21"/>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1"/>
      <w:rPr>
        <w:rFonts w:ascii="隶书" w:hAnsi="黑体" w:eastAsia="隶书"/>
        <w:b/>
        <w:sz w:val="15"/>
        <w:szCs w:val="15"/>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1"/>
      <w:rPr>
        <w:rFonts w:ascii="隶书" w:hAnsi="黑体" w:eastAsia="隶书"/>
        <w:b/>
        <w:sz w:val="15"/>
        <w:szCs w:val="15"/>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1"/>
      <w:rPr>
        <w:rFonts w:ascii="隶书" w:hAnsi="黑体" w:eastAsia="隶书"/>
        <w:b/>
        <w:sz w:val="15"/>
        <w:szCs w:val="15"/>
      </w:rPr>
    </w:pPr>
    <w:r>
      <w:rPr>
        <w:rFonts w:hint="eastAsia" w:ascii="隶书" w:hAnsi="黑体" w:eastAsia="隶书"/>
        <w:b/>
        <w:sz w:val="15"/>
        <w:szCs w:val="15"/>
      </w:rPr>
      <w:t>成都市环城生态区农田综合整治及农业灌区设施建设项目灌区水利设施建设（二标段）一期环境影响报告书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AB4F76"/>
    <w:multiLevelType w:val="singleLevel"/>
    <w:tmpl w:val="93AB4F76"/>
    <w:lvl w:ilvl="0" w:tentative="0">
      <w:start w:val="1"/>
      <w:numFmt w:val="decimal"/>
      <w:suff w:val="nothing"/>
      <w:lvlText w:val="（%1）"/>
      <w:lvlJc w:val="left"/>
    </w:lvl>
  </w:abstractNum>
  <w:abstractNum w:abstractNumId="1">
    <w:nsid w:val="A7843C3E"/>
    <w:multiLevelType w:val="singleLevel"/>
    <w:tmpl w:val="A7843C3E"/>
    <w:lvl w:ilvl="0" w:tentative="0">
      <w:start w:val="1"/>
      <w:numFmt w:val="decimal"/>
      <w:suff w:val="nothing"/>
      <w:lvlText w:val="%1、"/>
      <w:lvlJc w:val="left"/>
    </w:lvl>
  </w:abstractNum>
  <w:abstractNum w:abstractNumId="2">
    <w:nsid w:val="BF47C096"/>
    <w:multiLevelType w:val="singleLevel"/>
    <w:tmpl w:val="BF47C096"/>
    <w:lvl w:ilvl="0" w:tentative="0">
      <w:start w:val="1"/>
      <w:numFmt w:val="decimal"/>
      <w:suff w:val="nothing"/>
      <w:lvlText w:val="%1）"/>
      <w:lvlJc w:val="left"/>
    </w:lvl>
  </w:abstractNum>
  <w:abstractNum w:abstractNumId="3">
    <w:nsid w:val="E0E2B513"/>
    <w:multiLevelType w:val="singleLevel"/>
    <w:tmpl w:val="E0E2B513"/>
    <w:lvl w:ilvl="0" w:tentative="0">
      <w:start w:val="1"/>
      <w:numFmt w:val="decimal"/>
      <w:suff w:val="nothing"/>
      <w:lvlText w:val="%1、"/>
      <w:lvlJc w:val="left"/>
    </w:lvl>
  </w:abstractNum>
  <w:abstractNum w:abstractNumId="4">
    <w:nsid w:val="032A7232"/>
    <w:multiLevelType w:val="singleLevel"/>
    <w:tmpl w:val="032A7232"/>
    <w:lvl w:ilvl="0" w:tentative="0">
      <w:start w:val="1"/>
      <w:numFmt w:val="decimal"/>
      <w:suff w:val="nothing"/>
      <w:lvlText w:val="（%1）"/>
      <w:lvlJc w:val="left"/>
    </w:lvl>
  </w:abstractNum>
  <w:abstractNum w:abstractNumId="5">
    <w:nsid w:val="520C58EA"/>
    <w:multiLevelType w:val="singleLevel"/>
    <w:tmpl w:val="520C58EA"/>
    <w:lvl w:ilvl="0" w:tentative="0">
      <w:start w:val="1"/>
      <w:numFmt w:val="decimal"/>
      <w:suff w:val="nothing"/>
      <w:lvlText w:val="%1、"/>
      <w:lvlJc w:val="left"/>
    </w:lvl>
  </w:abstractNum>
  <w:abstractNum w:abstractNumId="6">
    <w:nsid w:val="575634A1"/>
    <w:multiLevelType w:val="multilevel"/>
    <w:tmpl w:val="575634A1"/>
    <w:lvl w:ilvl="0" w:tentative="0">
      <w:start w:val="1"/>
      <w:numFmt w:val="decimal"/>
      <w:suff w:val="nothing"/>
      <w:lvlText w:val="%1 "/>
      <w:lvlJc w:val="left"/>
      <w:pPr>
        <w:ind w:left="432" w:hanging="432"/>
      </w:pPr>
      <w:rPr>
        <w:rFonts w:hint="default" w:ascii="Times New Roman" w:hAnsi="Times New Roman" w:eastAsia="宋体" w:cs="宋体"/>
      </w:rPr>
    </w:lvl>
    <w:lvl w:ilvl="1" w:tentative="0">
      <w:start w:val="1"/>
      <w:numFmt w:val="decimal"/>
      <w:suff w:val="nothing"/>
      <w:lvlText w:val="%1.%2"/>
      <w:lvlJc w:val="left"/>
      <w:pPr>
        <w:ind w:left="858" w:hanging="575"/>
      </w:pPr>
      <w:rPr>
        <w:rFonts w:hint="default" w:ascii="Times New Roman" w:hAnsi="Times New Roman" w:eastAsia="宋体" w:cs="宋体"/>
      </w:rPr>
    </w:lvl>
    <w:lvl w:ilvl="2" w:tentative="0">
      <w:start w:val="1"/>
      <w:numFmt w:val="decimal"/>
      <w:suff w:val="nothing"/>
      <w:lvlText w:val="%1.%2.%3"/>
      <w:lvlJc w:val="left"/>
      <w:pPr>
        <w:ind w:left="708" w:hanging="283"/>
      </w:pPr>
      <w:rPr>
        <w:rFonts w:hint="default" w:ascii="Times New Roman" w:hAnsi="Times New Roman" w:eastAsia="宋体" w:cs="宋体"/>
      </w:rPr>
    </w:lvl>
    <w:lvl w:ilvl="3" w:tentative="0">
      <w:start w:val="1"/>
      <w:numFmt w:val="decimal"/>
      <w:suff w:val="nothing"/>
      <w:lvlText w:val="%1.%2.%3.%4"/>
      <w:lvlJc w:val="left"/>
      <w:pPr>
        <w:ind w:left="2551" w:firstLine="0"/>
      </w:pPr>
      <w:rPr>
        <w:rFonts w:hint="default"/>
      </w:rPr>
    </w:lvl>
    <w:lvl w:ilvl="4" w:tentative="0">
      <w:start w:val="1"/>
      <w:numFmt w:val="decimal"/>
      <w:suff w:val="nothing"/>
      <w:lvlText w:val="%1.%2.%3.%4.%5"/>
      <w:lvlJc w:val="left"/>
      <w:pPr>
        <w:ind w:left="567" w:firstLine="0"/>
      </w:pPr>
      <w:rPr>
        <w:rFonts w:hint="default"/>
      </w:rPr>
    </w:lvl>
    <w:lvl w:ilvl="5" w:tentative="0">
      <w:start w:val="1"/>
      <w:numFmt w:val="decimal"/>
      <w:lvlText w:val="%1.%2.%3.%4.%5.%6."/>
      <w:lvlJc w:val="left"/>
      <w:pPr>
        <w:tabs>
          <w:tab w:val="left" w:pos="1151"/>
        </w:tabs>
        <w:ind w:left="1151" w:hanging="1151"/>
      </w:pPr>
      <w:rPr>
        <w:rFonts w:hint="default"/>
      </w:rPr>
    </w:lvl>
    <w:lvl w:ilvl="6" w:tentative="0">
      <w:start w:val="1"/>
      <w:numFmt w:val="decimal"/>
      <w:lvlText w:val="%1.%2.%3.%4.%5.%6.%7."/>
      <w:lvlJc w:val="left"/>
      <w:pPr>
        <w:tabs>
          <w:tab w:val="left" w:pos="1296"/>
        </w:tabs>
        <w:ind w:left="1296" w:hanging="1296"/>
      </w:pPr>
      <w:rPr>
        <w:rFonts w:hint="default"/>
      </w:rPr>
    </w:lvl>
    <w:lvl w:ilvl="7" w:tentative="0">
      <w:start w:val="1"/>
      <w:numFmt w:val="decimal"/>
      <w:lvlRestart w:val="2"/>
      <w:pStyle w:val="8"/>
      <w:suff w:val="nothing"/>
      <w:lvlText w:val="表%1.%2-%8  "/>
      <w:lvlJc w:val="left"/>
      <w:pPr>
        <w:ind w:left="2976" w:firstLine="0"/>
      </w:pPr>
      <w:rPr>
        <w:rFonts w:hint="default"/>
        <w:vertAlign w:val="baseline"/>
      </w:rPr>
    </w:lvl>
    <w:lvl w:ilvl="8" w:tentative="0">
      <w:start w:val="1"/>
      <w:numFmt w:val="decimal"/>
      <w:lvlRestart w:val="2"/>
      <w:suff w:val="nothing"/>
      <w:lvlText w:val="图%1.%2-%9  "/>
      <w:lvlJc w:val="left"/>
      <w:pPr>
        <w:ind w:left="2409" w:firstLine="0"/>
      </w:pPr>
      <w:rPr>
        <w:rFonts w:hint="default"/>
        <w:vertAlign w:val="baseline"/>
      </w:rPr>
    </w:lvl>
  </w:abstractNum>
  <w:num w:numId="1">
    <w:abstractNumId w:val="6"/>
  </w:num>
  <w:num w:numId="2">
    <w:abstractNumId w:val="4"/>
  </w:num>
  <w:num w:numId="3">
    <w:abstractNumId w:val="3"/>
  </w:num>
  <w:num w:numId="4">
    <w:abstractNumId w:val="0"/>
  </w:num>
  <w:num w:numId="5">
    <w:abstractNumId w:val="2"/>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0"/>
  <w:drawingGridHorizontalSpacing w:val="110"/>
  <w:displayHorizontalDrawingGridEvery w:val="1"/>
  <w:displayVerticalDrawingGridEvery w:val="1"/>
  <w:noPunctuationKerning w:val="1"/>
  <w:characterSpacingControl w:val="doNotCompress"/>
  <w:compat>
    <w:balanceSingleByteDoubleByteWidth/>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gzNmQ0M2JhYTQ5MDJkMzZiZjdhODk5OTE0YmE5NzMifQ=="/>
  </w:docVars>
  <w:rsids>
    <w:rsidRoot w:val="00172A27"/>
    <w:rsid w:val="000040C8"/>
    <w:rsid w:val="00006695"/>
    <w:rsid w:val="000121C4"/>
    <w:rsid w:val="00012238"/>
    <w:rsid w:val="00013A13"/>
    <w:rsid w:val="00014B46"/>
    <w:rsid w:val="00020274"/>
    <w:rsid w:val="00020EC4"/>
    <w:rsid w:val="00021479"/>
    <w:rsid w:val="00026796"/>
    <w:rsid w:val="0003058B"/>
    <w:rsid w:val="000307DB"/>
    <w:rsid w:val="000315D5"/>
    <w:rsid w:val="0003206A"/>
    <w:rsid w:val="00033243"/>
    <w:rsid w:val="0003400F"/>
    <w:rsid w:val="00034225"/>
    <w:rsid w:val="00040286"/>
    <w:rsid w:val="0004407B"/>
    <w:rsid w:val="000446CB"/>
    <w:rsid w:val="00054B5C"/>
    <w:rsid w:val="00057D2A"/>
    <w:rsid w:val="00061ECD"/>
    <w:rsid w:val="0006207E"/>
    <w:rsid w:val="0006258C"/>
    <w:rsid w:val="00063BC2"/>
    <w:rsid w:val="00064BD5"/>
    <w:rsid w:val="00065677"/>
    <w:rsid w:val="00067C7E"/>
    <w:rsid w:val="000826D8"/>
    <w:rsid w:val="00082E89"/>
    <w:rsid w:val="00082F98"/>
    <w:rsid w:val="00085750"/>
    <w:rsid w:val="0008619A"/>
    <w:rsid w:val="00086C33"/>
    <w:rsid w:val="000911DB"/>
    <w:rsid w:val="000921B7"/>
    <w:rsid w:val="000A59AE"/>
    <w:rsid w:val="000B1168"/>
    <w:rsid w:val="000B119C"/>
    <w:rsid w:val="000B281D"/>
    <w:rsid w:val="000B334B"/>
    <w:rsid w:val="000B662F"/>
    <w:rsid w:val="000B69D5"/>
    <w:rsid w:val="000C0977"/>
    <w:rsid w:val="000C1B97"/>
    <w:rsid w:val="000C1FF9"/>
    <w:rsid w:val="000C502C"/>
    <w:rsid w:val="000C5260"/>
    <w:rsid w:val="000D1718"/>
    <w:rsid w:val="000D29A1"/>
    <w:rsid w:val="000D41F0"/>
    <w:rsid w:val="000D4D0E"/>
    <w:rsid w:val="000E031A"/>
    <w:rsid w:val="000E34EE"/>
    <w:rsid w:val="000E5AAD"/>
    <w:rsid w:val="000E5F56"/>
    <w:rsid w:val="000E6336"/>
    <w:rsid w:val="000F02A7"/>
    <w:rsid w:val="000F3D43"/>
    <w:rsid w:val="000F4E70"/>
    <w:rsid w:val="000F62CF"/>
    <w:rsid w:val="000F67EB"/>
    <w:rsid w:val="000F6836"/>
    <w:rsid w:val="00100A58"/>
    <w:rsid w:val="001013B7"/>
    <w:rsid w:val="0010239B"/>
    <w:rsid w:val="00102D50"/>
    <w:rsid w:val="00103387"/>
    <w:rsid w:val="001045B7"/>
    <w:rsid w:val="001051F9"/>
    <w:rsid w:val="001053B3"/>
    <w:rsid w:val="00105F52"/>
    <w:rsid w:val="00106AFA"/>
    <w:rsid w:val="0010706E"/>
    <w:rsid w:val="00107512"/>
    <w:rsid w:val="00110332"/>
    <w:rsid w:val="00110F2A"/>
    <w:rsid w:val="001135F5"/>
    <w:rsid w:val="00113CBF"/>
    <w:rsid w:val="00114C69"/>
    <w:rsid w:val="001221C1"/>
    <w:rsid w:val="0012225C"/>
    <w:rsid w:val="00130F31"/>
    <w:rsid w:val="00132BE1"/>
    <w:rsid w:val="0013378F"/>
    <w:rsid w:val="0013518F"/>
    <w:rsid w:val="00135DC5"/>
    <w:rsid w:val="00135DDB"/>
    <w:rsid w:val="00137D16"/>
    <w:rsid w:val="001434C9"/>
    <w:rsid w:val="00146142"/>
    <w:rsid w:val="001501B3"/>
    <w:rsid w:val="00152AF3"/>
    <w:rsid w:val="00153595"/>
    <w:rsid w:val="0015538F"/>
    <w:rsid w:val="00156D1B"/>
    <w:rsid w:val="001639F2"/>
    <w:rsid w:val="00167481"/>
    <w:rsid w:val="001702F6"/>
    <w:rsid w:val="00170F1F"/>
    <w:rsid w:val="00172A27"/>
    <w:rsid w:val="00173F50"/>
    <w:rsid w:val="00174AA8"/>
    <w:rsid w:val="00175F60"/>
    <w:rsid w:val="001769DF"/>
    <w:rsid w:val="00181105"/>
    <w:rsid w:val="00187D5F"/>
    <w:rsid w:val="00187D7E"/>
    <w:rsid w:val="00191BFC"/>
    <w:rsid w:val="0019404F"/>
    <w:rsid w:val="0019523A"/>
    <w:rsid w:val="00196A28"/>
    <w:rsid w:val="0019730C"/>
    <w:rsid w:val="001A5A19"/>
    <w:rsid w:val="001A621A"/>
    <w:rsid w:val="001A6A3C"/>
    <w:rsid w:val="001B1B25"/>
    <w:rsid w:val="001B1B38"/>
    <w:rsid w:val="001B4C21"/>
    <w:rsid w:val="001B60EC"/>
    <w:rsid w:val="001C2581"/>
    <w:rsid w:val="001C3C68"/>
    <w:rsid w:val="001C5B42"/>
    <w:rsid w:val="001C77D3"/>
    <w:rsid w:val="001C798C"/>
    <w:rsid w:val="001D6EF8"/>
    <w:rsid w:val="001E082B"/>
    <w:rsid w:val="001E14EA"/>
    <w:rsid w:val="001E3BA1"/>
    <w:rsid w:val="001E5950"/>
    <w:rsid w:val="001E73B7"/>
    <w:rsid w:val="001E7C13"/>
    <w:rsid w:val="001F0660"/>
    <w:rsid w:val="001F1F67"/>
    <w:rsid w:val="001F44E4"/>
    <w:rsid w:val="001F5860"/>
    <w:rsid w:val="001F5D61"/>
    <w:rsid w:val="001F655A"/>
    <w:rsid w:val="001F676C"/>
    <w:rsid w:val="002057EE"/>
    <w:rsid w:val="00207B4A"/>
    <w:rsid w:val="0021026E"/>
    <w:rsid w:val="00211960"/>
    <w:rsid w:val="00211E25"/>
    <w:rsid w:val="002125E9"/>
    <w:rsid w:val="002146D5"/>
    <w:rsid w:val="0022220F"/>
    <w:rsid w:val="0022300D"/>
    <w:rsid w:val="00227B77"/>
    <w:rsid w:val="00230FB9"/>
    <w:rsid w:val="002326C1"/>
    <w:rsid w:val="00234BE9"/>
    <w:rsid w:val="00236625"/>
    <w:rsid w:val="002366CC"/>
    <w:rsid w:val="002378FB"/>
    <w:rsid w:val="00241106"/>
    <w:rsid w:val="00241921"/>
    <w:rsid w:val="002429E9"/>
    <w:rsid w:val="00247C3E"/>
    <w:rsid w:val="00247EA3"/>
    <w:rsid w:val="002534BE"/>
    <w:rsid w:val="002537B5"/>
    <w:rsid w:val="0026412F"/>
    <w:rsid w:val="00264EA5"/>
    <w:rsid w:val="00266573"/>
    <w:rsid w:val="00266FB1"/>
    <w:rsid w:val="00267DD0"/>
    <w:rsid w:val="00270005"/>
    <w:rsid w:val="002712B8"/>
    <w:rsid w:val="00274CA5"/>
    <w:rsid w:val="002813ED"/>
    <w:rsid w:val="002816ED"/>
    <w:rsid w:val="00281EC1"/>
    <w:rsid w:val="00283600"/>
    <w:rsid w:val="00283CCB"/>
    <w:rsid w:val="002844D8"/>
    <w:rsid w:val="00284D79"/>
    <w:rsid w:val="00292E48"/>
    <w:rsid w:val="002941D3"/>
    <w:rsid w:val="002943BD"/>
    <w:rsid w:val="00295857"/>
    <w:rsid w:val="0029670B"/>
    <w:rsid w:val="00297FC8"/>
    <w:rsid w:val="002A0138"/>
    <w:rsid w:val="002A065D"/>
    <w:rsid w:val="002A233A"/>
    <w:rsid w:val="002A4BF8"/>
    <w:rsid w:val="002A4CB0"/>
    <w:rsid w:val="002A703C"/>
    <w:rsid w:val="002B044C"/>
    <w:rsid w:val="002B5730"/>
    <w:rsid w:val="002B5F88"/>
    <w:rsid w:val="002C198A"/>
    <w:rsid w:val="002C68D3"/>
    <w:rsid w:val="002D19D0"/>
    <w:rsid w:val="002D2DE9"/>
    <w:rsid w:val="002D3D9B"/>
    <w:rsid w:val="002D4FC7"/>
    <w:rsid w:val="002D705C"/>
    <w:rsid w:val="002D7FDF"/>
    <w:rsid w:val="002E332C"/>
    <w:rsid w:val="002E3511"/>
    <w:rsid w:val="002E430B"/>
    <w:rsid w:val="002F55AE"/>
    <w:rsid w:val="002F60B5"/>
    <w:rsid w:val="002F6A80"/>
    <w:rsid w:val="0030051D"/>
    <w:rsid w:val="00303CED"/>
    <w:rsid w:val="00310EE7"/>
    <w:rsid w:val="00310F69"/>
    <w:rsid w:val="003158B4"/>
    <w:rsid w:val="00320C60"/>
    <w:rsid w:val="0032246F"/>
    <w:rsid w:val="00331456"/>
    <w:rsid w:val="00333139"/>
    <w:rsid w:val="003373C6"/>
    <w:rsid w:val="0034161C"/>
    <w:rsid w:val="00345ECE"/>
    <w:rsid w:val="00346DF7"/>
    <w:rsid w:val="00347BE1"/>
    <w:rsid w:val="00350487"/>
    <w:rsid w:val="00352939"/>
    <w:rsid w:val="003538CF"/>
    <w:rsid w:val="00354E91"/>
    <w:rsid w:val="00355B77"/>
    <w:rsid w:val="00360ED2"/>
    <w:rsid w:val="00362BD3"/>
    <w:rsid w:val="0036331F"/>
    <w:rsid w:val="00364FBF"/>
    <w:rsid w:val="0036556B"/>
    <w:rsid w:val="0036694E"/>
    <w:rsid w:val="00370175"/>
    <w:rsid w:val="00372383"/>
    <w:rsid w:val="00372D35"/>
    <w:rsid w:val="00374218"/>
    <w:rsid w:val="0037431F"/>
    <w:rsid w:val="0037654C"/>
    <w:rsid w:val="0037667C"/>
    <w:rsid w:val="003768D0"/>
    <w:rsid w:val="003770AA"/>
    <w:rsid w:val="00377516"/>
    <w:rsid w:val="00380DA8"/>
    <w:rsid w:val="00381BBF"/>
    <w:rsid w:val="00383337"/>
    <w:rsid w:val="003840E7"/>
    <w:rsid w:val="003848F8"/>
    <w:rsid w:val="0038516E"/>
    <w:rsid w:val="003851E1"/>
    <w:rsid w:val="00385688"/>
    <w:rsid w:val="00390A91"/>
    <w:rsid w:val="00390F55"/>
    <w:rsid w:val="00391BCB"/>
    <w:rsid w:val="003936E7"/>
    <w:rsid w:val="00395976"/>
    <w:rsid w:val="003A1912"/>
    <w:rsid w:val="003A39B2"/>
    <w:rsid w:val="003A4115"/>
    <w:rsid w:val="003A4C24"/>
    <w:rsid w:val="003A4FF3"/>
    <w:rsid w:val="003A5742"/>
    <w:rsid w:val="003A76E6"/>
    <w:rsid w:val="003A7A0F"/>
    <w:rsid w:val="003B03A5"/>
    <w:rsid w:val="003B09CD"/>
    <w:rsid w:val="003B2F59"/>
    <w:rsid w:val="003B3BA0"/>
    <w:rsid w:val="003B6D0C"/>
    <w:rsid w:val="003C178C"/>
    <w:rsid w:val="003C2BDD"/>
    <w:rsid w:val="003C3DC2"/>
    <w:rsid w:val="003C4679"/>
    <w:rsid w:val="003C4F56"/>
    <w:rsid w:val="003D01FB"/>
    <w:rsid w:val="003D0F28"/>
    <w:rsid w:val="003D52CD"/>
    <w:rsid w:val="003D64D5"/>
    <w:rsid w:val="003E173B"/>
    <w:rsid w:val="003E417B"/>
    <w:rsid w:val="003E4870"/>
    <w:rsid w:val="003E7881"/>
    <w:rsid w:val="003E791C"/>
    <w:rsid w:val="003E79A1"/>
    <w:rsid w:val="003F0C35"/>
    <w:rsid w:val="003F16F7"/>
    <w:rsid w:val="003F23F9"/>
    <w:rsid w:val="003F4525"/>
    <w:rsid w:val="003F607C"/>
    <w:rsid w:val="004033E5"/>
    <w:rsid w:val="004034D8"/>
    <w:rsid w:val="00404C53"/>
    <w:rsid w:val="00407553"/>
    <w:rsid w:val="004168E6"/>
    <w:rsid w:val="00416EAD"/>
    <w:rsid w:val="00417E92"/>
    <w:rsid w:val="00420CFC"/>
    <w:rsid w:val="00423774"/>
    <w:rsid w:val="00423DEF"/>
    <w:rsid w:val="00425A1B"/>
    <w:rsid w:val="00430890"/>
    <w:rsid w:val="00434DE5"/>
    <w:rsid w:val="00435044"/>
    <w:rsid w:val="00435576"/>
    <w:rsid w:val="00435A35"/>
    <w:rsid w:val="004379D3"/>
    <w:rsid w:val="004407C8"/>
    <w:rsid w:val="0044402C"/>
    <w:rsid w:val="004518C4"/>
    <w:rsid w:val="00452139"/>
    <w:rsid w:val="0045733F"/>
    <w:rsid w:val="00462441"/>
    <w:rsid w:val="00463A4D"/>
    <w:rsid w:val="00464EE7"/>
    <w:rsid w:val="00465AE4"/>
    <w:rsid w:val="00466627"/>
    <w:rsid w:val="00470113"/>
    <w:rsid w:val="00470AB8"/>
    <w:rsid w:val="00471934"/>
    <w:rsid w:val="00472AFE"/>
    <w:rsid w:val="00475F7F"/>
    <w:rsid w:val="004761DE"/>
    <w:rsid w:val="00481918"/>
    <w:rsid w:val="004829F7"/>
    <w:rsid w:val="004846B4"/>
    <w:rsid w:val="0049037E"/>
    <w:rsid w:val="004904FA"/>
    <w:rsid w:val="00491543"/>
    <w:rsid w:val="0049187C"/>
    <w:rsid w:val="0049425E"/>
    <w:rsid w:val="00495F71"/>
    <w:rsid w:val="004964EE"/>
    <w:rsid w:val="004A25E8"/>
    <w:rsid w:val="004A313B"/>
    <w:rsid w:val="004A38EE"/>
    <w:rsid w:val="004A4B9D"/>
    <w:rsid w:val="004A7256"/>
    <w:rsid w:val="004B070D"/>
    <w:rsid w:val="004B2D6A"/>
    <w:rsid w:val="004B3DC8"/>
    <w:rsid w:val="004B41A0"/>
    <w:rsid w:val="004B4D4F"/>
    <w:rsid w:val="004C1D41"/>
    <w:rsid w:val="004C3B36"/>
    <w:rsid w:val="004C635F"/>
    <w:rsid w:val="004C6951"/>
    <w:rsid w:val="004C75EC"/>
    <w:rsid w:val="004C7C77"/>
    <w:rsid w:val="004D04AA"/>
    <w:rsid w:val="004D1D33"/>
    <w:rsid w:val="004D3121"/>
    <w:rsid w:val="004D3239"/>
    <w:rsid w:val="004D6749"/>
    <w:rsid w:val="004D7E19"/>
    <w:rsid w:val="004E1C86"/>
    <w:rsid w:val="004E23FF"/>
    <w:rsid w:val="004E2D8C"/>
    <w:rsid w:val="004E4CBA"/>
    <w:rsid w:val="004E6FB5"/>
    <w:rsid w:val="004E7613"/>
    <w:rsid w:val="004E7CEB"/>
    <w:rsid w:val="004E7EF1"/>
    <w:rsid w:val="004F02FB"/>
    <w:rsid w:val="004F205C"/>
    <w:rsid w:val="004F2552"/>
    <w:rsid w:val="004F5558"/>
    <w:rsid w:val="004F5FF5"/>
    <w:rsid w:val="00500839"/>
    <w:rsid w:val="00500BE0"/>
    <w:rsid w:val="00502139"/>
    <w:rsid w:val="005033C2"/>
    <w:rsid w:val="00503976"/>
    <w:rsid w:val="0050454D"/>
    <w:rsid w:val="0050608C"/>
    <w:rsid w:val="005079F3"/>
    <w:rsid w:val="005100E1"/>
    <w:rsid w:val="00510226"/>
    <w:rsid w:val="00512529"/>
    <w:rsid w:val="005127B9"/>
    <w:rsid w:val="005153C6"/>
    <w:rsid w:val="00515453"/>
    <w:rsid w:val="00522E93"/>
    <w:rsid w:val="0052343A"/>
    <w:rsid w:val="00523ED8"/>
    <w:rsid w:val="0052466A"/>
    <w:rsid w:val="00530236"/>
    <w:rsid w:val="0053109E"/>
    <w:rsid w:val="0053596E"/>
    <w:rsid w:val="00535D73"/>
    <w:rsid w:val="00542784"/>
    <w:rsid w:val="00542CFE"/>
    <w:rsid w:val="00545627"/>
    <w:rsid w:val="00545753"/>
    <w:rsid w:val="00550039"/>
    <w:rsid w:val="00551A5B"/>
    <w:rsid w:val="005550F2"/>
    <w:rsid w:val="00555259"/>
    <w:rsid w:val="0056188D"/>
    <w:rsid w:val="00566CB2"/>
    <w:rsid w:val="00566FDF"/>
    <w:rsid w:val="0056708B"/>
    <w:rsid w:val="005708D9"/>
    <w:rsid w:val="005718E0"/>
    <w:rsid w:val="005719DA"/>
    <w:rsid w:val="00572B03"/>
    <w:rsid w:val="00577EBF"/>
    <w:rsid w:val="00581DF5"/>
    <w:rsid w:val="00585F30"/>
    <w:rsid w:val="0059093E"/>
    <w:rsid w:val="00591D0C"/>
    <w:rsid w:val="005966DA"/>
    <w:rsid w:val="005A2FEC"/>
    <w:rsid w:val="005A548A"/>
    <w:rsid w:val="005A6487"/>
    <w:rsid w:val="005A6791"/>
    <w:rsid w:val="005A7F87"/>
    <w:rsid w:val="005B0762"/>
    <w:rsid w:val="005B0916"/>
    <w:rsid w:val="005B363D"/>
    <w:rsid w:val="005B41E2"/>
    <w:rsid w:val="005B52B8"/>
    <w:rsid w:val="005B5A13"/>
    <w:rsid w:val="005B6AB1"/>
    <w:rsid w:val="005B7A27"/>
    <w:rsid w:val="005C24EA"/>
    <w:rsid w:val="005C2E8F"/>
    <w:rsid w:val="005C325C"/>
    <w:rsid w:val="005C5095"/>
    <w:rsid w:val="005C6A65"/>
    <w:rsid w:val="005D1C2F"/>
    <w:rsid w:val="005D3D5E"/>
    <w:rsid w:val="005E1524"/>
    <w:rsid w:val="005E565F"/>
    <w:rsid w:val="005F1CA2"/>
    <w:rsid w:val="005F4F90"/>
    <w:rsid w:val="005F53CA"/>
    <w:rsid w:val="005F5FFF"/>
    <w:rsid w:val="00600163"/>
    <w:rsid w:val="00600C86"/>
    <w:rsid w:val="00603B0B"/>
    <w:rsid w:val="006048E2"/>
    <w:rsid w:val="00606FDC"/>
    <w:rsid w:val="00607344"/>
    <w:rsid w:val="00610014"/>
    <w:rsid w:val="0061224B"/>
    <w:rsid w:val="00612D46"/>
    <w:rsid w:val="00615896"/>
    <w:rsid w:val="00616252"/>
    <w:rsid w:val="00617586"/>
    <w:rsid w:val="006178D6"/>
    <w:rsid w:val="00623658"/>
    <w:rsid w:val="00624754"/>
    <w:rsid w:val="006265EC"/>
    <w:rsid w:val="00630373"/>
    <w:rsid w:val="006315F5"/>
    <w:rsid w:val="0063425E"/>
    <w:rsid w:val="00634DAA"/>
    <w:rsid w:val="00635607"/>
    <w:rsid w:val="0063672F"/>
    <w:rsid w:val="00636DD3"/>
    <w:rsid w:val="00636F44"/>
    <w:rsid w:val="00640139"/>
    <w:rsid w:val="00641741"/>
    <w:rsid w:val="00641C7E"/>
    <w:rsid w:val="00641FA8"/>
    <w:rsid w:val="00642F34"/>
    <w:rsid w:val="00646B86"/>
    <w:rsid w:val="00652B66"/>
    <w:rsid w:val="00655F4C"/>
    <w:rsid w:val="006570B9"/>
    <w:rsid w:val="00660F9C"/>
    <w:rsid w:val="00662D02"/>
    <w:rsid w:val="00662F69"/>
    <w:rsid w:val="006632F4"/>
    <w:rsid w:val="006657D3"/>
    <w:rsid w:val="0067196E"/>
    <w:rsid w:val="00671F67"/>
    <w:rsid w:val="00671F8C"/>
    <w:rsid w:val="00672146"/>
    <w:rsid w:val="00673B01"/>
    <w:rsid w:val="00675BA6"/>
    <w:rsid w:val="00676807"/>
    <w:rsid w:val="00686033"/>
    <w:rsid w:val="00686E8C"/>
    <w:rsid w:val="00687114"/>
    <w:rsid w:val="0069285F"/>
    <w:rsid w:val="00693B72"/>
    <w:rsid w:val="00694CB4"/>
    <w:rsid w:val="00695434"/>
    <w:rsid w:val="00696A22"/>
    <w:rsid w:val="00696EFD"/>
    <w:rsid w:val="00697EB8"/>
    <w:rsid w:val="006A082C"/>
    <w:rsid w:val="006A0AB1"/>
    <w:rsid w:val="006A2637"/>
    <w:rsid w:val="006A4518"/>
    <w:rsid w:val="006B03BE"/>
    <w:rsid w:val="006B6E1E"/>
    <w:rsid w:val="006B74E1"/>
    <w:rsid w:val="006C194A"/>
    <w:rsid w:val="006C26DB"/>
    <w:rsid w:val="006C3D13"/>
    <w:rsid w:val="006D1074"/>
    <w:rsid w:val="006D4734"/>
    <w:rsid w:val="006D4CA6"/>
    <w:rsid w:val="006D4D00"/>
    <w:rsid w:val="006D4F9B"/>
    <w:rsid w:val="006D58CE"/>
    <w:rsid w:val="006D78F0"/>
    <w:rsid w:val="006E4436"/>
    <w:rsid w:val="006E5890"/>
    <w:rsid w:val="006E7FAC"/>
    <w:rsid w:val="006F0A14"/>
    <w:rsid w:val="006F290B"/>
    <w:rsid w:val="006F2EA5"/>
    <w:rsid w:val="006F3E0E"/>
    <w:rsid w:val="006F4E28"/>
    <w:rsid w:val="006F60BF"/>
    <w:rsid w:val="006F747E"/>
    <w:rsid w:val="006F75AF"/>
    <w:rsid w:val="006F7AF0"/>
    <w:rsid w:val="00700825"/>
    <w:rsid w:val="007023BD"/>
    <w:rsid w:val="0070249A"/>
    <w:rsid w:val="00706090"/>
    <w:rsid w:val="00714F7C"/>
    <w:rsid w:val="00715617"/>
    <w:rsid w:val="0071794A"/>
    <w:rsid w:val="00717AE3"/>
    <w:rsid w:val="00720A06"/>
    <w:rsid w:val="00721A58"/>
    <w:rsid w:val="007226DE"/>
    <w:rsid w:val="0072294B"/>
    <w:rsid w:val="00722FD8"/>
    <w:rsid w:val="0072323C"/>
    <w:rsid w:val="00725EAB"/>
    <w:rsid w:val="00726779"/>
    <w:rsid w:val="0073141E"/>
    <w:rsid w:val="00731ED2"/>
    <w:rsid w:val="00734CC7"/>
    <w:rsid w:val="00735992"/>
    <w:rsid w:val="00736C07"/>
    <w:rsid w:val="00742078"/>
    <w:rsid w:val="00747CF4"/>
    <w:rsid w:val="00750805"/>
    <w:rsid w:val="00750B01"/>
    <w:rsid w:val="00750FF7"/>
    <w:rsid w:val="0075110F"/>
    <w:rsid w:val="00751430"/>
    <w:rsid w:val="00755A22"/>
    <w:rsid w:val="00765002"/>
    <w:rsid w:val="007675AE"/>
    <w:rsid w:val="007716E6"/>
    <w:rsid w:val="0077217A"/>
    <w:rsid w:val="00772188"/>
    <w:rsid w:val="00772ED9"/>
    <w:rsid w:val="00775F9D"/>
    <w:rsid w:val="00776734"/>
    <w:rsid w:val="00777653"/>
    <w:rsid w:val="00777B24"/>
    <w:rsid w:val="00777F69"/>
    <w:rsid w:val="007815BA"/>
    <w:rsid w:val="00782A74"/>
    <w:rsid w:val="00782B66"/>
    <w:rsid w:val="0078319A"/>
    <w:rsid w:val="00790ECB"/>
    <w:rsid w:val="007913F4"/>
    <w:rsid w:val="007915F6"/>
    <w:rsid w:val="007A06E1"/>
    <w:rsid w:val="007A0723"/>
    <w:rsid w:val="007A0A6B"/>
    <w:rsid w:val="007A314B"/>
    <w:rsid w:val="007A35F1"/>
    <w:rsid w:val="007A4F28"/>
    <w:rsid w:val="007A53CA"/>
    <w:rsid w:val="007B0DF4"/>
    <w:rsid w:val="007B1404"/>
    <w:rsid w:val="007C22CB"/>
    <w:rsid w:val="007C49FA"/>
    <w:rsid w:val="007C5149"/>
    <w:rsid w:val="007D10D9"/>
    <w:rsid w:val="007D3190"/>
    <w:rsid w:val="007D5125"/>
    <w:rsid w:val="007E2E84"/>
    <w:rsid w:val="007E4593"/>
    <w:rsid w:val="007E4B0D"/>
    <w:rsid w:val="007E7487"/>
    <w:rsid w:val="007F321D"/>
    <w:rsid w:val="007F68F7"/>
    <w:rsid w:val="007F7E42"/>
    <w:rsid w:val="0080095C"/>
    <w:rsid w:val="00803204"/>
    <w:rsid w:val="00804A15"/>
    <w:rsid w:val="008058E8"/>
    <w:rsid w:val="0081001A"/>
    <w:rsid w:val="0081228F"/>
    <w:rsid w:val="00823581"/>
    <w:rsid w:val="0083121C"/>
    <w:rsid w:val="00832969"/>
    <w:rsid w:val="00832E30"/>
    <w:rsid w:val="00833861"/>
    <w:rsid w:val="00835270"/>
    <w:rsid w:val="00835888"/>
    <w:rsid w:val="0083695C"/>
    <w:rsid w:val="00840237"/>
    <w:rsid w:val="0084060D"/>
    <w:rsid w:val="008442E8"/>
    <w:rsid w:val="008453F9"/>
    <w:rsid w:val="0084730A"/>
    <w:rsid w:val="00851402"/>
    <w:rsid w:val="00853785"/>
    <w:rsid w:val="00853E71"/>
    <w:rsid w:val="00857849"/>
    <w:rsid w:val="00860190"/>
    <w:rsid w:val="00860A8F"/>
    <w:rsid w:val="008621F7"/>
    <w:rsid w:val="00866B5C"/>
    <w:rsid w:val="0087343A"/>
    <w:rsid w:val="0087394F"/>
    <w:rsid w:val="00873DC9"/>
    <w:rsid w:val="008759CB"/>
    <w:rsid w:val="00875D9D"/>
    <w:rsid w:val="00876807"/>
    <w:rsid w:val="00876ACD"/>
    <w:rsid w:val="008876F6"/>
    <w:rsid w:val="0089091B"/>
    <w:rsid w:val="0089129E"/>
    <w:rsid w:val="00891E8A"/>
    <w:rsid w:val="0089759F"/>
    <w:rsid w:val="008A0C02"/>
    <w:rsid w:val="008A1258"/>
    <w:rsid w:val="008A183C"/>
    <w:rsid w:val="008A2010"/>
    <w:rsid w:val="008A2D99"/>
    <w:rsid w:val="008A4BB7"/>
    <w:rsid w:val="008A75D7"/>
    <w:rsid w:val="008A7D4E"/>
    <w:rsid w:val="008B0AD8"/>
    <w:rsid w:val="008B1019"/>
    <w:rsid w:val="008B1A82"/>
    <w:rsid w:val="008B361C"/>
    <w:rsid w:val="008B4A99"/>
    <w:rsid w:val="008B5F21"/>
    <w:rsid w:val="008B6C9E"/>
    <w:rsid w:val="008B6D73"/>
    <w:rsid w:val="008B706D"/>
    <w:rsid w:val="008C3BF8"/>
    <w:rsid w:val="008C7B26"/>
    <w:rsid w:val="008D3546"/>
    <w:rsid w:val="008D40D8"/>
    <w:rsid w:val="008D60BA"/>
    <w:rsid w:val="008D6970"/>
    <w:rsid w:val="008E21D6"/>
    <w:rsid w:val="008E40D3"/>
    <w:rsid w:val="008E4678"/>
    <w:rsid w:val="008E4F27"/>
    <w:rsid w:val="008E605D"/>
    <w:rsid w:val="008E68F9"/>
    <w:rsid w:val="008F0F71"/>
    <w:rsid w:val="008F1158"/>
    <w:rsid w:val="008F5A28"/>
    <w:rsid w:val="008F709F"/>
    <w:rsid w:val="009033E5"/>
    <w:rsid w:val="00903C5E"/>
    <w:rsid w:val="00904AEF"/>
    <w:rsid w:val="00910C27"/>
    <w:rsid w:val="0091209D"/>
    <w:rsid w:val="00913B34"/>
    <w:rsid w:val="0091412B"/>
    <w:rsid w:val="009151DD"/>
    <w:rsid w:val="00917BB4"/>
    <w:rsid w:val="009206C4"/>
    <w:rsid w:val="00920761"/>
    <w:rsid w:val="009236C3"/>
    <w:rsid w:val="0092408A"/>
    <w:rsid w:val="00924348"/>
    <w:rsid w:val="00925359"/>
    <w:rsid w:val="00926006"/>
    <w:rsid w:val="00926DE7"/>
    <w:rsid w:val="00927100"/>
    <w:rsid w:val="00927C16"/>
    <w:rsid w:val="009307B0"/>
    <w:rsid w:val="00930C91"/>
    <w:rsid w:val="00932F23"/>
    <w:rsid w:val="0093322D"/>
    <w:rsid w:val="009365AF"/>
    <w:rsid w:val="00942602"/>
    <w:rsid w:val="00942EDD"/>
    <w:rsid w:val="009432B3"/>
    <w:rsid w:val="009436DC"/>
    <w:rsid w:val="009460CD"/>
    <w:rsid w:val="009461E5"/>
    <w:rsid w:val="0095207E"/>
    <w:rsid w:val="009523D9"/>
    <w:rsid w:val="009526EB"/>
    <w:rsid w:val="009536A3"/>
    <w:rsid w:val="00955BB9"/>
    <w:rsid w:val="00956001"/>
    <w:rsid w:val="009667EC"/>
    <w:rsid w:val="009748F2"/>
    <w:rsid w:val="0097497E"/>
    <w:rsid w:val="00975DC8"/>
    <w:rsid w:val="0097714A"/>
    <w:rsid w:val="0098228A"/>
    <w:rsid w:val="00983667"/>
    <w:rsid w:val="00983B3C"/>
    <w:rsid w:val="00984306"/>
    <w:rsid w:val="00985706"/>
    <w:rsid w:val="009871D2"/>
    <w:rsid w:val="00994754"/>
    <w:rsid w:val="009947AA"/>
    <w:rsid w:val="009947F6"/>
    <w:rsid w:val="00994E51"/>
    <w:rsid w:val="00996006"/>
    <w:rsid w:val="009969AA"/>
    <w:rsid w:val="009977D3"/>
    <w:rsid w:val="009A0A68"/>
    <w:rsid w:val="009A1F60"/>
    <w:rsid w:val="009A305C"/>
    <w:rsid w:val="009A581A"/>
    <w:rsid w:val="009A657B"/>
    <w:rsid w:val="009B263E"/>
    <w:rsid w:val="009B2C47"/>
    <w:rsid w:val="009B6F6F"/>
    <w:rsid w:val="009B7702"/>
    <w:rsid w:val="009C0D8E"/>
    <w:rsid w:val="009C36A0"/>
    <w:rsid w:val="009C44F2"/>
    <w:rsid w:val="009C5A1D"/>
    <w:rsid w:val="009C6BCC"/>
    <w:rsid w:val="009D04E4"/>
    <w:rsid w:val="009D0C3B"/>
    <w:rsid w:val="009D1C8A"/>
    <w:rsid w:val="009D3BB4"/>
    <w:rsid w:val="009D42FD"/>
    <w:rsid w:val="009D4861"/>
    <w:rsid w:val="009E1F07"/>
    <w:rsid w:val="009E2CEF"/>
    <w:rsid w:val="009E5727"/>
    <w:rsid w:val="009E7302"/>
    <w:rsid w:val="009E73EF"/>
    <w:rsid w:val="009F1E9E"/>
    <w:rsid w:val="009F5462"/>
    <w:rsid w:val="00A006EC"/>
    <w:rsid w:val="00A03B3D"/>
    <w:rsid w:val="00A0503D"/>
    <w:rsid w:val="00A1031E"/>
    <w:rsid w:val="00A10A1A"/>
    <w:rsid w:val="00A11FD3"/>
    <w:rsid w:val="00A146A0"/>
    <w:rsid w:val="00A15784"/>
    <w:rsid w:val="00A16302"/>
    <w:rsid w:val="00A2383B"/>
    <w:rsid w:val="00A2547E"/>
    <w:rsid w:val="00A304CD"/>
    <w:rsid w:val="00A309D0"/>
    <w:rsid w:val="00A33861"/>
    <w:rsid w:val="00A34124"/>
    <w:rsid w:val="00A344A9"/>
    <w:rsid w:val="00A35B38"/>
    <w:rsid w:val="00A3618D"/>
    <w:rsid w:val="00A36318"/>
    <w:rsid w:val="00A37778"/>
    <w:rsid w:val="00A405D7"/>
    <w:rsid w:val="00A42232"/>
    <w:rsid w:val="00A43517"/>
    <w:rsid w:val="00A43D82"/>
    <w:rsid w:val="00A440A4"/>
    <w:rsid w:val="00A45485"/>
    <w:rsid w:val="00A45598"/>
    <w:rsid w:val="00A50E42"/>
    <w:rsid w:val="00A5165E"/>
    <w:rsid w:val="00A51DA4"/>
    <w:rsid w:val="00A52900"/>
    <w:rsid w:val="00A53FB1"/>
    <w:rsid w:val="00A571EE"/>
    <w:rsid w:val="00A57DD7"/>
    <w:rsid w:val="00A66A22"/>
    <w:rsid w:val="00A6797F"/>
    <w:rsid w:val="00A7013F"/>
    <w:rsid w:val="00A70A91"/>
    <w:rsid w:val="00A72FAE"/>
    <w:rsid w:val="00A73099"/>
    <w:rsid w:val="00A73AA2"/>
    <w:rsid w:val="00A75387"/>
    <w:rsid w:val="00A756A5"/>
    <w:rsid w:val="00A75E42"/>
    <w:rsid w:val="00A8263E"/>
    <w:rsid w:val="00A85E19"/>
    <w:rsid w:val="00A87564"/>
    <w:rsid w:val="00A928E8"/>
    <w:rsid w:val="00A93F18"/>
    <w:rsid w:val="00A94F8C"/>
    <w:rsid w:val="00A95C30"/>
    <w:rsid w:val="00A96657"/>
    <w:rsid w:val="00A97ADE"/>
    <w:rsid w:val="00AA0172"/>
    <w:rsid w:val="00AA0696"/>
    <w:rsid w:val="00AA37E5"/>
    <w:rsid w:val="00AA7D8A"/>
    <w:rsid w:val="00AB0CF2"/>
    <w:rsid w:val="00AB321A"/>
    <w:rsid w:val="00AB3741"/>
    <w:rsid w:val="00AB37E2"/>
    <w:rsid w:val="00AB3D9B"/>
    <w:rsid w:val="00AB4620"/>
    <w:rsid w:val="00AB5E01"/>
    <w:rsid w:val="00AB7D0D"/>
    <w:rsid w:val="00AC0728"/>
    <w:rsid w:val="00AC2F00"/>
    <w:rsid w:val="00AC3BC1"/>
    <w:rsid w:val="00AC4BD5"/>
    <w:rsid w:val="00AC6F95"/>
    <w:rsid w:val="00AD04E9"/>
    <w:rsid w:val="00AD0C41"/>
    <w:rsid w:val="00AD1693"/>
    <w:rsid w:val="00AD20A4"/>
    <w:rsid w:val="00AD7288"/>
    <w:rsid w:val="00AE03BA"/>
    <w:rsid w:val="00AE131D"/>
    <w:rsid w:val="00AE413B"/>
    <w:rsid w:val="00AE44F2"/>
    <w:rsid w:val="00AF0CE0"/>
    <w:rsid w:val="00AF33F2"/>
    <w:rsid w:val="00AF472F"/>
    <w:rsid w:val="00AF4C30"/>
    <w:rsid w:val="00AF56A4"/>
    <w:rsid w:val="00AF7FBC"/>
    <w:rsid w:val="00B0229E"/>
    <w:rsid w:val="00B0311A"/>
    <w:rsid w:val="00B03447"/>
    <w:rsid w:val="00B04A6B"/>
    <w:rsid w:val="00B04B43"/>
    <w:rsid w:val="00B075D9"/>
    <w:rsid w:val="00B07F66"/>
    <w:rsid w:val="00B109DF"/>
    <w:rsid w:val="00B10EB0"/>
    <w:rsid w:val="00B118D9"/>
    <w:rsid w:val="00B12AD6"/>
    <w:rsid w:val="00B13067"/>
    <w:rsid w:val="00B14E4F"/>
    <w:rsid w:val="00B16116"/>
    <w:rsid w:val="00B20C98"/>
    <w:rsid w:val="00B21CC8"/>
    <w:rsid w:val="00B24CDA"/>
    <w:rsid w:val="00B25F9E"/>
    <w:rsid w:val="00B26CA5"/>
    <w:rsid w:val="00B32875"/>
    <w:rsid w:val="00B3340A"/>
    <w:rsid w:val="00B37A15"/>
    <w:rsid w:val="00B40CFA"/>
    <w:rsid w:val="00B41A92"/>
    <w:rsid w:val="00B45CF6"/>
    <w:rsid w:val="00B45E84"/>
    <w:rsid w:val="00B46929"/>
    <w:rsid w:val="00B46DB2"/>
    <w:rsid w:val="00B52667"/>
    <w:rsid w:val="00B55C43"/>
    <w:rsid w:val="00B5661D"/>
    <w:rsid w:val="00B57C58"/>
    <w:rsid w:val="00B61061"/>
    <w:rsid w:val="00B6145D"/>
    <w:rsid w:val="00B62A7F"/>
    <w:rsid w:val="00B66A62"/>
    <w:rsid w:val="00B66A77"/>
    <w:rsid w:val="00B71AE0"/>
    <w:rsid w:val="00B76B9B"/>
    <w:rsid w:val="00B770E7"/>
    <w:rsid w:val="00B8113F"/>
    <w:rsid w:val="00B84C9E"/>
    <w:rsid w:val="00B8600A"/>
    <w:rsid w:val="00B87500"/>
    <w:rsid w:val="00B8773F"/>
    <w:rsid w:val="00B91B0F"/>
    <w:rsid w:val="00B91F37"/>
    <w:rsid w:val="00B91F6C"/>
    <w:rsid w:val="00B9260E"/>
    <w:rsid w:val="00B93CF7"/>
    <w:rsid w:val="00B95B18"/>
    <w:rsid w:val="00B97198"/>
    <w:rsid w:val="00BA2B40"/>
    <w:rsid w:val="00BA32FF"/>
    <w:rsid w:val="00BA3F92"/>
    <w:rsid w:val="00BA5AC1"/>
    <w:rsid w:val="00BA7832"/>
    <w:rsid w:val="00BB052B"/>
    <w:rsid w:val="00BB07C3"/>
    <w:rsid w:val="00BB0FD5"/>
    <w:rsid w:val="00BB2806"/>
    <w:rsid w:val="00BB2A6F"/>
    <w:rsid w:val="00BB44E5"/>
    <w:rsid w:val="00BB4CA2"/>
    <w:rsid w:val="00BB5A44"/>
    <w:rsid w:val="00BC0029"/>
    <w:rsid w:val="00BC1BD6"/>
    <w:rsid w:val="00BC215D"/>
    <w:rsid w:val="00BC2569"/>
    <w:rsid w:val="00BC5513"/>
    <w:rsid w:val="00BC570D"/>
    <w:rsid w:val="00BC744F"/>
    <w:rsid w:val="00BD2A2D"/>
    <w:rsid w:val="00BD2EE8"/>
    <w:rsid w:val="00BD51F9"/>
    <w:rsid w:val="00BD5A88"/>
    <w:rsid w:val="00BE0DE5"/>
    <w:rsid w:val="00BE0E8B"/>
    <w:rsid w:val="00BE1197"/>
    <w:rsid w:val="00BE261E"/>
    <w:rsid w:val="00BF207D"/>
    <w:rsid w:val="00BF20A9"/>
    <w:rsid w:val="00BF341F"/>
    <w:rsid w:val="00BF3A38"/>
    <w:rsid w:val="00BF46BC"/>
    <w:rsid w:val="00BF4C20"/>
    <w:rsid w:val="00BF6DB2"/>
    <w:rsid w:val="00C02EBD"/>
    <w:rsid w:val="00C03C04"/>
    <w:rsid w:val="00C043D5"/>
    <w:rsid w:val="00C06BB8"/>
    <w:rsid w:val="00C12B32"/>
    <w:rsid w:val="00C12C8D"/>
    <w:rsid w:val="00C1655B"/>
    <w:rsid w:val="00C23D15"/>
    <w:rsid w:val="00C32138"/>
    <w:rsid w:val="00C421FA"/>
    <w:rsid w:val="00C44E1C"/>
    <w:rsid w:val="00C464C1"/>
    <w:rsid w:val="00C46503"/>
    <w:rsid w:val="00C475F3"/>
    <w:rsid w:val="00C50188"/>
    <w:rsid w:val="00C50B60"/>
    <w:rsid w:val="00C52097"/>
    <w:rsid w:val="00C52CD4"/>
    <w:rsid w:val="00C534B7"/>
    <w:rsid w:val="00C53D6B"/>
    <w:rsid w:val="00C53E41"/>
    <w:rsid w:val="00C55158"/>
    <w:rsid w:val="00C56B2C"/>
    <w:rsid w:val="00C600C7"/>
    <w:rsid w:val="00C64535"/>
    <w:rsid w:val="00C6526F"/>
    <w:rsid w:val="00C6638B"/>
    <w:rsid w:val="00C6698B"/>
    <w:rsid w:val="00C678B7"/>
    <w:rsid w:val="00C72A64"/>
    <w:rsid w:val="00C74924"/>
    <w:rsid w:val="00C7586B"/>
    <w:rsid w:val="00C764F4"/>
    <w:rsid w:val="00C770D4"/>
    <w:rsid w:val="00C81A92"/>
    <w:rsid w:val="00C82A67"/>
    <w:rsid w:val="00C82FA2"/>
    <w:rsid w:val="00C8514C"/>
    <w:rsid w:val="00C85C67"/>
    <w:rsid w:val="00C87F67"/>
    <w:rsid w:val="00C90A51"/>
    <w:rsid w:val="00C920BF"/>
    <w:rsid w:val="00C948DB"/>
    <w:rsid w:val="00C97B7E"/>
    <w:rsid w:val="00CA682E"/>
    <w:rsid w:val="00CB115A"/>
    <w:rsid w:val="00CB18A1"/>
    <w:rsid w:val="00CB1CDD"/>
    <w:rsid w:val="00CB3380"/>
    <w:rsid w:val="00CB569A"/>
    <w:rsid w:val="00CB5915"/>
    <w:rsid w:val="00CC333D"/>
    <w:rsid w:val="00CC468B"/>
    <w:rsid w:val="00CC4A45"/>
    <w:rsid w:val="00CC5181"/>
    <w:rsid w:val="00CC570B"/>
    <w:rsid w:val="00CC6549"/>
    <w:rsid w:val="00CC66A5"/>
    <w:rsid w:val="00CC6C0F"/>
    <w:rsid w:val="00CD261E"/>
    <w:rsid w:val="00CD42CC"/>
    <w:rsid w:val="00CD536A"/>
    <w:rsid w:val="00CD5774"/>
    <w:rsid w:val="00CD7E90"/>
    <w:rsid w:val="00CE05F9"/>
    <w:rsid w:val="00CE22C2"/>
    <w:rsid w:val="00CE36D6"/>
    <w:rsid w:val="00CE3C85"/>
    <w:rsid w:val="00CE4251"/>
    <w:rsid w:val="00CE63FC"/>
    <w:rsid w:val="00CE6607"/>
    <w:rsid w:val="00CE6A5D"/>
    <w:rsid w:val="00CF1EF3"/>
    <w:rsid w:val="00CF386B"/>
    <w:rsid w:val="00CF4F70"/>
    <w:rsid w:val="00D0194D"/>
    <w:rsid w:val="00D047D1"/>
    <w:rsid w:val="00D06203"/>
    <w:rsid w:val="00D111B5"/>
    <w:rsid w:val="00D16CAB"/>
    <w:rsid w:val="00D21C93"/>
    <w:rsid w:val="00D23BC0"/>
    <w:rsid w:val="00D248A6"/>
    <w:rsid w:val="00D249C7"/>
    <w:rsid w:val="00D26EA0"/>
    <w:rsid w:val="00D27462"/>
    <w:rsid w:val="00D279D7"/>
    <w:rsid w:val="00D33296"/>
    <w:rsid w:val="00D348AB"/>
    <w:rsid w:val="00D37EF6"/>
    <w:rsid w:val="00D47085"/>
    <w:rsid w:val="00D5565C"/>
    <w:rsid w:val="00D60568"/>
    <w:rsid w:val="00D63F25"/>
    <w:rsid w:val="00D657B2"/>
    <w:rsid w:val="00D70231"/>
    <w:rsid w:val="00D71D70"/>
    <w:rsid w:val="00D746A0"/>
    <w:rsid w:val="00D77219"/>
    <w:rsid w:val="00D7750C"/>
    <w:rsid w:val="00D77DDE"/>
    <w:rsid w:val="00D84759"/>
    <w:rsid w:val="00D85C55"/>
    <w:rsid w:val="00D90003"/>
    <w:rsid w:val="00D93214"/>
    <w:rsid w:val="00DA02DD"/>
    <w:rsid w:val="00DA4843"/>
    <w:rsid w:val="00DA4D46"/>
    <w:rsid w:val="00DA55E6"/>
    <w:rsid w:val="00DA5B39"/>
    <w:rsid w:val="00DA603B"/>
    <w:rsid w:val="00DA63C0"/>
    <w:rsid w:val="00DB5123"/>
    <w:rsid w:val="00DB627B"/>
    <w:rsid w:val="00DB7BD3"/>
    <w:rsid w:val="00DC2CFA"/>
    <w:rsid w:val="00DC2D0B"/>
    <w:rsid w:val="00DC2E94"/>
    <w:rsid w:val="00DC3382"/>
    <w:rsid w:val="00DD1A38"/>
    <w:rsid w:val="00DD5448"/>
    <w:rsid w:val="00DD5D5F"/>
    <w:rsid w:val="00DD7EEF"/>
    <w:rsid w:val="00DE173B"/>
    <w:rsid w:val="00DE3671"/>
    <w:rsid w:val="00DF096E"/>
    <w:rsid w:val="00DF37E7"/>
    <w:rsid w:val="00DF41CA"/>
    <w:rsid w:val="00DF438A"/>
    <w:rsid w:val="00DF768B"/>
    <w:rsid w:val="00E03B84"/>
    <w:rsid w:val="00E05331"/>
    <w:rsid w:val="00E06C18"/>
    <w:rsid w:val="00E10BE3"/>
    <w:rsid w:val="00E12744"/>
    <w:rsid w:val="00E15050"/>
    <w:rsid w:val="00E16DF7"/>
    <w:rsid w:val="00E17934"/>
    <w:rsid w:val="00E20BF8"/>
    <w:rsid w:val="00E21268"/>
    <w:rsid w:val="00E26422"/>
    <w:rsid w:val="00E26782"/>
    <w:rsid w:val="00E2740F"/>
    <w:rsid w:val="00E304A6"/>
    <w:rsid w:val="00E31724"/>
    <w:rsid w:val="00E324B9"/>
    <w:rsid w:val="00E36E86"/>
    <w:rsid w:val="00E37C89"/>
    <w:rsid w:val="00E37DE6"/>
    <w:rsid w:val="00E37E21"/>
    <w:rsid w:val="00E40DB0"/>
    <w:rsid w:val="00E40EEB"/>
    <w:rsid w:val="00E43169"/>
    <w:rsid w:val="00E4520D"/>
    <w:rsid w:val="00E50480"/>
    <w:rsid w:val="00E50483"/>
    <w:rsid w:val="00E516B5"/>
    <w:rsid w:val="00E52D5E"/>
    <w:rsid w:val="00E55AC0"/>
    <w:rsid w:val="00E56427"/>
    <w:rsid w:val="00E57006"/>
    <w:rsid w:val="00E57120"/>
    <w:rsid w:val="00E62364"/>
    <w:rsid w:val="00E644CB"/>
    <w:rsid w:val="00E720A7"/>
    <w:rsid w:val="00E72441"/>
    <w:rsid w:val="00E7308E"/>
    <w:rsid w:val="00E73AA3"/>
    <w:rsid w:val="00E752E3"/>
    <w:rsid w:val="00E81A89"/>
    <w:rsid w:val="00E81F49"/>
    <w:rsid w:val="00E85B16"/>
    <w:rsid w:val="00E86640"/>
    <w:rsid w:val="00E910D1"/>
    <w:rsid w:val="00E92212"/>
    <w:rsid w:val="00E92965"/>
    <w:rsid w:val="00E938A1"/>
    <w:rsid w:val="00E94236"/>
    <w:rsid w:val="00E94C8E"/>
    <w:rsid w:val="00EA0ACC"/>
    <w:rsid w:val="00EA12FA"/>
    <w:rsid w:val="00EA1A43"/>
    <w:rsid w:val="00EA2182"/>
    <w:rsid w:val="00EA2B17"/>
    <w:rsid w:val="00EA5972"/>
    <w:rsid w:val="00EA6DB1"/>
    <w:rsid w:val="00EB00F1"/>
    <w:rsid w:val="00EB0B06"/>
    <w:rsid w:val="00EB28A3"/>
    <w:rsid w:val="00EB2B69"/>
    <w:rsid w:val="00EB5E28"/>
    <w:rsid w:val="00EB7117"/>
    <w:rsid w:val="00EC05E6"/>
    <w:rsid w:val="00EC169A"/>
    <w:rsid w:val="00EC1F27"/>
    <w:rsid w:val="00EC48C5"/>
    <w:rsid w:val="00EC61DE"/>
    <w:rsid w:val="00EC7D24"/>
    <w:rsid w:val="00ED0C29"/>
    <w:rsid w:val="00ED0C43"/>
    <w:rsid w:val="00ED3AEE"/>
    <w:rsid w:val="00ED3D84"/>
    <w:rsid w:val="00ED3E7C"/>
    <w:rsid w:val="00ED62B6"/>
    <w:rsid w:val="00ED7199"/>
    <w:rsid w:val="00EE01A6"/>
    <w:rsid w:val="00EE104E"/>
    <w:rsid w:val="00EE15A9"/>
    <w:rsid w:val="00EE4698"/>
    <w:rsid w:val="00EE4BEE"/>
    <w:rsid w:val="00EE5B69"/>
    <w:rsid w:val="00EE6701"/>
    <w:rsid w:val="00EE7902"/>
    <w:rsid w:val="00EF18D0"/>
    <w:rsid w:val="00EF1AE8"/>
    <w:rsid w:val="00EF3DDE"/>
    <w:rsid w:val="00EF5607"/>
    <w:rsid w:val="00EF6234"/>
    <w:rsid w:val="00EF7B15"/>
    <w:rsid w:val="00F00302"/>
    <w:rsid w:val="00F02B10"/>
    <w:rsid w:val="00F02BB1"/>
    <w:rsid w:val="00F02DDD"/>
    <w:rsid w:val="00F047F4"/>
    <w:rsid w:val="00F04841"/>
    <w:rsid w:val="00F04A75"/>
    <w:rsid w:val="00F051B7"/>
    <w:rsid w:val="00F06D17"/>
    <w:rsid w:val="00F11F70"/>
    <w:rsid w:val="00F134FE"/>
    <w:rsid w:val="00F14809"/>
    <w:rsid w:val="00F14E9C"/>
    <w:rsid w:val="00F156DC"/>
    <w:rsid w:val="00F15B31"/>
    <w:rsid w:val="00F230BC"/>
    <w:rsid w:val="00F23B50"/>
    <w:rsid w:val="00F24096"/>
    <w:rsid w:val="00F27366"/>
    <w:rsid w:val="00F35308"/>
    <w:rsid w:val="00F362D6"/>
    <w:rsid w:val="00F43BE2"/>
    <w:rsid w:val="00F440A5"/>
    <w:rsid w:val="00F44F14"/>
    <w:rsid w:val="00F46825"/>
    <w:rsid w:val="00F46FD2"/>
    <w:rsid w:val="00F50B6A"/>
    <w:rsid w:val="00F52587"/>
    <w:rsid w:val="00F5367E"/>
    <w:rsid w:val="00F60FA6"/>
    <w:rsid w:val="00F628ED"/>
    <w:rsid w:val="00F63FC9"/>
    <w:rsid w:val="00F64152"/>
    <w:rsid w:val="00F65B56"/>
    <w:rsid w:val="00F677E7"/>
    <w:rsid w:val="00F67F78"/>
    <w:rsid w:val="00F719D6"/>
    <w:rsid w:val="00F72680"/>
    <w:rsid w:val="00F72839"/>
    <w:rsid w:val="00F73809"/>
    <w:rsid w:val="00F816FA"/>
    <w:rsid w:val="00F8283A"/>
    <w:rsid w:val="00F86F2E"/>
    <w:rsid w:val="00F87733"/>
    <w:rsid w:val="00F90EC2"/>
    <w:rsid w:val="00F910B1"/>
    <w:rsid w:val="00F9498C"/>
    <w:rsid w:val="00F96D03"/>
    <w:rsid w:val="00F97CFB"/>
    <w:rsid w:val="00FA02E5"/>
    <w:rsid w:val="00FA089D"/>
    <w:rsid w:val="00FA0A83"/>
    <w:rsid w:val="00FA1B7A"/>
    <w:rsid w:val="00FA1DCF"/>
    <w:rsid w:val="00FA33DF"/>
    <w:rsid w:val="00FA517E"/>
    <w:rsid w:val="00FA701B"/>
    <w:rsid w:val="00FB1501"/>
    <w:rsid w:val="00FB1F44"/>
    <w:rsid w:val="00FB232F"/>
    <w:rsid w:val="00FB4640"/>
    <w:rsid w:val="00FB6608"/>
    <w:rsid w:val="00FC2D12"/>
    <w:rsid w:val="00FC5291"/>
    <w:rsid w:val="00FC594F"/>
    <w:rsid w:val="00FC6319"/>
    <w:rsid w:val="00FC6CDF"/>
    <w:rsid w:val="00FC7E49"/>
    <w:rsid w:val="00FD291C"/>
    <w:rsid w:val="00FD4584"/>
    <w:rsid w:val="00FD4DBD"/>
    <w:rsid w:val="00FD60BC"/>
    <w:rsid w:val="00FE00A1"/>
    <w:rsid w:val="00FF49B5"/>
    <w:rsid w:val="012F5F9F"/>
    <w:rsid w:val="0165578F"/>
    <w:rsid w:val="01722330"/>
    <w:rsid w:val="017D31AE"/>
    <w:rsid w:val="0183453D"/>
    <w:rsid w:val="01A249C3"/>
    <w:rsid w:val="01AF56B6"/>
    <w:rsid w:val="01C7267B"/>
    <w:rsid w:val="020967F0"/>
    <w:rsid w:val="02115EF4"/>
    <w:rsid w:val="0213766F"/>
    <w:rsid w:val="021D7161"/>
    <w:rsid w:val="025739FF"/>
    <w:rsid w:val="02647C80"/>
    <w:rsid w:val="0270061D"/>
    <w:rsid w:val="027E575F"/>
    <w:rsid w:val="02C32E43"/>
    <w:rsid w:val="02C44E0D"/>
    <w:rsid w:val="02DD1A2B"/>
    <w:rsid w:val="0337738D"/>
    <w:rsid w:val="033C0E47"/>
    <w:rsid w:val="034675D0"/>
    <w:rsid w:val="034F1522"/>
    <w:rsid w:val="03675921"/>
    <w:rsid w:val="036F371A"/>
    <w:rsid w:val="03984152"/>
    <w:rsid w:val="03A94EE7"/>
    <w:rsid w:val="03E77005"/>
    <w:rsid w:val="041F6D26"/>
    <w:rsid w:val="04337125"/>
    <w:rsid w:val="04640655"/>
    <w:rsid w:val="047168CE"/>
    <w:rsid w:val="047A5783"/>
    <w:rsid w:val="047B14FB"/>
    <w:rsid w:val="049912FE"/>
    <w:rsid w:val="050E236F"/>
    <w:rsid w:val="0516066D"/>
    <w:rsid w:val="052D3EDD"/>
    <w:rsid w:val="0534627A"/>
    <w:rsid w:val="053F11FD"/>
    <w:rsid w:val="055E60C5"/>
    <w:rsid w:val="05760640"/>
    <w:rsid w:val="057F6DC9"/>
    <w:rsid w:val="05856AD5"/>
    <w:rsid w:val="05A24A89"/>
    <w:rsid w:val="05AD335B"/>
    <w:rsid w:val="05AD3936"/>
    <w:rsid w:val="05B36D5A"/>
    <w:rsid w:val="05B922DB"/>
    <w:rsid w:val="05CD5D86"/>
    <w:rsid w:val="05EA06E6"/>
    <w:rsid w:val="05F45A09"/>
    <w:rsid w:val="06450013"/>
    <w:rsid w:val="065B15E4"/>
    <w:rsid w:val="065E291D"/>
    <w:rsid w:val="06624721"/>
    <w:rsid w:val="0667442D"/>
    <w:rsid w:val="06874187"/>
    <w:rsid w:val="06B667B2"/>
    <w:rsid w:val="06C72541"/>
    <w:rsid w:val="06CD33D9"/>
    <w:rsid w:val="07034156"/>
    <w:rsid w:val="074327A4"/>
    <w:rsid w:val="07520C39"/>
    <w:rsid w:val="075B5D40"/>
    <w:rsid w:val="076B3AA9"/>
    <w:rsid w:val="07AC5012"/>
    <w:rsid w:val="07D63618"/>
    <w:rsid w:val="07D94EB6"/>
    <w:rsid w:val="07E04497"/>
    <w:rsid w:val="080B2B96"/>
    <w:rsid w:val="080D4B60"/>
    <w:rsid w:val="080D4EF4"/>
    <w:rsid w:val="081623E0"/>
    <w:rsid w:val="081B727D"/>
    <w:rsid w:val="082223BA"/>
    <w:rsid w:val="08381BDD"/>
    <w:rsid w:val="08566507"/>
    <w:rsid w:val="08710FE3"/>
    <w:rsid w:val="08713341"/>
    <w:rsid w:val="0878022B"/>
    <w:rsid w:val="088C6E58"/>
    <w:rsid w:val="088E5CA1"/>
    <w:rsid w:val="08B60D54"/>
    <w:rsid w:val="08CB0CA3"/>
    <w:rsid w:val="092D5DD6"/>
    <w:rsid w:val="093C394F"/>
    <w:rsid w:val="094C3466"/>
    <w:rsid w:val="09BE0BD8"/>
    <w:rsid w:val="0A053D41"/>
    <w:rsid w:val="0A171CC6"/>
    <w:rsid w:val="0A263D26"/>
    <w:rsid w:val="0A4A209B"/>
    <w:rsid w:val="0A560A40"/>
    <w:rsid w:val="0A6B23B5"/>
    <w:rsid w:val="0A9306F3"/>
    <w:rsid w:val="0AB614DF"/>
    <w:rsid w:val="0AC1645B"/>
    <w:rsid w:val="0AED1D63"/>
    <w:rsid w:val="0AF0679F"/>
    <w:rsid w:val="0AF65D7F"/>
    <w:rsid w:val="0B114967"/>
    <w:rsid w:val="0B3E4CC1"/>
    <w:rsid w:val="0B4A7A8A"/>
    <w:rsid w:val="0B5605CC"/>
    <w:rsid w:val="0B8C3FEE"/>
    <w:rsid w:val="0B925AA8"/>
    <w:rsid w:val="0BA80296"/>
    <w:rsid w:val="0BB617AD"/>
    <w:rsid w:val="0BCB6C61"/>
    <w:rsid w:val="0BD0037E"/>
    <w:rsid w:val="0BD92337"/>
    <w:rsid w:val="0BDC285F"/>
    <w:rsid w:val="0BEA1C6C"/>
    <w:rsid w:val="0BEA7692"/>
    <w:rsid w:val="0BEE6D80"/>
    <w:rsid w:val="0C10177F"/>
    <w:rsid w:val="0C324F7F"/>
    <w:rsid w:val="0C3E62E3"/>
    <w:rsid w:val="0C41302A"/>
    <w:rsid w:val="0C566AD6"/>
    <w:rsid w:val="0C7A5094"/>
    <w:rsid w:val="0C803B53"/>
    <w:rsid w:val="0C8C699B"/>
    <w:rsid w:val="0C8F023A"/>
    <w:rsid w:val="0CA05FA3"/>
    <w:rsid w:val="0CC55A09"/>
    <w:rsid w:val="0CD8398F"/>
    <w:rsid w:val="0CF84031"/>
    <w:rsid w:val="0CFA38B6"/>
    <w:rsid w:val="0D3606B5"/>
    <w:rsid w:val="0D4371D9"/>
    <w:rsid w:val="0D505C1B"/>
    <w:rsid w:val="0D58062B"/>
    <w:rsid w:val="0D7A398E"/>
    <w:rsid w:val="0D841421"/>
    <w:rsid w:val="0D940ADE"/>
    <w:rsid w:val="0DA41AC3"/>
    <w:rsid w:val="0DAD0977"/>
    <w:rsid w:val="0DC664D3"/>
    <w:rsid w:val="0DD759F4"/>
    <w:rsid w:val="0DF20A80"/>
    <w:rsid w:val="0DF30354"/>
    <w:rsid w:val="0DFC36AD"/>
    <w:rsid w:val="0E042561"/>
    <w:rsid w:val="0E05270A"/>
    <w:rsid w:val="0E0D58BA"/>
    <w:rsid w:val="0E1B7FD7"/>
    <w:rsid w:val="0E4F1A2E"/>
    <w:rsid w:val="0E56100F"/>
    <w:rsid w:val="0E590AFF"/>
    <w:rsid w:val="0E601E8E"/>
    <w:rsid w:val="0E641611"/>
    <w:rsid w:val="0E7860EB"/>
    <w:rsid w:val="0E8536A2"/>
    <w:rsid w:val="0E8754C6"/>
    <w:rsid w:val="0E8C2C83"/>
    <w:rsid w:val="0E9467DE"/>
    <w:rsid w:val="0E947D89"/>
    <w:rsid w:val="0E975183"/>
    <w:rsid w:val="0E9B4C74"/>
    <w:rsid w:val="0EA004DC"/>
    <w:rsid w:val="0EAA4EB7"/>
    <w:rsid w:val="0EAC0C2F"/>
    <w:rsid w:val="0EBD45CD"/>
    <w:rsid w:val="0EE859DF"/>
    <w:rsid w:val="0EF37626"/>
    <w:rsid w:val="0EFB423B"/>
    <w:rsid w:val="0EFD592E"/>
    <w:rsid w:val="0F072309"/>
    <w:rsid w:val="0F085BBF"/>
    <w:rsid w:val="0F16254C"/>
    <w:rsid w:val="0F621C35"/>
    <w:rsid w:val="0F6C2545"/>
    <w:rsid w:val="0F7F6343"/>
    <w:rsid w:val="0F8D2578"/>
    <w:rsid w:val="0F8F1C43"/>
    <w:rsid w:val="0F9822BA"/>
    <w:rsid w:val="0F987405"/>
    <w:rsid w:val="0FC75A46"/>
    <w:rsid w:val="0FCB3337"/>
    <w:rsid w:val="0FD3043D"/>
    <w:rsid w:val="0FF77362"/>
    <w:rsid w:val="101D790A"/>
    <w:rsid w:val="106519DD"/>
    <w:rsid w:val="107240FA"/>
    <w:rsid w:val="10795489"/>
    <w:rsid w:val="108F0808"/>
    <w:rsid w:val="10A36062"/>
    <w:rsid w:val="10B20AFA"/>
    <w:rsid w:val="10CF6E57"/>
    <w:rsid w:val="10F468BD"/>
    <w:rsid w:val="112C7AC4"/>
    <w:rsid w:val="11691059"/>
    <w:rsid w:val="1182036D"/>
    <w:rsid w:val="118C11EC"/>
    <w:rsid w:val="11A402E3"/>
    <w:rsid w:val="11A55E09"/>
    <w:rsid w:val="11C91AF8"/>
    <w:rsid w:val="11EE155E"/>
    <w:rsid w:val="12062D4C"/>
    <w:rsid w:val="122049AD"/>
    <w:rsid w:val="122130C2"/>
    <w:rsid w:val="1222745A"/>
    <w:rsid w:val="125A6BF4"/>
    <w:rsid w:val="12865755"/>
    <w:rsid w:val="128B3251"/>
    <w:rsid w:val="1299771C"/>
    <w:rsid w:val="12B07EE9"/>
    <w:rsid w:val="12C257AB"/>
    <w:rsid w:val="12EB0D7F"/>
    <w:rsid w:val="12FE3A23"/>
    <w:rsid w:val="13217712"/>
    <w:rsid w:val="13321197"/>
    <w:rsid w:val="13337B71"/>
    <w:rsid w:val="133E6AC9"/>
    <w:rsid w:val="135950FD"/>
    <w:rsid w:val="135A334F"/>
    <w:rsid w:val="13620DD3"/>
    <w:rsid w:val="13712447"/>
    <w:rsid w:val="13823C4E"/>
    <w:rsid w:val="13897791"/>
    <w:rsid w:val="1393060F"/>
    <w:rsid w:val="13B567D8"/>
    <w:rsid w:val="13C46A1B"/>
    <w:rsid w:val="13DE4EB7"/>
    <w:rsid w:val="13E45584"/>
    <w:rsid w:val="144F338B"/>
    <w:rsid w:val="145A40E3"/>
    <w:rsid w:val="145C4EA5"/>
    <w:rsid w:val="14922675"/>
    <w:rsid w:val="14A625C4"/>
    <w:rsid w:val="14D66A23"/>
    <w:rsid w:val="14F926F4"/>
    <w:rsid w:val="14FC21E4"/>
    <w:rsid w:val="153C24E0"/>
    <w:rsid w:val="155913E5"/>
    <w:rsid w:val="15604521"/>
    <w:rsid w:val="15655FDB"/>
    <w:rsid w:val="156930E2"/>
    <w:rsid w:val="158A58AB"/>
    <w:rsid w:val="15B61AF0"/>
    <w:rsid w:val="15BB209F"/>
    <w:rsid w:val="15C251DC"/>
    <w:rsid w:val="15C745A0"/>
    <w:rsid w:val="15E11B06"/>
    <w:rsid w:val="16353C00"/>
    <w:rsid w:val="167C35DD"/>
    <w:rsid w:val="169A3A63"/>
    <w:rsid w:val="16AB2114"/>
    <w:rsid w:val="16BC00E9"/>
    <w:rsid w:val="16C32FBA"/>
    <w:rsid w:val="16C814FF"/>
    <w:rsid w:val="16E76622"/>
    <w:rsid w:val="171750B3"/>
    <w:rsid w:val="1719707D"/>
    <w:rsid w:val="17202BA5"/>
    <w:rsid w:val="17312619"/>
    <w:rsid w:val="174D4F79"/>
    <w:rsid w:val="174E7693"/>
    <w:rsid w:val="1752433D"/>
    <w:rsid w:val="176F4EEF"/>
    <w:rsid w:val="17732C32"/>
    <w:rsid w:val="1788699D"/>
    <w:rsid w:val="17B1375A"/>
    <w:rsid w:val="17BD20FF"/>
    <w:rsid w:val="17C84600"/>
    <w:rsid w:val="17E51A76"/>
    <w:rsid w:val="17E61392"/>
    <w:rsid w:val="180C0990"/>
    <w:rsid w:val="182E4DAB"/>
    <w:rsid w:val="183A097B"/>
    <w:rsid w:val="18585984"/>
    <w:rsid w:val="18652C70"/>
    <w:rsid w:val="186F3088"/>
    <w:rsid w:val="188624F1"/>
    <w:rsid w:val="18A1557C"/>
    <w:rsid w:val="18AC2CB5"/>
    <w:rsid w:val="18C80D5B"/>
    <w:rsid w:val="18D771F0"/>
    <w:rsid w:val="19151AC7"/>
    <w:rsid w:val="19301D7F"/>
    <w:rsid w:val="193E101D"/>
    <w:rsid w:val="19516FA3"/>
    <w:rsid w:val="196407EC"/>
    <w:rsid w:val="197607B7"/>
    <w:rsid w:val="19B550D1"/>
    <w:rsid w:val="19DA364A"/>
    <w:rsid w:val="19FD4B06"/>
    <w:rsid w:val="1A027DA2"/>
    <w:rsid w:val="1A0B2EFD"/>
    <w:rsid w:val="1A2408A9"/>
    <w:rsid w:val="1A2A15A2"/>
    <w:rsid w:val="1A304E0A"/>
    <w:rsid w:val="1A391FA6"/>
    <w:rsid w:val="1A6C5716"/>
    <w:rsid w:val="1A7C2223"/>
    <w:rsid w:val="1A903AFB"/>
    <w:rsid w:val="1AA853FD"/>
    <w:rsid w:val="1AB71087"/>
    <w:rsid w:val="1AB86BAD"/>
    <w:rsid w:val="1ACD1F76"/>
    <w:rsid w:val="1ADF238C"/>
    <w:rsid w:val="1AE9473C"/>
    <w:rsid w:val="1B2B737F"/>
    <w:rsid w:val="1B604A98"/>
    <w:rsid w:val="1B7454BA"/>
    <w:rsid w:val="1B7E0CCC"/>
    <w:rsid w:val="1BB27AA1"/>
    <w:rsid w:val="1BD6378F"/>
    <w:rsid w:val="1C297D63"/>
    <w:rsid w:val="1C2A3ADB"/>
    <w:rsid w:val="1C6160A4"/>
    <w:rsid w:val="1C616B83"/>
    <w:rsid w:val="1C623275"/>
    <w:rsid w:val="1C653526"/>
    <w:rsid w:val="1C672639"/>
    <w:rsid w:val="1C746B04"/>
    <w:rsid w:val="1C8B27CB"/>
    <w:rsid w:val="1CDB6B83"/>
    <w:rsid w:val="1D0D1432"/>
    <w:rsid w:val="1D0E51AB"/>
    <w:rsid w:val="1D350989"/>
    <w:rsid w:val="1D373D90"/>
    <w:rsid w:val="1D4604A0"/>
    <w:rsid w:val="1D6E17A5"/>
    <w:rsid w:val="1D76522A"/>
    <w:rsid w:val="1D7C3EC2"/>
    <w:rsid w:val="1D9C27B6"/>
    <w:rsid w:val="1DE303E5"/>
    <w:rsid w:val="1DFD0EE8"/>
    <w:rsid w:val="1E026ABD"/>
    <w:rsid w:val="1E360515"/>
    <w:rsid w:val="1E415E2A"/>
    <w:rsid w:val="1E722285"/>
    <w:rsid w:val="1E776D73"/>
    <w:rsid w:val="1E827BFE"/>
    <w:rsid w:val="1EA062D6"/>
    <w:rsid w:val="1EA2204E"/>
    <w:rsid w:val="1EA25BAA"/>
    <w:rsid w:val="1EA90428"/>
    <w:rsid w:val="1EAB4F49"/>
    <w:rsid w:val="1EB53B30"/>
    <w:rsid w:val="1EE6018D"/>
    <w:rsid w:val="1EE77A61"/>
    <w:rsid w:val="1EF53F2C"/>
    <w:rsid w:val="1F122D30"/>
    <w:rsid w:val="1F1C21AD"/>
    <w:rsid w:val="1F301408"/>
    <w:rsid w:val="1F5347F4"/>
    <w:rsid w:val="1F5844BB"/>
    <w:rsid w:val="1F720C23"/>
    <w:rsid w:val="1F7312F5"/>
    <w:rsid w:val="1F882FF2"/>
    <w:rsid w:val="1F971487"/>
    <w:rsid w:val="1FB02549"/>
    <w:rsid w:val="1FCF29CF"/>
    <w:rsid w:val="1FDE2C12"/>
    <w:rsid w:val="1FF262C6"/>
    <w:rsid w:val="20015C12"/>
    <w:rsid w:val="20032679"/>
    <w:rsid w:val="203C0852"/>
    <w:rsid w:val="20427645"/>
    <w:rsid w:val="2063580D"/>
    <w:rsid w:val="208A0E44"/>
    <w:rsid w:val="20AE287A"/>
    <w:rsid w:val="20F3093F"/>
    <w:rsid w:val="20F46465"/>
    <w:rsid w:val="20FF72E4"/>
    <w:rsid w:val="21066606"/>
    <w:rsid w:val="211F5038"/>
    <w:rsid w:val="21284A9D"/>
    <w:rsid w:val="214B2529"/>
    <w:rsid w:val="21667363"/>
    <w:rsid w:val="216961C0"/>
    <w:rsid w:val="21863561"/>
    <w:rsid w:val="219C2D85"/>
    <w:rsid w:val="21A734D8"/>
    <w:rsid w:val="21DF2C72"/>
    <w:rsid w:val="21E93AF0"/>
    <w:rsid w:val="21ED1832"/>
    <w:rsid w:val="21F2142E"/>
    <w:rsid w:val="222F3BF9"/>
    <w:rsid w:val="223C6316"/>
    <w:rsid w:val="22611A6B"/>
    <w:rsid w:val="22A31EF1"/>
    <w:rsid w:val="22BB36DF"/>
    <w:rsid w:val="22E83DA8"/>
    <w:rsid w:val="22EA5D72"/>
    <w:rsid w:val="235A6A54"/>
    <w:rsid w:val="235D6544"/>
    <w:rsid w:val="23616D96"/>
    <w:rsid w:val="23AC208A"/>
    <w:rsid w:val="23B02B18"/>
    <w:rsid w:val="23B055D9"/>
    <w:rsid w:val="23B07178"/>
    <w:rsid w:val="23DD1F66"/>
    <w:rsid w:val="23E34C9B"/>
    <w:rsid w:val="23EB1DA2"/>
    <w:rsid w:val="240115C5"/>
    <w:rsid w:val="240A66CC"/>
    <w:rsid w:val="24396DAC"/>
    <w:rsid w:val="24485B9C"/>
    <w:rsid w:val="24594F5D"/>
    <w:rsid w:val="2477098A"/>
    <w:rsid w:val="247B23D8"/>
    <w:rsid w:val="24833D88"/>
    <w:rsid w:val="24B36F67"/>
    <w:rsid w:val="24D4105B"/>
    <w:rsid w:val="24E2147F"/>
    <w:rsid w:val="25473008"/>
    <w:rsid w:val="258D6D36"/>
    <w:rsid w:val="25CE453C"/>
    <w:rsid w:val="25D074A1"/>
    <w:rsid w:val="25DE1BBE"/>
    <w:rsid w:val="26455879"/>
    <w:rsid w:val="266A16A4"/>
    <w:rsid w:val="2670658E"/>
    <w:rsid w:val="26926505"/>
    <w:rsid w:val="269B185D"/>
    <w:rsid w:val="269B2904"/>
    <w:rsid w:val="269F4654"/>
    <w:rsid w:val="26B70825"/>
    <w:rsid w:val="26D56D97"/>
    <w:rsid w:val="26D60AE7"/>
    <w:rsid w:val="26F947D6"/>
    <w:rsid w:val="270376D0"/>
    <w:rsid w:val="27054F28"/>
    <w:rsid w:val="27196C26"/>
    <w:rsid w:val="276E51C4"/>
    <w:rsid w:val="27736336"/>
    <w:rsid w:val="279D51BC"/>
    <w:rsid w:val="27AC5CEC"/>
    <w:rsid w:val="27BA21B7"/>
    <w:rsid w:val="27BF5A1F"/>
    <w:rsid w:val="27D663B3"/>
    <w:rsid w:val="27EE2883"/>
    <w:rsid w:val="27FA0805"/>
    <w:rsid w:val="28123662"/>
    <w:rsid w:val="28174739"/>
    <w:rsid w:val="28882E95"/>
    <w:rsid w:val="28A8200F"/>
    <w:rsid w:val="28D76AF2"/>
    <w:rsid w:val="28E60D8A"/>
    <w:rsid w:val="28E76FDC"/>
    <w:rsid w:val="28EC0722"/>
    <w:rsid w:val="28F416F8"/>
    <w:rsid w:val="28FA2843"/>
    <w:rsid w:val="290851A4"/>
    <w:rsid w:val="29235B3A"/>
    <w:rsid w:val="29297AA5"/>
    <w:rsid w:val="292F44DF"/>
    <w:rsid w:val="29424212"/>
    <w:rsid w:val="294D2BB7"/>
    <w:rsid w:val="296A5517"/>
    <w:rsid w:val="29934A6D"/>
    <w:rsid w:val="2996630C"/>
    <w:rsid w:val="29A547A1"/>
    <w:rsid w:val="29F21F91"/>
    <w:rsid w:val="29F714A0"/>
    <w:rsid w:val="2A297180"/>
    <w:rsid w:val="2A2E0C3A"/>
    <w:rsid w:val="2A4B5348"/>
    <w:rsid w:val="2A506E02"/>
    <w:rsid w:val="2A8D770F"/>
    <w:rsid w:val="2A9827A9"/>
    <w:rsid w:val="2AA1140C"/>
    <w:rsid w:val="2AA64C74"/>
    <w:rsid w:val="2AC95C35"/>
    <w:rsid w:val="2ACD2201"/>
    <w:rsid w:val="2ACF7D27"/>
    <w:rsid w:val="2AD72B50"/>
    <w:rsid w:val="2AE24021"/>
    <w:rsid w:val="2AF478F8"/>
    <w:rsid w:val="2AF754D0"/>
    <w:rsid w:val="2B0B2D29"/>
    <w:rsid w:val="2B4F401E"/>
    <w:rsid w:val="2B762899"/>
    <w:rsid w:val="2B8728E4"/>
    <w:rsid w:val="2B996FCF"/>
    <w:rsid w:val="2B9D7E25"/>
    <w:rsid w:val="2BA56CDA"/>
    <w:rsid w:val="2BB60EE7"/>
    <w:rsid w:val="2BDD6474"/>
    <w:rsid w:val="2BE54DFC"/>
    <w:rsid w:val="2BF1130D"/>
    <w:rsid w:val="2BF65788"/>
    <w:rsid w:val="2C030609"/>
    <w:rsid w:val="2C084AB6"/>
    <w:rsid w:val="2C11611D"/>
    <w:rsid w:val="2C3C66FD"/>
    <w:rsid w:val="2C4B4009"/>
    <w:rsid w:val="2C5543CE"/>
    <w:rsid w:val="2C6D3C9C"/>
    <w:rsid w:val="2C7F360C"/>
    <w:rsid w:val="2C8132A3"/>
    <w:rsid w:val="2C8E776E"/>
    <w:rsid w:val="2C9E3E55"/>
    <w:rsid w:val="2CB843E6"/>
    <w:rsid w:val="2CF9552F"/>
    <w:rsid w:val="2D0F08AF"/>
    <w:rsid w:val="2D1E0AF2"/>
    <w:rsid w:val="2D3622E0"/>
    <w:rsid w:val="2D3A16A4"/>
    <w:rsid w:val="2D8079FF"/>
    <w:rsid w:val="2D9E1C33"/>
    <w:rsid w:val="2DB13BC4"/>
    <w:rsid w:val="2DC917A3"/>
    <w:rsid w:val="2DD83397"/>
    <w:rsid w:val="2DEC6175"/>
    <w:rsid w:val="2DF01A8D"/>
    <w:rsid w:val="2DF310EC"/>
    <w:rsid w:val="2E135707"/>
    <w:rsid w:val="2E14009B"/>
    <w:rsid w:val="2E201023"/>
    <w:rsid w:val="2E254102"/>
    <w:rsid w:val="2EA63495"/>
    <w:rsid w:val="2EAE40F8"/>
    <w:rsid w:val="2EBF00B3"/>
    <w:rsid w:val="2EC8340B"/>
    <w:rsid w:val="2ECF06A3"/>
    <w:rsid w:val="2EDC61C0"/>
    <w:rsid w:val="2EF75A9F"/>
    <w:rsid w:val="2EFA0F95"/>
    <w:rsid w:val="2F01691D"/>
    <w:rsid w:val="2F2E4BD5"/>
    <w:rsid w:val="2F3F49C0"/>
    <w:rsid w:val="2F406A33"/>
    <w:rsid w:val="2F6649D2"/>
    <w:rsid w:val="2F86505D"/>
    <w:rsid w:val="2F8A06C1"/>
    <w:rsid w:val="2F8F3F29"/>
    <w:rsid w:val="2F94153F"/>
    <w:rsid w:val="2FBB6ACC"/>
    <w:rsid w:val="2FBE480E"/>
    <w:rsid w:val="2FD91648"/>
    <w:rsid w:val="2FDC41A7"/>
    <w:rsid w:val="2FF16992"/>
    <w:rsid w:val="304B42F4"/>
    <w:rsid w:val="306E1D90"/>
    <w:rsid w:val="30BA4FD6"/>
    <w:rsid w:val="30BD6874"/>
    <w:rsid w:val="30C26D77"/>
    <w:rsid w:val="30D50061"/>
    <w:rsid w:val="30E67B79"/>
    <w:rsid w:val="30EC0F07"/>
    <w:rsid w:val="31034FA7"/>
    <w:rsid w:val="311D7312"/>
    <w:rsid w:val="31327262"/>
    <w:rsid w:val="31AC0DC2"/>
    <w:rsid w:val="31B97C3C"/>
    <w:rsid w:val="31CB6D6E"/>
    <w:rsid w:val="31D43E75"/>
    <w:rsid w:val="31DE2F46"/>
    <w:rsid w:val="31EA5447"/>
    <w:rsid w:val="32022F9B"/>
    <w:rsid w:val="320D7387"/>
    <w:rsid w:val="323B3EF4"/>
    <w:rsid w:val="325D20BC"/>
    <w:rsid w:val="32637776"/>
    <w:rsid w:val="32645ABA"/>
    <w:rsid w:val="326F1DF0"/>
    <w:rsid w:val="32C80279"/>
    <w:rsid w:val="32D57EA5"/>
    <w:rsid w:val="32EC51EE"/>
    <w:rsid w:val="32FD11AA"/>
    <w:rsid w:val="334A0835"/>
    <w:rsid w:val="33527747"/>
    <w:rsid w:val="337B1E38"/>
    <w:rsid w:val="337E75BF"/>
    <w:rsid w:val="338D077F"/>
    <w:rsid w:val="33AD1B3B"/>
    <w:rsid w:val="33E52369"/>
    <w:rsid w:val="33E768E8"/>
    <w:rsid w:val="342C6AE6"/>
    <w:rsid w:val="34384B8F"/>
    <w:rsid w:val="34496D9C"/>
    <w:rsid w:val="34AA5361"/>
    <w:rsid w:val="34B53CF1"/>
    <w:rsid w:val="34B63D06"/>
    <w:rsid w:val="34BF02F1"/>
    <w:rsid w:val="34D76CEE"/>
    <w:rsid w:val="34E42621"/>
    <w:rsid w:val="34FE2B91"/>
    <w:rsid w:val="35307BB9"/>
    <w:rsid w:val="353335A8"/>
    <w:rsid w:val="35551771"/>
    <w:rsid w:val="359F0C3E"/>
    <w:rsid w:val="35A3146B"/>
    <w:rsid w:val="35BC359E"/>
    <w:rsid w:val="35D72186"/>
    <w:rsid w:val="35FA7C22"/>
    <w:rsid w:val="36084CCD"/>
    <w:rsid w:val="36213401"/>
    <w:rsid w:val="36260A17"/>
    <w:rsid w:val="363B5553"/>
    <w:rsid w:val="36413AA3"/>
    <w:rsid w:val="36745C27"/>
    <w:rsid w:val="368F2A60"/>
    <w:rsid w:val="36982EB1"/>
    <w:rsid w:val="36983AB3"/>
    <w:rsid w:val="36AA5AEC"/>
    <w:rsid w:val="36AB7BDB"/>
    <w:rsid w:val="36BD75CE"/>
    <w:rsid w:val="37040D59"/>
    <w:rsid w:val="370C5E5F"/>
    <w:rsid w:val="372B09DB"/>
    <w:rsid w:val="37490E61"/>
    <w:rsid w:val="378325C5"/>
    <w:rsid w:val="3787316A"/>
    <w:rsid w:val="37991DE9"/>
    <w:rsid w:val="37A85586"/>
    <w:rsid w:val="37C30C14"/>
    <w:rsid w:val="37D921E5"/>
    <w:rsid w:val="37EF7C5B"/>
    <w:rsid w:val="37F45271"/>
    <w:rsid w:val="381E4D0E"/>
    <w:rsid w:val="38415FDC"/>
    <w:rsid w:val="38637D01"/>
    <w:rsid w:val="38991974"/>
    <w:rsid w:val="38A22DE8"/>
    <w:rsid w:val="38AC16A8"/>
    <w:rsid w:val="38BF5795"/>
    <w:rsid w:val="38D429AD"/>
    <w:rsid w:val="38E06A18"/>
    <w:rsid w:val="38F72744"/>
    <w:rsid w:val="396B2385"/>
    <w:rsid w:val="39783C80"/>
    <w:rsid w:val="39C43637"/>
    <w:rsid w:val="39CE38A0"/>
    <w:rsid w:val="39E41315"/>
    <w:rsid w:val="39E87625"/>
    <w:rsid w:val="39EC06FD"/>
    <w:rsid w:val="3A06128C"/>
    <w:rsid w:val="3A1A4D37"/>
    <w:rsid w:val="3A2160C5"/>
    <w:rsid w:val="3A410516"/>
    <w:rsid w:val="3A5913BB"/>
    <w:rsid w:val="3A687850"/>
    <w:rsid w:val="3A6C7AB6"/>
    <w:rsid w:val="3A6F0BDF"/>
    <w:rsid w:val="3A756D3C"/>
    <w:rsid w:val="3A8A77C7"/>
    <w:rsid w:val="3A940645"/>
    <w:rsid w:val="3A96260F"/>
    <w:rsid w:val="3A9729A1"/>
    <w:rsid w:val="3AC435AD"/>
    <w:rsid w:val="3AC727C9"/>
    <w:rsid w:val="3AD273C0"/>
    <w:rsid w:val="3AD4138A"/>
    <w:rsid w:val="3AD51F3C"/>
    <w:rsid w:val="3AD82C28"/>
    <w:rsid w:val="3AEC66D3"/>
    <w:rsid w:val="3B0E03F8"/>
    <w:rsid w:val="3B18482A"/>
    <w:rsid w:val="3B5F50F7"/>
    <w:rsid w:val="3B6049CB"/>
    <w:rsid w:val="3B9B1EFB"/>
    <w:rsid w:val="3B9B5A04"/>
    <w:rsid w:val="3BA64880"/>
    <w:rsid w:val="3BA725FA"/>
    <w:rsid w:val="3BC136BC"/>
    <w:rsid w:val="3BC44F5A"/>
    <w:rsid w:val="3BEE0229"/>
    <w:rsid w:val="3BFA6BCE"/>
    <w:rsid w:val="3C125304"/>
    <w:rsid w:val="3C1F03E3"/>
    <w:rsid w:val="3C3420E0"/>
    <w:rsid w:val="3C6978B0"/>
    <w:rsid w:val="3C72216E"/>
    <w:rsid w:val="3C756255"/>
    <w:rsid w:val="3C7C4374"/>
    <w:rsid w:val="3C814BF9"/>
    <w:rsid w:val="3CE67FA7"/>
    <w:rsid w:val="3D167A38"/>
    <w:rsid w:val="3D324146"/>
    <w:rsid w:val="3D45031D"/>
    <w:rsid w:val="3D89645B"/>
    <w:rsid w:val="3DA07301"/>
    <w:rsid w:val="3DB2122A"/>
    <w:rsid w:val="3DCC6348"/>
    <w:rsid w:val="3E131F74"/>
    <w:rsid w:val="3E5527E2"/>
    <w:rsid w:val="3E5721D3"/>
    <w:rsid w:val="3E641040"/>
    <w:rsid w:val="3E66085F"/>
    <w:rsid w:val="3EA352FB"/>
    <w:rsid w:val="3ECA6D2C"/>
    <w:rsid w:val="3EDC6A5F"/>
    <w:rsid w:val="3F057D64"/>
    <w:rsid w:val="3F07177C"/>
    <w:rsid w:val="3F414871"/>
    <w:rsid w:val="3F504BCE"/>
    <w:rsid w:val="3F9410E8"/>
    <w:rsid w:val="3F9E41B7"/>
    <w:rsid w:val="3FDA4D4C"/>
    <w:rsid w:val="3FF35E0E"/>
    <w:rsid w:val="40750F19"/>
    <w:rsid w:val="407A208B"/>
    <w:rsid w:val="40AC7C1A"/>
    <w:rsid w:val="40BE01CA"/>
    <w:rsid w:val="40DC5E7A"/>
    <w:rsid w:val="40E165AE"/>
    <w:rsid w:val="40F260C6"/>
    <w:rsid w:val="40F45D9F"/>
    <w:rsid w:val="40F72404"/>
    <w:rsid w:val="410525DF"/>
    <w:rsid w:val="41411C74"/>
    <w:rsid w:val="41610D6C"/>
    <w:rsid w:val="41874A60"/>
    <w:rsid w:val="418F24C8"/>
    <w:rsid w:val="41AD023F"/>
    <w:rsid w:val="41B94E35"/>
    <w:rsid w:val="41CE08E1"/>
    <w:rsid w:val="41FD4D22"/>
    <w:rsid w:val="420C2495"/>
    <w:rsid w:val="42154762"/>
    <w:rsid w:val="42187DAE"/>
    <w:rsid w:val="422F4E00"/>
    <w:rsid w:val="423F358D"/>
    <w:rsid w:val="42784CF1"/>
    <w:rsid w:val="42982C9D"/>
    <w:rsid w:val="429D6505"/>
    <w:rsid w:val="42A41642"/>
    <w:rsid w:val="42A67168"/>
    <w:rsid w:val="42C700D1"/>
    <w:rsid w:val="42DA32B5"/>
    <w:rsid w:val="42E303BC"/>
    <w:rsid w:val="43036368"/>
    <w:rsid w:val="430976F7"/>
    <w:rsid w:val="43106CD7"/>
    <w:rsid w:val="432A7D99"/>
    <w:rsid w:val="43454BD3"/>
    <w:rsid w:val="437B6846"/>
    <w:rsid w:val="439416B6"/>
    <w:rsid w:val="43961B0A"/>
    <w:rsid w:val="439D67BD"/>
    <w:rsid w:val="43A951FE"/>
    <w:rsid w:val="43AE707F"/>
    <w:rsid w:val="43B21B3C"/>
    <w:rsid w:val="43D30430"/>
    <w:rsid w:val="43D46912"/>
    <w:rsid w:val="43D47D05"/>
    <w:rsid w:val="43DD4E0B"/>
    <w:rsid w:val="441B5EEA"/>
    <w:rsid w:val="44284A81"/>
    <w:rsid w:val="44413B31"/>
    <w:rsid w:val="445B0426"/>
    <w:rsid w:val="44602223"/>
    <w:rsid w:val="446B6914"/>
    <w:rsid w:val="446C618F"/>
    <w:rsid w:val="44E26451"/>
    <w:rsid w:val="44EF050F"/>
    <w:rsid w:val="44FF4E55"/>
    <w:rsid w:val="45107DF6"/>
    <w:rsid w:val="45126081"/>
    <w:rsid w:val="453C3DB3"/>
    <w:rsid w:val="45445C25"/>
    <w:rsid w:val="45844CF3"/>
    <w:rsid w:val="45B22963"/>
    <w:rsid w:val="45D2562C"/>
    <w:rsid w:val="45F4643C"/>
    <w:rsid w:val="46010275"/>
    <w:rsid w:val="460C19D8"/>
    <w:rsid w:val="4618037D"/>
    <w:rsid w:val="462F3918"/>
    <w:rsid w:val="4631143E"/>
    <w:rsid w:val="46332C3A"/>
    <w:rsid w:val="46401681"/>
    <w:rsid w:val="46474C3A"/>
    <w:rsid w:val="46516BC6"/>
    <w:rsid w:val="467D28D5"/>
    <w:rsid w:val="46C44060"/>
    <w:rsid w:val="46CE4EDF"/>
    <w:rsid w:val="46DB13AA"/>
    <w:rsid w:val="46F30DEA"/>
    <w:rsid w:val="46FA5CD4"/>
    <w:rsid w:val="470703F1"/>
    <w:rsid w:val="471D19C3"/>
    <w:rsid w:val="4723347D"/>
    <w:rsid w:val="475E44B5"/>
    <w:rsid w:val="477C2B8D"/>
    <w:rsid w:val="478517E3"/>
    <w:rsid w:val="47A619B8"/>
    <w:rsid w:val="47B40579"/>
    <w:rsid w:val="47C87B80"/>
    <w:rsid w:val="47CB7671"/>
    <w:rsid w:val="47D52BFA"/>
    <w:rsid w:val="47DC187E"/>
    <w:rsid w:val="47FB7F56"/>
    <w:rsid w:val="48054931"/>
    <w:rsid w:val="48401E0D"/>
    <w:rsid w:val="48417443"/>
    <w:rsid w:val="484B4866"/>
    <w:rsid w:val="4850285B"/>
    <w:rsid w:val="485D4407"/>
    <w:rsid w:val="487579AB"/>
    <w:rsid w:val="48796911"/>
    <w:rsid w:val="48981C49"/>
    <w:rsid w:val="489B5295"/>
    <w:rsid w:val="489F6B33"/>
    <w:rsid w:val="48A57EC2"/>
    <w:rsid w:val="48DF5182"/>
    <w:rsid w:val="48EB7FCA"/>
    <w:rsid w:val="48F0738F"/>
    <w:rsid w:val="49100B6D"/>
    <w:rsid w:val="4911440B"/>
    <w:rsid w:val="493E459E"/>
    <w:rsid w:val="49451847"/>
    <w:rsid w:val="495A5150"/>
    <w:rsid w:val="49700FB2"/>
    <w:rsid w:val="49830203"/>
    <w:rsid w:val="49865F45"/>
    <w:rsid w:val="498F3072"/>
    <w:rsid w:val="499C7517"/>
    <w:rsid w:val="49AD702E"/>
    <w:rsid w:val="49B900C8"/>
    <w:rsid w:val="49C05013"/>
    <w:rsid w:val="49D4280C"/>
    <w:rsid w:val="49D547D7"/>
    <w:rsid w:val="49D92519"/>
    <w:rsid w:val="49FC1D63"/>
    <w:rsid w:val="4A174382"/>
    <w:rsid w:val="4A2E3825"/>
    <w:rsid w:val="4A3E237C"/>
    <w:rsid w:val="4A5D4EF8"/>
    <w:rsid w:val="4A730277"/>
    <w:rsid w:val="4AC05487"/>
    <w:rsid w:val="4AC46D25"/>
    <w:rsid w:val="4ADE5B69"/>
    <w:rsid w:val="4AE178D7"/>
    <w:rsid w:val="4AED1170"/>
    <w:rsid w:val="4B302569"/>
    <w:rsid w:val="4B3612A5"/>
    <w:rsid w:val="4B38501D"/>
    <w:rsid w:val="4B3C4B0D"/>
    <w:rsid w:val="4B3D0885"/>
    <w:rsid w:val="4B46598C"/>
    <w:rsid w:val="4B4C0AC8"/>
    <w:rsid w:val="4B5A31E5"/>
    <w:rsid w:val="4B5F07FC"/>
    <w:rsid w:val="4B7F0E9E"/>
    <w:rsid w:val="4B873C8F"/>
    <w:rsid w:val="4BB9615E"/>
    <w:rsid w:val="4BFB49C8"/>
    <w:rsid w:val="4BFC604B"/>
    <w:rsid w:val="4C3074A0"/>
    <w:rsid w:val="4C3B4DC5"/>
    <w:rsid w:val="4C575977"/>
    <w:rsid w:val="4C5E44E7"/>
    <w:rsid w:val="4C681932"/>
    <w:rsid w:val="4C7327B1"/>
    <w:rsid w:val="4C800A2A"/>
    <w:rsid w:val="4C9149E5"/>
    <w:rsid w:val="4CCA439B"/>
    <w:rsid w:val="4CD82614"/>
    <w:rsid w:val="4CDB0E7B"/>
    <w:rsid w:val="4D0C49B3"/>
    <w:rsid w:val="4D425AA5"/>
    <w:rsid w:val="4D537EEC"/>
    <w:rsid w:val="4D61085B"/>
    <w:rsid w:val="4D6635B4"/>
    <w:rsid w:val="4D866514"/>
    <w:rsid w:val="4D970721"/>
    <w:rsid w:val="4DBC1F35"/>
    <w:rsid w:val="4DC03959"/>
    <w:rsid w:val="4DC42B98"/>
    <w:rsid w:val="4DC71BA6"/>
    <w:rsid w:val="4DC86B2C"/>
    <w:rsid w:val="4DC90D02"/>
    <w:rsid w:val="4DD51249"/>
    <w:rsid w:val="4DF3205C"/>
    <w:rsid w:val="4DF7603A"/>
    <w:rsid w:val="4E121B55"/>
    <w:rsid w:val="4E140C20"/>
    <w:rsid w:val="4E2D2E33"/>
    <w:rsid w:val="4E353A96"/>
    <w:rsid w:val="4E5C54C6"/>
    <w:rsid w:val="4E771AC0"/>
    <w:rsid w:val="4E8642F1"/>
    <w:rsid w:val="4EA8070C"/>
    <w:rsid w:val="4EA97243"/>
    <w:rsid w:val="4EB27A9C"/>
    <w:rsid w:val="4EC217CD"/>
    <w:rsid w:val="4ED63859"/>
    <w:rsid w:val="4F204746"/>
    <w:rsid w:val="4F29184C"/>
    <w:rsid w:val="4F2E29BF"/>
    <w:rsid w:val="4FB05ACA"/>
    <w:rsid w:val="4FB54E8E"/>
    <w:rsid w:val="4FE25169"/>
    <w:rsid w:val="50265D8C"/>
    <w:rsid w:val="504633A1"/>
    <w:rsid w:val="50493828"/>
    <w:rsid w:val="50546455"/>
    <w:rsid w:val="506B379F"/>
    <w:rsid w:val="507E34D2"/>
    <w:rsid w:val="50C51101"/>
    <w:rsid w:val="50D457E8"/>
    <w:rsid w:val="50FC1D4C"/>
    <w:rsid w:val="510E1CB0"/>
    <w:rsid w:val="515661FD"/>
    <w:rsid w:val="51624BA2"/>
    <w:rsid w:val="51656783"/>
    <w:rsid w:val="51730B5D"/>
    <w:rsid w:val="51736DAF"/>
    <w:rsid w:val="517D7C2E"/>
    <w:rsid w:val="5184720E"/>
    <w:rsid w:val="518E3BE9"/>
    <w:rsid w:val="51954F77"/>
    <w:rsid w:val="5195685C"/>
    <w:rsid w:val="519A07DF"/>
    <w:rsid w:val="51BC10EB"/>
    <w:rsid w:val="51BD44CE"/>
    <w:rsid w:val="51D27F79"/>
    <w:rsid w:val="51FD2B1C"/>
    <w:rsid w:val="521F0CE5"/>
    <w:rsid w:val="52233BBC"/>
    <w:rsid w:val="52532010"/>
    <w:rsid w:val="52666BF1"/>
    <w:rsid w:val="526E7576"/>
    <w:rsid w:val="529E0586"/>
    <w:rsid w:val="52AD10BA"/>
    <w:rsid w:val="52E2243E"/>
    <w:rsid w:val="52ED2B91"/>
    <w:rsid w:val="52EF4B5B"/>
    <w:rsid w:val="53174EA9"/>
    <w:rsid w:val="531B5950"/>
    <w:rsid w:val="535624E4"/>
    <w:rsid w:val="536A6ABA"/>
    <w:rsid w:val="53936387"/>
    <w:rsid w:val="53BC4C49"/>
    <w:rsid w:val="53C0605C"/>
    <w:rsid w:val="53D004E8"/>
    <w:rsid w:val="53D33B35"/>
    <w:rsid w:val="53DA1367"/>
    <w:rsid w:val="53DF69F9"/>
    <w:rsid w:val="53E75832"/>
    <w:rsid w:val="53EC5007"/>
    <w:rsid w:val="53EE52B9"/>
    <w:rsid w:val="542309FF"/>
    <w:rsid w:val="54482775"/>
    <w:rsid w:val="5449029B"/>
    <w:rsid w:val="544F5575"/>
    <w:rsid w:val="54AD4386"/>
    <w:rsid w:val="54E0475B"/>
    <w:rsid w:val="55055F70"/>
    <w:rsid w:val="551C775D"/>
    <w:rsid w:val="556C4241"/>
    <w:rsid w:val="55886EBB"/>
    <w:rsid w:val="55B31E70"/>
    <w:rsid w:val="55CE6CAA"/>
    <w:rsid w:val="55F83D27"/>
    <w:rsid w:val="560B216A"/>
    <w:rsid w:val="560C332E"/>
    <w:rsid w:val="561A1EEF"/>
    <w:rsid w:val="56A31EE4"/>
    <w:rsid w:val="56AF6ADB"/>
    <w:rsid w:val="56B11FD3"/>
    <w:rsid w:val="56CD51B3"/>
    <w:rsid w:val="56D10DBC"/>
    <w:rsid w:val="56D41E62"/>
    <w:rsid w:val="56DC0F52"/>
    <w:rsid w:val="56F24C1A"/>
    <w:rsid w:val="57016C0B"/>
    <w:rsid w:val="571957A0"/>
    <w:rsid w:val="57246AB1"/>
    <w:rsid w:val="57323268"/>
    <w:rsid w:val="574134AB"/>
    <w:rsid w:val="574D00A2"/>
    <w:rsid w:val="5753300D"/>
    <w:rsid w:val="577473DD"/>
    <w:rsid w:val="577C44E3"/>
    <w:rsid w:val="578515EA"/>
    <w:rsid w:val="57926AE2"/>
    <w:rsid w:val="57953E1C"/>
    <w:rsid w:val="57A06424"/>
    <w:rsid w:val="57A51C8C"/>
    <w:rsid w:val="57B8718F"/>
    <w:rsid w:val="57D367F9"/>
    <w:rsid w:val="580E15DF"/>
    <w:rsid w:val="58226E39"/>
    <w:rsid w:val="583059FA"/>
    <w:rsid w:val="583152CE"/>
    <w:rsid w:val="584E40D2"/>
    <w:rsid w:val="587C7B4E"/>
    <w:rsid w:val="58854E97"/>
    <w:rsid w:val="589715D5"/>
    <w:rsid w:val="58AB6E2E"/>
    <w:rsid w:val="58BD6B62"/>
    <w:rsid w:val="59011144"/>
    <w:rsid w:val="590429E2"/>
    <w:rsid w:val="59084281"/>
    <w:rsid w:val="590D5D3B"/>
    <w:rsid w:val="590F3861"/>
    <w:rsid w:val="5919648E"/>
    <w:rsid w:val="591E1145"/>
    <w:rsid w:val="59372DB8"/>
    <w:rsid w:val="59605E6B"/>
    <w:rsid w:val="599975CF"/>
    <w:rsid w:val="599D70BF"/>
    <w:rsid w:val="599D71ED"/>
    <w:rsid w:val="59B36E13"/>
    <w:rsid w:val="59C06909"/>
    <w:rsid w:val="59D423B5"/>
    <w:rsid w:val="59DE2A5E"/>
    <w:rsid w:val="59EA5A3E"/>
    <w:rsid w:val="59F12F67"/>
    <w:rsid w:val="5A1645DA"/>
    <w:rsid w:val="5A7D2A4C"/>
    <w:rsid w:val="5A7F67C4"/>
    <w:rsid w:val="5A875679"/>
    <w:rsid w:val="5AA224B3"/>
    <w:rsid w:val="5AA91A93"/>
    <w:rsid w:val="5AB741B0"/>
    <w:rsid w:val="5AC14BD4"/>
    <w:rsid w:val="5AC62645"/>
    <w:rsid w:val="5ACD70B5"/>
    <w:rsid w:val="5AF820D3"/>
    <w:rsid w:val="5AFE3B8D"/>
    <w:rsid w:val="5B021A65"/>
    <w:rsid w:val="5B32574F"/>
    <w:rsid w:val="5B416798"/>
    <w:rsid w:val="5B4E6197"/>
    <w:rsid w:val="5B6065F6"/>
    <w:rsid w:val="5B6504B8"/>
    <w:rsid w:val="5B743E4F"/>
    <w:rsid w:val="5B7C4AB2"/>
    <w:rsid w:val="5B885B4D"/>
    <w:rsid w:val="5B8F6EDB"/>
    <w:rsid w:val="5B9D7881"/>
    <w:rsid w:val="5BA34735"/>
    <w:rsid w:val="5BA6375C"/>
    <w:rsid w:val="5BBE156E"/>
    <w:rsid w:val="5BC6637D"/>
    <w:rsid w:val="5BD41D02"/>
    <w:rsid w:val="5BDF468F"/>
    <w:rsid w:val="5BE70AC5"/>
    <w:rsid w:val="5C294C3A"/>
    <w:rsid w:val="5C58107B"/>
    <w:rsid w:val="5C62014C"/>
    <w:rsid w:val="5C902F0B"/>
    <w:rsid w:val="5CA2679A"/>
    <w:rsid w:val="5CA8779D"/>
    <w:rsid w:val="5CB0469B"/>
    <w:rsid w:val="5CBC5AAE"/>
    <w:rsid w:val="5D064F7B"/>
    <w:rsid w:val="5D101956"/>
    <w:rsid w:val="5D215911"/>
    <w:rsid w:val="5D2378DB"/>
    <w:rsid w:val="5D2418A5"/>
    <w:rsid w:val="5D3C1308"/>
    <w:rsid w:val="5D5932FD"/>
    <w:rsid w:val="5D6D4FFA"/>
    <w:rsid w:val="5D6F50AB"/>
    <w:rsid w:val="5DA43E8F"/>
    <w:rsid w:val="5DBF512A"/>
    <w:rsid w:val="5DFD1C63"/>
    <w:rsid w:val="5E056FE1"/>
    <w:rsid w:val="5E0D40E7"/>
    <w:rsid w:val="5E1216FE"/>
    <w:rsid w:val="5E167440"/>
    <w:rsid w:val="5E314430"/>
    <w:rsid w:val="5E4F0FA1"/>
    <w:rsid w:val="5E767EDE"/>
    <w:rsid w:val="5E783C56"/>
    <w:rsid w:val="5E7C78C4"/>
    <w:rsid w:val="5E85519C"/>
    <w:rsid w:val="5E9842F9"/>
    <w:rsid w:val="5EA66A16"/>
    <w:rsid w:val="5EB56C59"/>
    <w:rsid w:val="5ECA1FD8"/>
    <w:rsid w:val="5EF7101F"/>
    <w:rsid w:val="5F0279C4"/>
    <w:rsid w:val="5F096FA4"/>
    <w:rsid w:val="5F0F0481"/>
    <w:rsid w:val="5F237C13"/>
    <w:rsid w:val="5F5024DD"/>
    <w:rsid w:val="5F6515E1"/>
    <w:rsid w:val="5FA34D03"/>
    <w:rsid w:val="5FAA6092"/>
    <w:rsid w:val="5FBD18C0"/>
    <w:rsid w:val="5FCD1D80"/>
    <w:rsid w:val="5FE570CA"/>
    <w:rsid w:val="5FF773D0"/>
    <w:rsid w:val="601479AF"/>
    <w:rsid w:val="605204D7"/>
    <w:rsid w:val="60536729"/>
    <w:rsid w:val="605F48CE"/>
    <w:rsid w:val="606A7551"/>
    <w:rsid w:val="6082700E"/>
    <w:rsid w:val="60A56859"/>
    <w:rsid w:val="60B02615"/>
    <w:rsid w:val="60DF1D6B"/>
    <w:rsid w:val="612B1454"/>
    <w:rsid w:val="61363955"/>
    <w:rsid w:val="61777F28"/>
    <w:rsid w:val="61783F6D"/>
    <w:rsid w:val="617D0D4F"/>
    <w:rsid w:val="617F70AA"/>
    <w:rsid w:val="61B11B27"/>
    <w:rsid w:val="61B76844"/>
    <w:rsid w:val="61BA603B"/>
    <w:rsid w:val="61F5736C"/>
    <w:rsid w:val="620D46B6"/>
    <w:rsid w:val="621853A7"/>
    <w:rsid w:val="621B3277"/>
    <w:rsid w:val="62285994"/>
    <w:rsid w:val="624520A2"/>
    <w:rsid w:val="626F08D2"/>
    <w:rsid w:val="627E3805"/>
    <w:rsid w:val="628343B2"/>
    <w:rsid w:val="62A36DC8"/>
    <w:rsid w:val="62A46F1A"/>
    <w:rsid w:val="62A50D92"/>
    <w:rsid w:val="62C808EF"/>
    <w:rsid w:val="62C95C9D"/>
    <w:rsid w:val="62EA0E9B"/>
    <w:rsid w:val="62F615EE"/>
    <w:rsid w:val="630B261B"/>
    <w:rsid w:val="633F2F95"/>
    <w:rsid w:val="634328DC"/>
    <w:rsid w:val="634768C4"/>
    <w:rsid w:val="634E31D8"/>
    <w:rsid w:val="6390559E"/>
    <w:rsid w:val="63992ED3"/>
    <w:rsid w:val="63B429E0"/>
    <w:rsid w:val="63B85F17"/>
    <w:rsid w:val="63D731CD"/>
    <w:rsid w:val="63DA4A6C"/>
    <w:rsid w:val="63F04144"/>
    <w:rsid w:val="63FC0E86"/>
    <w:rsid w:val="640851B8"/>
    <w:rsid w:val="646F3406"/>
    <w:rsid w:val="647328E5"/>
    <w:rsid w:val="6481138B"/>
    <w:rsid w:val="64994927"/>
    <w:rsid w:val="64AA32EB"/>
    <w:rsid w:val="64BB489D"/>
    <w:rsid w:val="64D43BB1"/>
    <w:rsid w:val="64D4595F"/>
    <w:rsid w:val="64E7706E"/>
    <w:rsid w:val="64F93617"/>
    <w:rsid w:val="65077AE2"/>
    <w:rsid w:val="650A75D2"/>
    <w:rsid w:val="653C0A00"/>
    <w:rsid w:val="654C0A5A"/>
    <w:rsid w:val="65537E3F"/>
    <w:rsid w:val="6554084E"/>
    <w:rsid w:val="656211BC"/>
    <w:rsid w:val="65870C23"/>
    <w:rsid w:val="65A610A9"/>
    <w:rsid w:val="65B03CD6"/>
    <w:rsid w:val="65BD2836"/>
    <w:rsid w:val="65D97D98"/>
    <w:rsid w:val="65E46075"/>
    <w:rsid w:val="65E971E8"/>
    <w:rsid w:val="66065FEC"/>
    <w:rsid w:val="6618280B"/>
    <w:rsid w:val="665F74AA"/>
    <w:rsid w:val="6665432F"/>
    <w:rsid w:val="66680A54"/>
    <w:rsid w:val="667A1C88"/>
    <w:rsid w:val="667E51BF"/>
    <w:rsid w:val="66853CD8"/>
    <w:rsid w:val="6686712D"/>
    <w:rsid w:val="66994C63"/>
    <w:rsid w:val="669B6734"/>
    <w:rsid w:val="66A15D14"/>
    <w:rsid w:val="66CC0FE3"/>
    <w:rsid w:val="66D71736"/>
    <w:rsid w:val="66E856F1"/>
    <w:rsid w:val="671169F6"/>
    <w:rsid w:val="671628D8"/>
    <w:rsid w:val="67197137"/>
    <w:rsid w:val="67231782"/>
    <w:rsid w:val="672E57FA"/>
    <w:rsid w:val="674566A0"/>
    <w:rsid w:val="67801DCE"/>
    <w:rsid w:val="67A71109"/>
    <w:rsid w:val="67AD44A6"/>
    <w:rsid w:val="67D16BE6"/>
    <w:rsid w:val="68012F0F"/>
    <w:rsid w:val="682C7352"/>
    <w:rsid w:val="684E57FE"/>
    <w:rsid w:val="68725BBA"/>
    <w:rsid w:val="687C37EE"/>
    <w:rsid w:val="689E69AF"/>
    <w:rsid w:val="68AC6860"/>
    <w:rsid w:val="68B43ADD"/>
    <w:rsid w:val="68B97AB4"/>
    <w:rsid w:val="68BE670A"/>
    <w:rsid w:val="68C1444C"/>
    <w:rsid w:val="68CF0917"/>
    <w:rsid w:val="68F465CF"/>
    <w:rsid w:val="690305C1"/>
    <w:rsid w:val="690C3919"/>
    <w:rsid w:val="690D3027"/>
    <w:rsid w:val="69450BD9"/>
    <w:rsid w:val="694A00FB"/>
    <w:rsid w:val="694C4035"/>
    <w:rsid w:val="695D5F23"/>
    <w:rsid w:val="696A0640"/>
    <w:rsid w:val="698B3DF8"/>
    <w:rsid w:val="698C5E14"/>
    <w:rsid w:val="69D06B7F"/>
    <w:rsid w:val="69E070FB"/>
    <w:rsid w:val="69E71C90"/>
    <w:rsid w:val="69F73BDE"/>
    <w:rsid w:val="6A5D7C4F"/>
    <w:rsid w:val="6A7E79C5"/>
    <w:rsid w:val="6A8676FB"/>
    <w:rsid w:val="6A927E4E"/>
    <w:rsid w:val="6A9A4F55"/>
    <w:rsid w:val="6ACB04D9"/>
    <w:rsid w:val="6AD6058C"/>
    <w:rsid w:val="6AD82F01"/>
    <w:rsid w:val="6AF208ED"/>
    <w:rsid w:val="6B1B6095"/>
    <w:rsid w:val="6B46754E"/>
    <w:rsid w:val="6B566AD7"/>
    <w:rsid w:val="6B5C045C"/>
    <w:rsid w:val="6B5E41D4"/>
    <w:rsid w:val="6B67752D"/>
    <w:rsid w:val="6B687EEB"/>
    <w:rsid w:val="6B6E08BB"/>
    <w:rsid w:val="6B6F1F3D"/>
    <w:rsid w:val="6B9612A6"/>
    <w:rsid w:val="6B96396E"/>
    <w:rsid w:val="6BAE0CB8"/>
    <w:rsid w:val="6BBC4231"/>
    <w:rsid w:val="6BDF3567"/>
    <w:rsid w:val="6BE63491"/>
    <w:rsid w:val="6BF20790"/>
    <w:rsid w:val="6C00528B"/>
    <w:rsid w:val="6C3A3AEB"/>
    <w:rsid w:val="6C5F25C1"/>
    <w:rsid w:val="6C733CAF"/>
    <w:rsid w:val="6C9C4FB4"/>
    <w:rsid w:val="6CAD5413"/>
    <w:rsid w:val="6CFC1EF7"/>
    <w:rsid w:val="6D0112BB"/>
    <w:rsid w:val="6D056FFD"/>
    <w:rsid w:val="6D2D20B0"/>
    <w:rsid w:val="6D2E1CB4"/>
    <w:rsid w:val="6D4A4A10"/>
    <w:rsid w:val="6D8223FC"/>
    <w:rsid w:val="6DA87988"/>
    <w:rsid w:val="6DC42A14"/>
    <w:rsid w:val="6DCD73EF"/>
    <w:rsid w:val="6DCF760B"/>
    <w:rsid w:val="6DE035C6"/>
    <w:rsid w:val="6DEE5CE3"/>
    <w:rsid w:val="6E6F0A97"/>
    <w:rsid w:val="6E9077B7"/>
    <w:rsid w:val="6EA6211A"/>
    <w:rsid w:val="6EB8009F"/>
    <w:rsid w:val="6EBC31C7"/>
    <w:rsid w:val="6EC425A0"/>
    <w:rsid w:val="6EDA6267"/>
    <w:rsid w:val="6EDD13C6"/>
    <w:rsid w:val="6EE82732"/>
    <w:rsid w:val="6F322D3C"/>
    <w:rsid w:val="6F410095"/>
    <w:rsid w:val="6F4638FD"/>
    <w:rsid w:val="6F4C2F3F"/>
    <w:rsid w:val="6F8306AD"/>
    <w:rsid w:val="6F83245B"/>
    <w:rsid w:val="6F8C57B4"/>
    <w:rsid w:val="6F914B78"/>
    <w:rsid w:val="6FA03E83"/>
    <w:rsid w:val="6FB72105"/>
    <w:rsid w:val="6FB95E7D"/>
    <w:rsid w:val="6FE86762"/>
    <w:rsid w:val="6FEB6C08"/>
    <w:rsid w:val="6FEC0000"/>
    <w:rsid w:val="6FF3412A"/>
    <w:rsid w:val="700D7F77"/>
    <w:rsid w:val="70194B6E"/>
    <w:rsid w:val="703472D1"/>
    <w:rsid w:val="704936A5"/>
    <w:rsid w:val="70645DE9"/>
    <w:rsid w:val="70671D7D"/>
    <w:rsid w:val="7070143C"/>
    <w:rsid w:val="709A3F00"/>
    <w:rsid w:val="709D12FB"/>
    <w:rsid w:val="70D80585"/>
    <w:rsid w:val="70E909E4"/>
    <w:rsid w:val="70FA674D"/>
    <w:rsid w:val="713460F1"/>
    <w:rsid w:val="71663DE2"/>
    <w:rsid w:val="71677CFA"/>
    <w:rsid w:val="716F0EE9"/>
    <w:rsid w:val="717C53B4"/>
    <w:rsid w:val="71922E29"/>
    <w:rsid w:val="71B62B5E"/>
    <w:rsid w:val="71C611A7"/>
    <w:rsid w:val="71C72AD3"/>
    <w:rsid w:val="71C805F9"/>
    <w:rsid w:val="71CF7AA6"/>
    <w:rsid w:val="71D23226"/>
    <w:rsid w:val="71DE1BCB"/>
    <w:rsid w:val="71F87FAB"/>
    <w:rsid w:val="71FD1FC9"/>
    <w:rsid w:val="72273572"/>
    <w:rsid w:val="72331D5E"/>
    <w:rsid w:val="72331F17"/>
    <w:rsid w:val="72343EE1"/>
    <w:rsid w:val="724041E5"/>
    <w:rsid w:val="725325B9"/>
    <w:rsid w:val="726A345E"/>
    <w:rsid w:val="72750781"/>
    <w:rsid w:val="72901328"/>
    <w:rsid w:val="72AF5315"/>
    <w:rsid w:val="72BA2638"/>
    <w:rsid w:val="72C60FDD"/>
    <w:rsid w:val="730438B3"/>
    <w:rsid w:val="730A3D62"/>
    <w:rsid w:val="7329331A"/>
    <w:rsid w:val="73391C45"/>
    <w:rsid w:val="733F48EB"/>
    <w:rsid w:val="735D3CCF"/>
    <w:rsid w:val="738814D1"/>
    <w:rsid w:val="7393193B"/>
    <w:rsid w:val="73972979"/>
    <w:rsid w:val="73AF381F"/>
    <w:rsid w:val="73B077E9"/>
    <w:rsid w:val="73B41DC1"/>
    <w:rsid w:val="73BC44ED"/>
    <w:rsid w:val="74367A9C"/>
    <w:rsid w:val="744523D5"/>
    <w:rsid w:val="745368A0"/>
    <w:rsid w:val="74626AE3"/>
    <w:rsid w:val="747F58E7"/>
    <w:rsid w:val="749D7B1B"/>
    <w:rsid w:val="74B03CF2"/>
    <w:rsid w:val="74B11819"/>
    <w:rsid w:val="74D472B5"/>
    <w:rsid w:val="751A6A6C"/>
    <w:rsid w:val="75355FA6"/>
    <w:rsid w:val="753D558F"/>
    <w:rsid w:val="754E52B9"/>
    <w:rsid w:val="755E2869"/>
    <w:rsid w:val="75607F61"/>
    <w:rsid w:val="758764C9"/>
    <w:rsid w:val="75954C96"/>
    <w:rsid w:val="75B55338"/>
    <w:rsid w:val="75C80BC8"/>
    <w:rsid w:val="75CF01A8"/>
    <w:rsid w:val="75DF19BB"/>
    <w:rsid w:val="763143C4"/>
    <w:rsid w:val="76332056"/>
    <w:rsid w:val="76341BDA"/>
    <w:rsid w:val="7649111D"/>
    <w:rsid w:val="76746FA2"/>
    <w:rsid w:val="76790114"/>
    <w:rsid w:val="76816FC9"/>
    <w:rsid w:val="768A2321"/>
    <w:rsid w:val="76CB3B2C"/>
    <w:rsid w:val="76FB321F"/>
    <w:rsid w:val="77170059"/>
    <w:rsid w:val="77212C85"/>
    <w:rsid w:val="7722255A"/>
    <w:rsid w:val="772B7660"/>
    <w:rsid w:val="77324E93"/>
    <w:rsid w:val="77446974"/>
    <w:rsid w:val="77536BB7"/>
    <w:rsid w:val="7788187F"/>
    <w:rsid w:val="77A515BA"/>
    <w:rsid w:val="77BB123C"/>
    <w:rsid w:val="77BF424C"/>
    <w:rsid w:val="77C35AEB"/>
    <w:rsid w:val="77F008AA"/>
    <w:rsid w:val="77F263D0"/>
    <w:rsid w:val="77F43EF6"/>
    <w:rsid w:val="77F51A1C"/>
    <w:rsid w:val="77F66CAD"/>
    <w:rsid w:val="7809406B"/>
    <w:rsid w:val="78234D0F"/>
    <w:rsid w:val="782519D2"/>
    <w:rsid w:val="782D565A"/>
    <w:rsid w:val="784A1D68"/>
    <w:rsid w:val="784D7AAA"/>
    <w:rsid w:val="787C3BED"/>
    <w:rsid w:val="789D458E"/>
    <w:rsid w:val="78B35B5F"/>
    <w:rsid w:val="78C733B9"/>
    <w:rsid w:val="78D9133E"/>
    <w:rsid w:val="78E51A91"/>
    <w:rsid w:val="79015C52"/>
    <w:rsid w:val="79181E66"/>
    <w:rsid w:val="7926026C"/>
    <w:rsid w:val="79314CD6"/>
    <w:rsid w:val="794E5888"/>
    <w:rsid w:val="795310F0"/>
    <w:rsid w:val="797C0647"/>
    <w:rsid w:val="79872B48"/>
    <w:rsid w:val="79927E6B"/>
    <w:rsid w:val="79B06543"/>
    <w:rsid w:val="79CB512B"/>
    <w:rsid w:val="79E955B1"/>
    <w:rsid w:val="7A044199"/>
    <w:rsid w:val="7A3D657A"/>
    <w:rsid w:val="7A5F5873"/>
    <w:rsid w:val="7A7743D7"/>
    <w:rsid w:val="7AB12572"/>
    <w:rsid w:val="7AE30252"/>
    <w:rsid w:val="7AEA7832"/>
    <w:rsid w:val="7B03444E"/>
    <w:rsid w:val="7B0E1773"/>
    <w:rsid w:val="7B3867F0"/>
    <w:rsid w:val="7B4975CD"/>
    <w:rsid w:val="7B6A2721"/>
    <w:rsid w:val="7B7D013B"/>
    <w:rsid w:val="7BA619AB"/>
    <w:rsid w:val="7BF344C5"/>
    <w:rsid w:val="7BF8653B"/>
    <w:rsid w:val="7C0E57A2"/>
    <w:rsid w:val="7C2B3304"/>
    <w:rsid w:val="7C490E4C"/>
    <w:rsid w:val="7C5F1B82"/>
    <w:rsid w:val="7C6B04FF"/>
    <w:rsid w:val="7C6C62F2"/>
    <w:rsid w:val="7CB023B6"/>
    <w:rsid w:val="7CCB1CD3"/>
    <w:rsid w:val="7CD42E48"/>
    <w:rsid w:val="7CDC13FD"/>
    <w:rsid w:val="7D0A3524"/>
    <w:rsid w:val="7D2F59D0"/>
    <w:rsid w:val="7D4C0002"/>
    <w:rsid w:val="7D771D88"/>
    <w:rsid w:val="7D782ED3"/>
    <w:rsid w:val="7D9B4E14"/>
    <w:rsid w:val="7DAE7D31"/>
    <w:rsid w:val="7DB01DBF"/>
    <w:rsid w:val="7DE05BE8"/>
    <w:rsid w:val="7DE20C95"/>
    <w:rsid w:val="7DFC1D56"/>
    <w:rsid w:val="7E292420"/>
    <w:rsid w:val="7E3F60E7"/>
    <w:rsid w:val="7E4B05E8"/>
    <w:rsid w:val="7E64619D"/>
    <w:rsid w:val="7E6B6EDC"/>
    <w:rsid w:val="7E6C4590"/>
    <w:rsid w:val="7E7C2E97"/>
    <w:rsid w:val="7E7F64E4"/>
    <w:rsid w:val="7E885398"/>
    <w:rsid w:val="7E9975A5"/>
    <w:rsid w:val="7E9D1DE0"/>
    <w:rsid w:val="7E9F26E2"/>
    <w:rsid w:val="7EAF0B77"/>
    <w:rsid w:val="7EB919F5"/>
    <w:rsid w:val="7EC9775F"/>
    <w:rsid w:val="7EE03426"/>
    <w:rsid w:val="7EE30820"/>
    <w:rsid w:val="7EE30E1D"/>
    <w:rsid w:val="7EF50554"/>
    <w:rsid w:val="7EF742CC"/>
    <w:rsid w:val="7EFA053E"/>
    <w:rsid w:val="7F313C82"/>
    <w:rsid w:val="7F4C355B"/>
    <w:rsid w:val="7F62208D"/>
    <w:rsid w:val="7F673200"/>
    <w:rsid w:val="7F752EB6"/>
    <w:rsid w:val="7FB34697"/>
    <w:rsid w:val="7FB64187"/>
    <w:rsid w:val="7FC5261C"/>
    <w:rsid w:val="7FCC39AA"/>
    <w:rsid w:val="7FF014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1" w:semiHidden="0" w:name="heading 5"/>
    <w:lsdException w:qFormat="1" w:uiPriority="9" w:name="heading 6"/>
    <w:lsdException w:qFormat="1" w:unhideWhenUsed="0" w:uiPriority="1" w:semiHidden="0" w:name="heading 7"/>
    <w:lsdException w:qFormat="1" w:unhideWhenUsed="0" w:uiPriority="0" w:semiHidden="0" w:name="heading 8"/>
    <w:lsdException w:qFormat="1" w:uiPriority="9" w:name="heading 9"/>
    <w:lsdException w:qFormat="1"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semiHidden="0" w:name="annotation text"/>
    <w:lsdException w:qFormat="1" w:uiPriority="0" w:semiHidden="0" w:name="header"/>
    <w:lsdException w:qFormat="1" w:uiPriority="99" w:semiHidden="0" w:name="footer"/>
    <w:lsdException w:qFormat="1" w:unhideWhenUsed="0" w:uiPriority="0" w:name="index heading"/>
    <w:lsdException w:qFormat="1" w:unhideWhenUsed="0" w:uiPriority="35" w:semiHidden="0" w:name="caption"/>
    <w:lsdException w:qFormat="1" w:uiPriority="99" w:semiHidden="0"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qFormat="1" w:unhideWhenUsed="0" w:uiPriority="0" w:semiHidden="0"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1"/>
    <w:pPr>
      <w:widowControl w:val="0"/>
      <w:autoSpaceDE w:val="0"/>
      <w:autoSpaceDN w:val="0"/>
    </w:pPr>
    <w:rPr>
      <w:rFonts w:ascii="Times New Roman" w:hAnsi="Times New Roman" w:eastAsia="宋体" w:cs="Times New Roman"/>
      <w:kern w:val="2"/>
      <w:sz w:val="21"/>
      <w:szCs w:val="21"/>
      <w:lang w:val="en-US" w:eastAsia="zh-CN" w:bidi="ar-SA"/>
    </w:rPr>
  </w:style>
  <w:style w:type="paragraph" w:styleId="2">
    <w:name w:val="heading 1"/>
    <w:basedOn w:val="1"/>
    <w:next w:val="1"/>
    <w:link w:val="88"/>
    <w:autoRedefine/>
    <w:qFormat/>
    <w:uiPriority w:val="0"/>
    <w:pPr>
      <w:spacing w:before="68"/>
      <w:ind w:left="4051" w:hanging="841"/>
      <w:outlineLvl w:val="0"/>
    </w:pPr>
    <w:rPr>
      <w:rFonts w:ascii="黑体" w:hAnsi="黑体" w:eastAsia="黑体" w:cs="黑体"/>
      <w:b/>
      <w:bCs/>
      <w:sz w:val="44"/>
      <w:szCs w:val="44"/>
    </w:rPr>
  </w:style>
  <w:style w:type="paragraph" w:styleId="3">
    <w:name w:val="heading 2"/>
    <w:basedOn w:val="1"/>
    <w:link w:val="50"/>
    <w:autoRedefine/>
    <w:qFormat/>
    <w:uiPriority w:val="0"/>
    <w:pPr>
      <w:ind w:left="640" w:hanging="420"/>
      <w:outlineLvl w:val="1"/>
    </w:pPr>
    <w:rPr>
      <w:rFonts w:eastAsia="Times New Roman"/>
      <w:b/>
      <w:bCs/>
      <w:sz w:val="32"/>
      <w:szCs w:val="32"/>
    </w:rPr>
  </w:style>
  <w:style w:type="paragraph" w:styleId="4">
    <w:name w:val="heading 3"/>
    <w:basedOn w:val="1"/>
    <w:next w:val="1"/>
    <w:link w:val="85"/>
    <w:autoRedefine/>
    <w:qFormat/>
    <w:uiPriority w:val="0"/>
    <w:pPr>
      <w:ind w:left="1200" w:hanging="840"/>
      <w:outlineLvl w:val="2"/>
    </w:pPr>
    <w:rPr>
      <w:rFonts w:ascii="黑体" w:hAnsi="黑体" w:eastAsia="黑体" w:cs="黑体"/>
      <w:b/>
      <w:bCs/>
      <w:sz w:val="28"/>
      <w:szCs w:val="28"/>
    </w:rPr>
  </w:style>
  <w:style w:type="paragraph" w:styleId="5">
    <w:name w:val="heading 4"/>
    <w:basedOn w:val="1"/>
    <w:next w:val="1"/>
    <w:link w:val="87"/>
    <w:autoRedefine/>
    <w:qFormat/>
    <w:uiPriority w:val="0"/>
    <w:pPr>
      <w:spacing w:before="4"/>
      <w:outlineLvl w:val="3"/>
    </w:pPr>
    <w:rPr>
      <w:rFonts w:ascii="Symbol" w:hAnsi="Symbol" w:eastAsia="Symbol" w:cs="Symbol"/>
      <w:sz w:val="28"/>
      <w:szCs w:val="28"/>
    </w:rPr>
  </w:style>
  <w:style w:type="paragraph" w:styleId="6">
    <w:name w:val="heading 5"/>
    <w:basedOn w:val="1"/>
    <w:next w:val="1"/>
    <w:autoRedefine/>
    <w:qFormat/>
    <w:uiPriority w:val="1"/>
    <w:pPr>
      <w:outlineLvl w:val="4"/>
    </w:pPr>
    <w:rPr>
      <w:b/>
      <w:bCs/>
      <w:sz w:val="24"/>
      <w:szCs w:val="24"/>
    </w:rPr>
  </w:style>
  <w:style w:type="paragraph" w:styleId="7">
    <w:name w:val="heading 7"/>
    <w:basedOn w:val="1"/>
    <w:autoRedefine/>
    <w:qFormat/>
    <w:uiPriority w:val="1"/>
    <w:pPr>
      <w:spacing w:before="26"/>
      <w:ind w:left="620"/>
      <w:outlineLvl w:val="6"/>
    </w:pPr>
    <w:rPr>
      <w:rFonts w:ascii="宋体" w:hAnsi="宋体"/>
      <w:b/>
      <w:bCs/>
      <w:sz w:val="24"/>
      <w:szCs w:val="24"/>
    </w:rPr>
  </w:style>
  <w:style w:type="paragraph" w:styleId="8">
    <w:name w:val="heading 8"/>
    <w:basedOn w:val="1"/>
    <w:next w:val="1"/>
    <w:qFormat/>
    <w:uiPriority w:val="0"/>
    <w:pPr>
      <w:keepNext/>
      <w:keepLines/>
      <w:numPr>
        <w:ilvl w:val="7"/>
        <w:numId w:val="1"/>
      </w:numPr>
      <w:tabs>
        <w:tab w:val="left" w:pos="1440"/>
      </w:tabs>
      <w:spacing w:line="240" w:lineRule="auto"/>
      <w:ind w:left="0" w:firstLineChars="0"/>
      <w:jc w:val="center"/>
      <w:outlineLvl w:val="7"/>
    </w:pPr>
    <w:rPr>
      <w:b/>
      <w:sz w:val="21"/>
    </w:rPr>
  </w:style>
  <w:style w:type="character" w:default="1" w:styleId="40">
    <w:name w:val="Default Paragraph Font"/>
    <w:autoRedefine/>
    <w:semiHidden/>
    <w:unhideWhenUsed/>
    <w:qFormat/>
    <w:uiPriority w:val="1"/>
  </w:style>
  <w:style w:type="table" w:default="1" w:styleId="38">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9">
    <w:name w:val="toc 7"/>
    <w:basedOn w:val="1"/>
    <w:next w:val="1"/>
    <w:autoRedefine/>
    <w:unhideWhenUsed/>
    <w:qFormat/>
    <w:uiPriority w:val="39"/>
    <w:pPr>
      <w:autoSpaceDE/>
      <w:autoSpaceDN/>
      <w:ind w:left="2520" w:leftChars="1200"/>
      <w:jc w:val="both"/>
    </w:pPr>
    <w:rPr>
      <w:rFonts w:ascii="Calibri" w:hAnsi="Calibri"/>
    </w:rPr>
  </w:style>
  <w:style w:type="paragraph" w:styleId="10">
    <w:name w:val="index 8"/>
    <w:basedOn w:val="1"/>
    <w:next w:val="1"/>
    <w:autoRedefine/>
    <w:qFormat/>
    <w:uiPriority w:val="0"/>
    <w:pPr>
      <w:ind w:left="1400" w:leftChars="1400"/>
    </w:pPr>
    <w:rPr>
      <w:szCs w:val="24"/>
    </w:rPr>
  </w:style>
  <w:style w:type="paragraph" w:styleId="11">
    <w:name w:val="Normal Indent"/>
    <w:basedOn w:val="1"/>
    <w:autoRedefine/>
    <w:qFormat/>
    <w:uiPriority w:val="0"/>
    <w:pPr>
      <w:ind w:firstLine="420"/>
    </w:pPr>
    <w:rPr>
      <w:sz w:val="24"/>
      <w:szCs w:val="20"/>
    </w:rPr>
  </w:style>
  <w:style w:type="paragraph" w:styleId="12">
    <w:name w:val="caption"/>
    <w:basedOn w:val="1"/>
    <w:next w:val="1"/>
    <w:link w:val="123"/>
    <w:autoRedefine/>
    <w:qFormat/>
    <w:uiPriority w:val="35"/>
    <w:pPr>
      <w:autoSpaceDE/>
      <w:autoSpaceDN/>
      <w:jc w:val="both"/>
    </w:pPr>
    <w:rPr>
      <w:rFonts w:ascii="Arial" w:hAnsi="Arial" w:eastAsia="黑体" w:cs="Arial"/>
      <w:kern w:val="0"/>
      <w:sz w:val="20"/>
      <w:szCs w:val="20"/>
    </w:rPr>
  </w:style>
  <w:style w:type="paragraph" w:styleId="13">
    <w:name w:val="annotation text"/>
    <w:basedOn w:val="1"/>
    <w:link w:val="58"/>
    <w:autoRedefine/>
    <w:unhideWhenUsed/>
    <w:qFormat/>
    <w:uiPriority w:val="99"/>
    <w:pPr>
      <w:spacing w:line="360" w:lineRule="auto"/>
    </w:pPr>
    <w:rPr>
      <w:szCs w:val="24"/>
    </w:rPr>
  </w:style>
  <w:style w:type="paragraph" w:styleId="14">
    <w:name w:val="Body Text"/>
    <w:basedOn w:val="1"/>
    <w:link w:val="49"/>
    <w:autoRedefine/>
    <w:qFormat/>
    <w:uiPriority w:val="0"/>
    <w:rPr>
      <w:sz w:val="24"/>
      <w:szCs w:val="24"/>
    </w:rPr>
  </w:style>
  <w:style w:type="paragraph" w:styleId="15">
    <w:name w:val="Body Text Indent"/>
    <w:basedOn w:val="1"/>
    <w:link w:val="91"/>
    <w:autoRedefine/>
    <w:qFormat/>
    <w:uiPriority w:val="0"/>
    <w:pPr>
      <w:autoSpaceDE/>
      <w:autoSpaceDN/>
      <w:spacing w:after="120"/>
      <w:ind w:left="420" w:leftChars="200"/>
      <w:jc w:val="both"/>
    </w:pPr>
    <w:rPr>
      <w:szCs w:val="24"/>
    </w:rPr>
  </w:style>
  <w:style w:type="paragraph" w:styleId="16">
    <w:name w:val="Block Text"/>
    <w:basedOn w:val="1"/>
    <w:autoRedefine/>
    <w:qFormat/>
    <w:uiPriority w:val="0"/>
    <w:pPr>
      <w:autoSpaceDE/>
      <w:autoSpaceDN/>
      <w:adjustRightInd w:val="0"/>
      <w:snapToGrid w:val="0"/>
      <w:spacing w:line="500" w:lineRule="exact"/>
      <w:ind w:left="147" w:leftChars="70" w:right="160" w:rightChars="76" w:firstLine="480" w:firstLineChars="200"/>
      <w:jc w:val="both"/>
    </w:pPr>
    <w:rPr>
      <w:rFonts w:ascii="宋体" w:hAnsi="宋体"/>
      <w:kern w:val="0"/>
      <w:sz w:val="24"/>
      <w:szCs w:val="20"/>
    </w:rPr>
  </w:style>
  <w:style w:type="paragraph" w:styleId="17">
    <w:name w:val="toc 5"/>
    <w:basedOn w:val="1"/>
    <w:next w:val="1"/>
    <w:autoRedefine/>
    <w:unhideWhenUsed/>
    <w:qFormat/>
    <w:uiPriority w:val="39"/>
    <w:pPr>
      <w:autoSpaceDE/>
      <w:autoSpaceDN/>
      <w:ind w:left="1680" w:leftChars="800"/>
      <w:jc w:val="both"/>
    </w:pPr>
    <w:rPr>
      <w:rFonts w:ascii="Calibri" w:hAnsi="Calibri"/>
    </w:rPr>
  </w:style>
  <w:style w:type="paragraph" w:styleId="18">
    <w:name w:val="toc 3"/>
    <w:basedOn w:val="1"/>
    <w:next w:val="1"/>
    <w:autoRedefine/>
    <w:qFormat/>
    <w:uiPriority w:val="39"/>
    <w:pPr>
      <w:spacing w:before="160"/>
      <w:ind w:left="1262" w:hanging="421"/>
    </w:pPr>
    <w:rPr>
      <w:sz w:val="24"/>
      <w:szCs w:val="24"/>
    </w:rPr>
  </w:style>
  <w:style w:type="paragraph" w:styleId="19">
    <w:name w:val="Plain Text"/>
    <w:basedOn w:val="1"/>
    <w:link w:val="92"/>
    <w:autoRedefine/>
    <w:qFormat/>
    <w:uiPriority w:val="0"/>
    <w:pPr>
      <w:autoSpaceDE/>
      <w:autoSpaceDN/>
      <w:adjustRightInd w:val="0"/>
      <w:jc w:val="both"/>
      <w:textAlignment w:val="baseline"/>
    </w:pPr>
    <w:rPr>
      <w:rFonts w:ascii="宋体" w:hAnsi="Courier New"/>
      <w:szCs w:val="20"/>
    </w:rPr>
  </w:style>
  <w:style w:type="paragraph" w:styleId="20">
    <w:name w:val="toc 8"/>
    <w:basedOn w:val="1"/>
    <w:next w:val="1"/>
    <w:autoRedefine/>
    <w:unhideWhenUsed/>
    <w:qFormat/>
    <w:uiPriority w:val="39"/>
    <w:pPr>
      <w:autoSpaceDE/>
      <w:autoSpaceDN/>
      <w:ind w:left="2940" w:leftChars="1400"/>
      <w:jc w:val="both"/>
    </w:pPr>
    <w:rPr>
      <w:rFonts w:ascii="Calibri" w:hAnsi="Calibri"/>
    </w:rPr>
  </w:style>
  <w:style w:type="paragraph" w:styleId="21">
    <w:name w:val="Date"/>
    <w:basedOn w:val="1"/>
    <w:next w:val="1"/>
    <w:link w:val="55"/>
    <w:autoRedefine/>
    <w:unhideWhenUsed/>
    <w:qFormat/>
    <w:uiPriority w:val="99"/>
    <w:pPr>
      <w:ind w:left="100" w:leftChars="2500"/>
    </w:pPr>
  </w:style>
  <w:style w:type="paragraph" w:styleId="22">
    <w:name w:val="Body Text Indent 2"/>
    <w:basedOn w:val="1"/>
    <w:link w:val="93"/>
    <w:autoRedefine/>
    <w:qFormat/>
    <w:uiPriority w:val="0"/>
    <w:pPr>
      <w:spacing w:after="120" w:line="480" w:lineRule="auto"/>
      <w:ind w:left="420" w:leftChars="200"/>
    </w:pPr>
    <w:rPr>
      <w:kern w:val="0"/>
      <w:sz w:val="20"/>
      <w:szCs w:val="24"/>
    </w:rPr>
  </w:style>
  <w:style w:type="paragraph" w:styleId="23">
    <w:name w:val="Balloon Text"/>
    <w:basedOn w:val="1"/>
    <w:link w:val="45"/>
    <w:autoRedefine/>
    <w:unhideWhenUsed/>
    <w:qFormat/>
    <w:uiPriority w:val="0"/>
    <w:rPr>
      <w:sz w:val="18"/>
      <w:szCs w:val="18"/>
    </w:rPr>
  </w:style>
  <w:style w:type="paragraph" w:styleId="24">
    <w:name w:val="footer"/>
    <w:basedOn w:val="1"/>
    <w:link w:val="51"/>
    <w:autoRedefine/>
    <w:unhideWhenUsed/>
    <w:qFormat/>
    <w:uiPriority w:val="99"/>
    <w:pPr>
      <w:tabs>
        <w:tab w:val="center" w:pos="4153"/>
        <w:tab w:val="right" w:pos="8306"/>
      </w:tabs>
      <w:snapToGrid w:val="0"/>
    </w:pPr>
    <w:rPr>
      <w:sz w:val="18"/>
      <w:szCs w:val="18"/>
    </w:rPr>
  </w:style>
  <w:style w:type="paragraph" w:styleId="25">
    <w:name w:val="header"/>
    <w:basedOn w:val="1"/>
    <w:link w:val="44"/>
    <w:autoRedefine/>
    <w:unhideWhenUsed/>
    <w:qFormat/>
    <w:uiPriority w:val="0"/>
    <w:pPr>
      <w:pBdr>
        <w:bottom w:val="single" w:color="auto" w:sz="6" w:space="1"/>
      </w:pBdr>
      <w:tabs>
        <w:tab w:val="center" w:pos="4153"/>
        <w:tab w:val="right" w:pos="8306"/>
      </w:tabs>
      <w:snapToGrid w:val="0"/>
      <w:jc w:val="center"/>
    </w:pPr>
    <w:rPr>
      <w:sz w:val="18"/>
      <w:szCs w:val="18"/>
    </w:rPr>
  </w:style>
  <w:style w:type="paragraph" w:styleId="26">
    <w:name w:val="toc 1"/>
    <w:basedOn w:val="1"/>
    <w:next w:val="1"/>
    <w:autoRedefine/>
    <w:qFormat/>
    <w:uiPriority w:val="39"/>
    <w:pPr>
      <w:spacing w:line="360" w:lineRule="auto"/>
      <w:jc w:val="both"/>
    </w:pPr>
    <w:rPr>
      <w:sz w:val="24"/>
      <w:szCs w:val="24"/>
    </w:rPr>
  </w:style>
  <w:style w:type="paragraph" w:styleId="27">
    <w:name w:val="toc 4"/>
    <w:basedOn w:val="1"/>
    <w:next w:val="1"/>
    <w:autoRedefine/>
    <w:unhideWhenUsed/>
    <w:qFormat/>
    <w:uiPriority w:val="39"/>
    <w:pPr>
      <w:autoSpaceDE/>
      <w:autoSpaceDN/>
      <w:ind w:left="1260" w:leftChars="600"/>
      <w:jc w:val="both"/>
    </w:pPr>
    <w:rPr>
      <w:rFonts w:ascii="Calibri" w:hAnsi="Calibri"/>
    </w:rPr>
  </w:style>
  <w:style w:type="paragraph" w:styleId="28">
    <w:name w:val="index heading"/>
    <w:basedOn w:val="1"/>
    <w:next w:val="29"/>
    <w:autoRedefine/>
    <w:semiHidden/>
    <w:qFormat/>
    <w:uiPriority w:val="0"/>
    <w:pPr>
      <w:autoSpaceDE/>
      <w:autoSpaceDN/>
      <w:jc w:val="both"/>
    </w:pPr>
    <w:rPr>
      <w:rFonts w:ascii="Arial" w:hAnsi="Arial" w:cs="Arial"/>
      <w:b/>
      <w:bCs/>
      <w:kern w:val="0"/>
      <w:sz w:val="34"/>
      <w:szCs w:val="20"/>
    </w:rPr>
  </w:style>
  <w:style w:type="paragraph" w:styleId="29">
    <w:name w:val="index 1"/>
    <w:basedOn w:val="1"/>
    <w:next w:val="1"/>
    <w:autoRedefine/>
    <w:unhideWhenUsed/>
    <w:qFormat/>
    <w:uiPriority w:val="0"/>
    <w:pPr>
      <w:autoSpaceDE/>
      <w:autoSpaceDN/>
    </w:pPr>
    <w:rPr>
      <w:rFonts w:ascii="Calibri" w:hAnsi="Calibri"/>
      <w:kern w:val="0"/>
      <w:sz w:val="22"/>
      <w:szCs w:val="22"/>
      <w:lang w:eastAsia="en-US"/>
    </w:rPr>
  </w:style>
  <w:style w:type="paragraph" w:styleId="30">
    <w:name w:val="toc 6"/>
    <w:basedOn w:val="1"/>
    <w:next w:val="1"/>
    <w:autoRedefine/>
    <w:unhideWhenUsed/>
    <w:qFormat/>
    <w:uiPriority w:val="39"/>
    <w:pPr>
      <w:autoSpaceDE/>
      <w:autoSpaceDN/>
      <w:ind w:left="2100" w:leftChars="1000"/>
      <w:jc w:val="both"/>
    </w:pPr>
    <w:rPr>
      <w:rFonts w:ascii="Calibri" w:hAnsi="Calibri"/>
    </w:rPr>
  </w:style>
  <w:style w:type="paragraph" w:styleId="31">
    <w:name w:val="table of figures"/>
    <w:basedOn w:val="1"/>
    <w:next w:val="1"/>
    <w:autoRedefine/>
    <w:unhideWhenUsed/>
    <w:qFormat/>
    <w:uiPriority w:val="99"/>
    <w:pPr>
      <w:autoSpaceDE/>
      <w:autoSpaceDN/>
      <w:spacing w:line="560" w:lineRule="exact"/>
      <w:ind w:left="720" w:hanging="720" w:firstLineChars="200"/>
    </w:pPr>
    <w:rPr>
      <w:rFonts w:eastAsia="黑体"/>
      <w:smallCaps/>
      <w:sz w:val="20"/>
      <w:szCs w:val="24"/>
    </w:rPr>
  </w:style>
  <w:style w:type="paragraph" w:styleId="32">
    <w:name w:val="toc 2"/>
    <w:basedOn w:val="1"/>
    <w:next w:val="1"/>
    <w:autoRedefine/>
    <w:qFormat/>
    <w:uiPriority w:val="39"/>
    <w:pPr>
      <w:spacing w:before="159"/>
      <w:ind w:left="924" w:hanging="562"/>
    </w:pPr>
    <w:rPr>
      <w:b/>
      <w:bCs/>
      <w:sz w:val="32"/>
      <w:szCs w:val="32"/>
    </w:rPr>
  </w:style>
  <w:style w:type="paragraph" w:styleId="33">
    <w:name w:val="toc 9"/>
    <w:basedOn w:val="1"/>
    <w:next w:val="1"/>
    <w:autoRedefine/>
    <w:unhideWhenUsed/>
    <w:qFormat/>
    <w:uiPriority w:val="39"/>
    <w:pPr>
      <w:autoSpaceDE/>
      <w:autoSpaceDN/>
      <w:ind w:left="3360" w:leftChars="1600"/>
      <w:jc w:val="both"/>
    </w:pPr>
    <w:rPr>
      <w:rFonts w:ascii="Calibri" w:hAnsi="Calibri"/>
    </w:rPr>
  </w:style>
  <w:style w:type="paragraph" w:styleId="34">
    <w:name w:val="Normal (Web)"/>
    <w:basedOn w:val="1"/>
    <w:autoRedefine/>
    <w:unhideWhenUsed/>
    <w:qFormat/>
    <w:uiPriority w:val="0"/>
    <w:pPr>
      <w:widowControl/>
      <w:autoSpaceDE/>
      <w:autoSpaceDN/>
      <w:spacing w:before="100" w:beforeAutospacing="1" w:after="100" w:afterAutospacing="1"/>
    </w:pPr>
    <w:rPr>
      <w:color w:val="000000"/>
      <w:sz w:val="24"/>
      <w:szCs w:val="24"/>
    </w:rPr>
  </w:style>
  <w:style w:type="paragraph" w:styleId="35">
    <w:name w:val="annotation subject"/>
    <w:basedOn w:val="13"/>
    <w:next w:val="13"/>
    <w:link w:val="77"/>
    <w:autoRedefine/>
    <w:semiHidden/>
    <w:unhideWhenUsed/>
    <w:qFormat/>
    <w:uiPriority w:val="99"/>
    <w:pPr>
      <w:spacing w:line="240" w:lineRule="auto"/>
    </w:pPr>
    <w:rPr>
      <w:b/>
      <w:bCs/>
      <w:szCs w:val="21"/>
    </w:rPr>
  </w:style>
  <w:style w:type="paragraph" w:styleId="36">
    <w:name w:val="Body Text First Indent"/>
    <w:basedOn w:val="14"/>
    <w:link w:val="94"/>
    <w:autoRedefine/>
    <w:qFormat/>
    <w:uiPriority w:val="0"/>
    <w:pPr>
      <w:autoSpaceDE/>
      <w:autoSpaceDN/>
      <w:spacing w:after="120"/>
      <w:ind w:firstLine="420" w:firstLineChars="100"/>
      <w:jc w:val="both"/>
    </w:pPr>
    <w:rPr>
      <w:sz w:val="21"/>
    </w:rPr>
  </w:style>
  <w:style w:type="paragraph" w:styleId="37">
    <w:name w:val="Body Text First Indent 2"/>
    <w:basedOn w:val="15"/>
    <w:autoRedefine/>
    <w:qFormat/>
    <w:uiPriority w:val="0"/>
    <w:pPr>
      <w:adjustRightInd w:val="0"/>
      <w:snapToGrid w:val="0"/>
      <w:spacing w:line="360" w:lineRule="auto"/>
      <w:ind w:firstLine="420" w:firstLineChars="200"/>
      <w:jc w:val="left"/>
    </w:pPr>
    <w:rPr>
      <w:sz w:val="24"/>
    </w:rPr>
  </w:style>
  <w:style w:type="table" w:styleId="39">
    <w:name w:val="Table Grid"/>
    <w:basedOn w:val="38"/>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page number"/>
    <w:autoRedefine/>
    <w:qFormat/>
    <w:uiPriority w:val="0"/>
  </w:style>
  <w:style w:type="character" w:styleId="42">
    <w:name w:val="Hyperlink"/>
    <w:autoRedefine/>
    <w:unhideWhenUsed/>
    <w:qFormat/>
    <w:uiPriority w:val="99"/>
    <w:rPr>
      <w:color w:val="0000FF"/>
      <w:u w:val="single"/>
    </w:rPr>
  </w:style>
  <w:style w:type="character" w:styleId="43">
    <w:name w:val="annotation reference"/>
    <w:basedOn w:val="40"/>
    <w:autoRedefine/>
    <w:unhideWhenUsed/>
    <w:qFormat/>
    <w:uiPriority w:val="0"/>
    <w:rPr>
      <w:sz w:val="21"/>
      <w:szCs w:val="21"/>
    </w:rPr>
  </w:style>
  <w:style w:type="character" w:customStyle="1" w:styleId="44">
    <w:name w:val="页眉 字符"/>
    <w:link w:val="25"/>
    <w:autoRedefine/>
    <w:qFormat/>
    <w:uiPriority w:val="99"/>
    <w:rPr>
      <w:rFonts w:ascii="宋体" w:hAnsi="宋体" w:eastAsia="宋体" w:cs="宋体"/>
      <w:sz w:val="18"/>
      <w:szCs w:val="18"/>
      <w:lang w:val="zh-CN" w:eastAsia="zh-CN" w:bidi="zh-CN"/>
    </w:rPr>
  </w:style>
  <w:style w:type="character" w:customStyle="1" w:styleId="45">
    <w:name w:val="批注框文本 字符"/>
    <w:link w:val="23"/>
    <w:autoRedefine/>
    <w:qFormat/>
    <w:uiPriority w:val="0"/>
    <w:rPr>
      <w:rFonts w:ascii="宋体" w:hAnsi="宋体" w:eastAsia="宋体" w:cs="宋体"/>
      <w:sz w:val="18"/>
      <w:szCs w:val="18"/>
      <w:lang w:val="zh-CN" w:eastAsia="zh-CN" w:bidi="zh-CN"/>
    </w:rPr>
  </w:style>
  <w:style w:type="character" w:customStyle="1" w:styleId="46">
    <w:name w:val="报告 Char"/>
    <w:link w:val="47"/>
    <w:autoRedefine/>
    <w:qFormat/>
    <w:uiPriority w:val="0"/>
    <w:rPr>
      <w:rFonts w:ascii="TimesNewRoman" w:hAnsi="TimesNewRoman" w:cs="Times New Roman"/>
      <w:kern w:val="2"/>
      <w:sz w:val="24"/>
      <w:szCs w:val="24"/>
    </w:rPr>
  </w:style>
  <w:style w:type="paragraph" w:customStyle="1" w:styleId="47">
    <w:name w:val="报告"/>
    <w:basedOn w:val="1"/>
    <w:link w:val="46"/>
    <w:autoRedefine/>
    <w:qFormat/>
    <w:uiPriority w:val="0"/>
    <w:pPr>
      <w:autoSpaceDE/>
      <w:autoSpaceDN/>
      <w:adjustRightInd w:val="0"/>
      <w:spacing w:line="360" w:lineRule="auto"/>
      <w:ind w:firstLine="505"/>
      <w:jc w:val="both"/>
    </w:pPr>
    <w:rPr>
      <w:rFonts w:ascii="TimesNewRoman" w:hAnsi="TimesNewRoman"/>
      <w:sz w:val="24"/>
      <w:szCs w:val="24"/>
    </w:rPr>
  </w:style>
  <w:style w:type="character" w:customStyle="1" w:styleId="48">
    <w:name w:val="正文文本 Char1"/>
    <w:autoRedefine/>
    <w:qFormat/>
    <w:uiPriority w:val="0"/>
    <w:rPr>
      <w:rFonts w:hint="eastAsia" w:ascii="宋体" w:hAnsi="宋体" w:eastAsia="宋体" w:cs="宋体"/>
      <w:sz w:val="22"/>
      <w:szCs w:val="22"/>
      <w:lang w:val="zh-CN" w:bidi="zh-CN"/>
    </w:rPr>
  </w:style>
  <w:style w:type="character" w:customStyle="1" w:styleId="49">
    <w:name w:val="正文文本 字符"/>
    <w:link w:val="14"/>
    <w:autoRedefine/>
    <w:qFormat/>
    <w:uiPriority w:val="0"/>
    <w:rPr>
      <w:rFonts w:ascii="宋体" w:hAnsi="宋体" w:eastAsia="宋体" w:cs="宋体"/>
      <w:sz w:val="24"/>
      <w:szCs w:val="24"/>
      <w:lang w:val="zh-CN" w:eastAsia="zh-CN" w:bidi="zh-CN"/>
    </w:rPr>
  </w:style>
  <w:style w:type="character" w:customStyle="1" w:styleId="50">
    <w:name w:val="标题 2 字符"/>
    <w:link w:val="3"/>
    <w:autoRedefine/>
    <w:qFormat/>
    <w:uiPriority w:val="1"/>
    <w:rPr>
      <w:rFonts w:ascii="Calibri Light" w:hAnsi="Calibri Light" w:eastAsia="宋体" w:cs="Times New Roman"/>
      <w:b/>
      <w:kern w:val="2"/>
      <w:sz w:val="32"/>
      <w:szCs w:val="32"/>
    </w:rPr>
  </w:style>
  <w:style w:type="character" w:customStyle="1" w:styleId="51">
    <w:name w:val="页脚 字符"/>
    <w:link w:val="24"/>
    <w:autoRedefine/>
    <w:qFormat/>
    <w:uiPriority w:val="99"/>
    <w:rPr>
      <w:rFonts w:ascii="宋体" w:hAnsi="宋体" w:eastAsia="宋体" w:cs="宋体"/>
      <w:sz w:val="18"/>
      <w:szCs w:val="18"/>
      <w:lang w:val="zh-CN" w:eastAsia="zh-CN" w:bidi="zh-CN"/>
    </w:rPr>
  </w:style>
  <w:style w:type="character" w:customStyle="1" w:styleId="52">
    <w:name w:val="0 表格 Char"/>
    <w:link w:val="53"/>
    <w:autoRedefine/>
    <w:qFormat/>
    <w:uiPriority w:val="0"/>
    <w:rPr>
      <w:szCs w:val="21"/>
    </w:rPr>
  </w:style>
  <w:style w:type="paragraph" w:customStyle="1" w:styleId="53">
    <w:name w:val="0 表格"/>
    <w:basedOn w:val="1"/>
    <w:link w:val="52"/>
    <w:autoRedefine/>
    <w:qFormat/>
    <w:uiPriority w:val="0"/>
    <w:pPr>
      <w:autoSpaceDE/>
      <w:autoSpaceDN/>
      <w:jc w:val="center"/>
    </w:pPr>
    <w:rPr>
      <w:kern w:val="0"/>
      <w:sz w:val="20"/>
    </w:rPr>
  </w:style>
  <w:style w:type="character" w:styleId="54">
    <w:name w:val="Placeholder Text"/>
    <w:autoRedefine/>
    <w:semiHidden/>
    <w:qFormat/>
    <w:uiPriority w:val="99"/>
    <w:rPr>
      <w:color w:val="808080"/>
    </w:rPr>
  </w:style>
  <w:style w:type="character" w:customStyle="1" w:styleId="55">
    <w:name w:val="日期 字符"/>
    <w:link w:val="21"/>
    <w:autoRedefine/>
    <w:semiHidden/>
    <w:qFormat/>
    <w:uiPriority w:val="99"/>
    <w:rPr>
      <w:rFonts w:ascii="宋体" w:hAnsi="宋体" w:eastAsia="宋体" w:cs="宋体"/>
      <w:lang w:val="zh-CN" w:eastAsia="zh-CN" w:bidi="zh-CN"/>
    </w:rPr>
  </w:style>
  <w:style w:type="character" w:customStyle="1" w:styleId="56">
    <w:name w:val="批注文字 Char1"/>
    <w:autoRedefine/>
    <w:qFormat/>
    <w:uiPriority w:val="0"/>
    <w:rPr>
      <w:kern w:val="2"/>
      <w:sz w:val="24"/>
      <w:szCs w:val="24"/>
    </w:rPr>
  </w:style>
  <w:style w:type="character" w:customStyle="1" w:styleId="57">
    <w:name w:val="16"/>
    <w:autoRedefine/>
    <w:qFormat/>
    <w:uiPriority w:val="0"/>
    <w:rPr>
      <w:rFonts w:hint="default" w:ascii="Times New Roman" w:hAnsi="Times New Roman" w:cs="Times New Roman"/>
      <w:i/>
      <w:iCs/>
    </w:rPr>
  </w:style>
  <w:style w:type="character" w:customStyle="1" w:styleId="58">
    <w:name w:val="批注文字 字符"/>
    <w:link w:val="13"/>
    <w:autoRedefine/>
    <w:qFormat/>
    <w:uiPriority w:val="99"/>
    <w:rPr>
      <w:kern w:val="2"/>
      <w:sz w:val="21"/>
      <w:szCs w:val="24"/>
    </w:rPr>
  </w:style>
  <w:style w:type="paragraph" w:customStyle="1" w:styleId="59">
    <w:name w:val="WPSOffice手动目录 1"/>
    <w:autoRedefine/>
    <w:qFormat/>
    <w:uiPriority w:val="0"/>
    <w:rPr>
      <w:rFonts w:ascii="Times New Roman" w:hAnsi="Times New Roman" w:eastAsia="宋体" w:cs="Times New Roman"/>
      <w:lang w:val="en-US" w:eastAsia="zh-CN" w:bidi="ar-SA"/>
    </w:rPr>
  </w:style>
  <w:style w:type="paragraph" w:customStyle="1" w:styleId="60">
    <w:name w:val="Table Paragraph"/>
    <w:basedOn w:val="1"/>
    <w:autoRedefine/>
    <w:qFormat/>
    <w:uiPriority w:val="99"/>
    <w:pPr>
      <w:jc w:val="center"/>
    </w:pPr>
  </w:style>
  <w:style w:type="paragraph" w:customStyle="1" w:styleId="61">
    <w:name w:val="正文文本缩进1"/>
    <w:basedOn w:val="1"/>
    <w:autoRedefine/>
    <w:qFormat/>
    <w:uiPriority w:val="0"/>
    <w:pPr>
      <w:spacing w:line="560" w:lineRule="exact"/>
      <w:ind w:firstLine="538" w:firstLineChars="192"/>
    </w:pPr>
    <w:rPr>
      <w:rFonts w:eastAsia="楷体_GB2312"/>
      <w:kern w:val="0"/>
      <w:sz w:val="28"/>
      <w:szCs w:val="24"/>
    </w:rPr>
  </w:style>
  <w:style w:type="paragraph" w:customStyle="1" w:styleId="62">
    <w:name w:val="Bt1.1"/>
    <w:basedOn w:val="3"/>
    <w:next w:val="1"/>
    <w:autoRedefine/>
    <w:qFormat/>
    <w:uiPriority w:val="0"/>
    <w:pPr>
      <w:adjustRightInd w:val="0"/>
      <w:spacing w:line="360" w:lineRule="auto"/>
    </w:pPr>
    <w:rPr>
      <w:bCs w:val="0"/>
      <w:kern w:val="0"/>
      <w:sz w:val="28"/>
      <w:szCs w:val="20"/>
    </w:rPr>
  </w:style>
  <w:style w:type="paragraph" w:customStyle="1" w:styleId="63">
    <w:name w:val="msolistparagraph"/>
    <w:basedOn w:val="1"/>
    <w:autoRedefine/>
    <w:qFormat/>
    <w:uiPriority w:val="0"/>
    <w:pPr>
      <w:ind w:firstLine="420" w:firstLineChars="200"/>
      <w:jc w:val="both"/>
    </w:pPr>
    <w:rPr>
      <w:rFonts w:ascii="Calibri" w:hAnsi="Calibri"/>
      <w:szCs w:val="22"/>
    </w:rPr>
  </w:style>
  <w:style w:type="paragraph" w:customStyle="1" w:styleId="64">
    <w:name w:val="报告表格"/>
    <w:basedOn w:val="1"/>
    <w:autoRedefine/>
    <w:qFormat/>
    <w:uiPriority w:val="0"/>
    <w:pPr>
      <w:adjustRightInd w:val="0"/>
      <w:spacing w:before="40" w:after="40"/>
      <w:jc w:val="center"/>
      <w:textAlignment w:val="baseline"/>
    </w:pPr>
    <w:rPr>
      <w:szCs w:val="20"/>
    </w:rPr>
  </w:style>
  <w:style w:type="paragraph" w:customStyle="1" w:styleId="65">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66">
    <w:name w:val="TOC 标题1"/>
    <w:basedOn w:val="2"/>
    <w:next w:val="1"/>
    <w:autoRedefine/>
    <w:qFormat/>
    <w:uiPriority w:val="39"/>
    <w:pPr>
      <w:keepNext/>
      <w:keepLines/>
      <w:widowControl/>
      <w:autoSpaceDE/>
      <w:autoSpaceDN/>
      <w:spacing w:before="480" w:line="276" w:lineRule="auto"/>
      <w:ind w:left="0" w:firstLine="0"/>
      <w:outlineLvl w:val="9"/>
    </w:pPr>
    <w:rPr>
      <w:rFonts w:ascii="Cambria" w:hAnsi="Cambria" w:eastAsia="宋体" w:cs="Times New Roman"/>
      <w:color w:val="365F91"/>
      <w:sz w:val="28"/>
      <w:szCs w:val="28"/>
    </w:rPr>
  </w:style>
  <w:style w:type="paragraph" w:customStyle="1" w:styleId="67">
    <w:name w:val="正文1"/>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68">
    <w:name w:val="Body Text 22"/>
    <w:basedOn w:val="1"/>
    <w:autoRedefine/>
    <w:qFormat/>
    <w:uiPriority w:val="0"/>
    <w:pPr>
      <w:autoSpaceDE/>
      <w:autoSpaceDN/>
      <w:adjustRightInd w:val="0"/>
      <w:spacing w:line="440" w:lineRule="atLeast"/>
      <w:ind w:firstLine="480"/>
      <w:jc w:val="both"/>
      <w:textAlignment w:val="baseline"/>
    </w:pPr>
    <w:rPr>
      <w:rFonts w:eastAsia="仿宋_GB2312"/>
      <w:sz w:val="24"/>
      <w:szCs w:val="24"/>
    </w:rPr>
  </w:style>
  <w:style w:type="paragraph" w:customStyle="1" w:styleId="69">
    <w:name w:val="p0"/>
    <w:basedOn w:val="1"/>
    <w:autoRedefine/>
    <w:qFormat/>
    <w:uiPriority w:val="0"/>
    <w:pPr>
      <w:widowControl/>
      <w:autoSpaceDE/>
      <w:autoSpaceDN/>
      <w:jc w:val="both"/>
    </w:pPr>
  </w:style>
  <w:style w:type="paragraph" w:customStyle="1" w:styleId="70">
    <w:name w:val="图表标题"/>
    <w:basedOn w:val="1"/>
    <w:next w:val="1"/>
    <w:autoRedefine/>
    <w:qFormat/>
    <w:uiPriority w:val="0"/>
    <w:pPr>
      <w:spacing w:line="520" w:lineRule="exact"/>
      <w:ind w:firstLine="50" w:firstLineChars="50"/>
      <w:jc w:val="center"/>
    </w:pPr>
    <w:rPr>
      <w:rFonts w:hint="eastAsia" w:ascii="仿宋_GB2312" w:hAnsi="宋体" w:eastAsia="仿宋_GB2312"/>
      <w:b/>
      <w:color w:val="000000"/>
      <w:sz w:val="24"/>
      <w:szCs w:val="28"/>
    </w:rPr>
  </w:style>
  <w:style w:type="paragraph" w:customStyle="1" w:styleId="71">
    <w:name w:val="0正文"/>
    <w:basedOn w:val="61"/>
    <w:autoRedefine/>
    <w:qFormat/>
    <w:uiPriority w:val="0"/>
    <w:pPr>
      <w:spacing w:line="300" w:lineRule="auto"/>
      <w:ind w:firstLine="480" w:firstLineChars="200"/>
    </w:pPr>
    <w:rPr>
      <w:rFonts w:eastAsia="宋体"/>
      <w:sz w:val="24"/>
      <w:szCs w:val="20"/>
    </w:rPr>
  </w:style>
  <w:style w:type="paragraph" w:customStyle="1" w:styleId="72">
    <w:name w:val="WPSOffice手动目录 3"/>
    <w:autoRedefine/>
    <w:qFormat/>
    <w:uiPriority w:val="0"/>
    <w:pPr>
      <w:ind w:left="400" w:leftChars="400"/>
    </w:pPr>
    <w:rPr>
      <w:rFonts w:ascii="Times New Roman" w:hAnsi="Times New Roman" w:eastAsia="宋体" w:cs="Times New Roman"/>
      <w:lang w:val="en-US" w:eastAsia="zh-CN" w:bidi="ar-SA"/>
    </w:rPr>
  </w:style>
  <w:style w:type="paragraph" w:styleId="73">
    <w:name w:val="List Paragraph"/>
    <w:basedOn w:val="1"/>
    <w:autoRedefine/>
    <w:qFormat/>
    <w:uiPriority w:val="1"/>
    <w:pPr>
      <w:ind w:left="1622" w:hanging="601"/>
    </w:pPr>
  </w:style>
  <w:style w:type="table" w:customStyle="1" w:styleId="74">
    <w:name w:val="Table Normal"/>
    <w:autoRedefine/>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table" w:customStyle="1" w:styleId="75">
    <w:name w:val="样式1"/>
    <w:basedOn w:val="38"/>
    <w:autoRedefine/>
    <w:qFormat/>
    <w:uiPriority w:val="99"/>
    <w:pPr>
      <w:jc w:val="center"/>
    </w:pPr>
    <w:rPr>
      <w:sz w:val="21"/>
    </w:rPr>
    <w:tblPr>
      <w:tblBorders>
        <w:top w:val="single" w:color="auto" w:sz="4" w:space="0"/>
        <w:bottom w:val="single" w:color="auto" w:sz="4" w:space="0"/>
        <w:insideH w:val="single" w:color="auto" w:sz="4" w:space="0"/>
        <w:insideV w:val="single" w:color="auto" w:sz="4" w:space="0"/>
      </w:tblBorders>
    </w:tblPr>
    <w:tcPr>
      <w:vAlign w:val="center"/>
    </w:tcPr>
  </w:style>
  <w:style w:type="paragraph" w:customStyle="1" w:styleId="76">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77">
    <w:name w:val="批注主题 字符"/>
    <w:link w:val="35"/>
    <w:autoRedefine/>
    <w:semiHidden/>
    <w:qFormat/>
    <w:uiPriority w:val="99"/>
    <w:rPr>
      <w:b/>
      <w:bCs/>
      <w:kern w:val="2"/>
      <w:sz w:val="21"/>
      <w:szCs w:val="21"/>
    </w:rPr>
  </w:style>
  <w:style w:type="character" w:customStyle="1" w:styleId="78">
    <w:name w:val="无页眉 Char Char"/>
    <w:autoRedefine/>
    <w:qFormat/>
    <w:uiPriority w:val="0"/>
    <w:rPr>
      <w:rFonts w:eastAsia="仿宋_GB2312"/>
      <w:kern w:val="2"/>
      <w:sz w:val="18"/>
      <w:szCs w:val="18"/>
      <w:lang w:val="en-US" w:eastAsia="zh-CN" w:bidi="ar-SA"/>
    </w:rPr>
  </w:style>
  <w:style w:type="paragraph" w:customStyle="1" w:styleId="79">
    <w:name w:val="Char4 Char Char Char"/>
    <w:basedOn w:val="1"/>
    <w:autoRedefine/>
    <w:semiHidden/>
    <w:qFormat/>
    <w:uiPriority w:val="0"/>
    <w:pPr>
      <w:autoSpaceDE/>
      <w:autoSpaceDN/>
      <w:snapToGrid w:val="0"/>
      <w:spacing w:line="360" w:lineRule="auto"/>
      <w:ind w:firstLine="200" w:firstLineChars="200"/>
      <w:jc w:val="both"/>
    </w:pPr>
    <w:rPr>
      <w:rFonts w:ascii="宋体" w:hAnsi="宋体" w:cs="宋体"/>
      <w:szCs w:val="26"/>
    </w:rPr>
  </w:style>
  <w:style w:type="paragraph" w:customStyle="1" w:styleId="80">
    <w:name w:val="表文"/>
    <w:basedOn w:val="1"/>
    <w:autoRedefine/>
    <w:qFormat/>
    <w:uiPriority w:val="0"/>
    <w:pPr>
      <w:autoSpaceDE/>
      <w:autoSpaceDN/>
      <w:spacing w:line="360" w:lineRule="exact"/>
      <w:jc w:val="center"/>
    </w:pPr>
    <w:rPr>
      <w:rFonts w:ascii="Calibri" w:hAnsi="Calibri"/>
      <w:szCs w:val="24"/>
    </w:rPr>
  </w:style>
  <w:style w:type="table" w:customStyle="1" w:styleId="81">
    <w:name w:val="Table Normal1"/>
    <w:autoRedefine/>
    <w:semiHidden/>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paragraph" w:styleId="82">
    <w:name w:val="No Spacing"/>
    <w:link w:val="83"/>
    <w:autoRedefine/>
    <w:qFormat/>
    <w:uiPriority w:val="1"/>
    <w:pPr>
      <w:spacing w:line="360" w:lineRule="auto"/>
      <w:jc w:val="center"/>
    </w:pPr>
    <w:rPr>
      <w:rFonts w:ascii="Times New Roman" w:hAnsi="Times New Roman" w:eastAsia="宋体" w:cs="Times New Roman"/>
      <w:b/>
      <w:sz w:val="21"/>
      <w:szCs w:val="22"/>
      <w:lang w:val="en-US" w:eastAsia="zh-CN" w:bidi="ar-SA"/>
    </w:rPr>
  </w:style>
  <w:style w:type="character" w:customStyle="1" w:styleId="83">
    <w:name w:val="无间隔 字符"/>
    <w:link w:val="82"/>
    <w:autoRedefine/>
    <w:qFormat/>
    <w:uiPriority w:val="1"/>
    <w:rPr>
      <w:b/>
      <w:sz w:val="21"/>
      <w:szCs w:val="22"/>
    </w:rPr>
  </w:style>
  <w:style w:type="character" w:customStyle="1" w:styleId="84">
    <w:name w:val="书籍标题1"/>
    <w:autoRedefine/>
    <w:qFormat/>
    <w:uiPriority w:val="33"/>
    <w:rPr>
      <w:rFonts w:ascii="Times New Roman" w:hAnsi="Times New Roman" w:eastAsia="宋体"/>
      <w:bCs/>
      <w:iCs/>
      <w:spacing w:val="5"/>
      <w:sz w:val="21"/>
    </w:rPr>
  </w:style>
  <w:style w:type="character" w:customStyle="1" w:styleId="85">
    <w:name w:val="标题 3 字符"/>
    <w:link w:val="4"/>
    <w:autoRedefine/>
    <w:qFormat/>
    <w:uiPriority w:val="0"/>
    <w:rPr>
      <w:rFonts w:ascii="黑体" w:hAnsi="黑体" w:eastAsia="黑体" w:cs="黑体"/>
      <w:b/>
      <w:bCs/>
      <w:kern w:val="2"/>
      <w:sz w:val="28"/>
      <w:szCs w:val="28"/>
    </w:rPr>
  </w:style>
  <w:style w:type="paragraph" w:customStyle="1" w:styleId="86">
    <w:name w:val="表格文本"/>
    <w:next w:val="1"/>
    <w:autoRedefine/>
    <w:qFormat/>
    <w:uiPriority w:val="0"/>
    <w:pPr>
      <w:adjustRightInd w:val="0"/>
      <w:snapToGrid w:val="0"/>
      <w:jc w:val="center"/>
    </w:pPr>
    <w:rPr>
      <w:rFonts w:ascii="宋体" w:hAnsi="宋体" w:eastAsia="宋体" w:cs="Times New Roman"/>
      <w:color w:val="000000"/>
      <w:kern w:val="2"/>
      <w:sz w:val="21"/>
      <w:szCs w:val="21"/>
      <w:lang w:val="en-US" w:eastAsia="zh-CN" w:bidi="ar-SA"/>
    </w:rPr>
  </w:style>
  <w:style w:type="character" w:customStyle="1" w:styleId="87">
    <w:name w:val="标题 4 字符"/>
    <w:link w:val="5"/>
    <w:autoRedefine/>
    <w:qFormat/>
    <w:uiPriority w:val="0"/>
    <w:rPr>
      <w:rFonts w:ascii="Symbol" w:hAnsi="Symbol" w:eastAsia="Symbol" w:cs="Symbol"/>
      <w:kern w:val="2"/>
      <w:sz w:val="28"/>
      <w:szCs w:val="28"/>
    </w:rPr>
  </w:style>
  <w:style w:type="character" w:customStyle="1" w:styleId="88">
    <w:name w:val="标题 1 字符"/>
    <w:link w:val="2"/>
    <w:autoRedefine/>
    <w:qFormat/>
    <w:uiPriority w:val="0"/>
    <w:rPr>
      <w:rFonts w:ascii="黑体" w:hAnsi="黑体" w:eastAsia="黑体" w:cs="黑体"/>
      <w:b/>
      <w:bCs/>
      <w:kern w:val="2"/>
      <w:sz w:val="44"/>
      <w:szCs w:val="44"/>
    </w:rPr>
  </w:style>
  <w:style w:type="character" w:customStyle="1" w:styleId="89">
    <w:name w:val="LLLLL Char"/>
    <w:link w:val="90"/>
    <w:autoRedefine/>
    <w:qFormat/>
    <w:uiPriority w:val="0"/>
    <w:rPr>
      <w:b/>
      <w:sz w:val="24"/>
    </w:rPr>
  </w:style>
  <w:style w:type="paragraph" w:customStyle="1" w:styleId="90">
    <w:name w:val="LLLLL"/>
    <w:basedOn w:val="1"/>
    <w:link w:val="89"/>
    <w:autoRedefine/>
    <w:qFormat/>
    <w:uiPriority w:val="0"/>
    <w:pPr>
      <w:autoSpaceDE/>
      <w:autoSpaceDN/>
      <w:spacing w:line="300" w:lineRule="auto"/>
      <w:jc w:val="center"/>
    </w:pPr>
    <w:rPr>
      <w:b/>
      <w:kern w:val="0"/>
      <w:sz w:val="24"/>
      <w:szCs w:val="20"/>
    </w:rPr>
  </w:style>
  <w:style w:type="character" w:customStyle="1" w:styleId="91">
    <w:name w:val="正文文本缩进 字符"/>
    <w:link w:val="15"/>
    <w:autoRedefine/>
    <w:qFormat/>
    <w:uiPriority w:val="0"/>
    <w:rPr>
      <w:kern w:val="2"/>
      <w:sz w:val="21"/>
      <w:szCs w:val="24"/>
    </w:rPr>
  </w:style>
  <w:style w:type="character" w:customStyle="1" w:styleId="92">
    <w:name w:val="纯文本 字符"/>
    <w:link w:val="19"/>
    <w:autoRedefine/>
    <w:qFormat/>
    <w:uiPriority w:val="0"/>
    <w:rPr>
      <w:rFonts w:ascii="宋体" w:hAnsi="Courier New"/>
      <w:kern w:val="2"/>
      <w:sz w:val="21"/>
    </w:rPr>
  </w:style>
  <w:style w:type="character" w:customStyle="1" w:styleId="93">
    <w:name w:val="正文文本缩进 2 字符"/>
    <w:link w:val="22"/>
    <w:autoRedefine/>
    <w:qFormat/>
    <w:uiPriority w:val="0"/>
    <w:rPr>
      <w:szCs w:val="24"/>
    </w:rPr>
  </w:style>
  <w:style w:type="character" w:customStyle="1" w:styleId="94">
    <w:name w:val="正文文本首行缩进 字符"/>
    <w:link w:val="36"/>
    <w:autoRedefine/>
    <w:qFormat/>
    <w:uiPriority w:val="0"/>
    <w:rPr>
      <w:rFonts w:ascii="宋体" w:hAnsi="宋体" w:eastAsia="宋体" w:cs="宋体"/>
      <w:kern w:val="2"/>
      <w:sz w:val="21"/>
      <w:szCs w:val="24"/>
      <w:lang w:val="zh-CN" w:eastAsia="zh-CN" w:bidi="zh-CN"/>
    </w:rPr>
  </w:style>
  <w:style w:type="table" w:customStyle="1" w:styleId="95">
    <w:name w:val="网格型1"/>
    <w:basedOn w:val="3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6">
    <w:name w:val="Normal Indent1"/>
    <w:basedOn w:val="1"/>
    <w:autoRedefine/>
    <w:qFormat/>
    <w:uiPriority w:val="0"/>
    <w:pPr>
      <w:autoSpaceDE/>
      <w:autoSpaceDN/>
      <w:ind w:firstLine="420" w:firstLineChars="200"/>
      <w:jc w:val="both"/>
    </w:pPr>
    <w:rPr>
      <w:rFonts w:ascii="宋体"/>
      <w:kern w:val="0"/>
      <w:sz w:val="34"/>
      <w:szCs w:val="24"/>
    </w:rPr>
  </w:style>
  <w:style w:type="paragraph" w:customStyle="1" w:styleId="97">
    <w:name w:val="样式 正文 宋体 小四 + 黑色"/>
    <w:basedOn w:val="98"/>
    <w:autoRedefine/>
    <w:qFormat/>
    <w:uiPriority w:val="0"/>
    <w:pPr>
      <w:spacing w:before="0" w:after="0" w:line="300" w:lineRule="auto"/>
    </w:pPr>
    <w:rPr>
      <w:color w:val="000000"/>
      <w:szCs w:val="24"/>
    </w:rPr>
  </w:style>
  <w:style w:type="paragraph" w:customStyle="1" w:styleId="98">
    <w:name w:val="正文 宋体 小四"/>
    <w:basedOn w:val="1"/>
    <w:autoRedefine/>
    <w:qFormat/>
    <w:uiPriority w:val="0"/>
    <w:pPr>
      <w:autoSpaceDE/>
      <w:autoSpaceDN/>
      <w:spacing w:before="156" w:after="156" w:line="360" w:lineRule="auto"/>
      <w:ind w:firstLine="480" w:firstLineChars="200"/>
      <w:jc w:val="both"/>
    </w:pPr>
    <w:rPr>
      <w:rFonts w:ascii="宋体" w:hAnsi="宋体" w:cs="宋体"/>
      <w:kern w:val="0"/>
      <w:sz w:val="24"/>
      <w:szCs w:val="20"/>
    </w:rPr>
  </w:style>
  <w:style w:type="paragraph" w:customStyle="1" w:styleId="99">
    <w:name w:val="表中"/>
    <w:autoRedefine/>
    <w:qFormat/>
    <w:uiPriority w:val="0"/>
    <w:pPr>
      <w:spacing w:line="280" w:lineRule="exact"/>
      <w:jc w:val="center"/>
    </w:pPr>
    <w:rPr>
      <w:rFonts w:ascii="Times New Roman" w:hAnsi="Times New Roman" w:eastAsia="宋体" w:cs="Times New Roman"/>
      <w:color w:val="000000"/>
      <w:kern w:val="44"/>
      <w:sz w:val="18"/>
      <w:lang w:val="en-US" w:eastAsia="zh-CN" w:bidi="ar-SA"/>
    </w:rPr>
  </w:style>
  <w:style w:type="paragraph" w:customStyle="1" w:styleId="100">
    <w:name w:val="1-正文"/>
    <w:basedOn w:val="1"/>
    <w:autoRedefine/>
    <w:qFormat/>
    <w:uiPriority w:val="0"/>
    <w:pPr>
      <w:autoSpaceDE/>
      <w:autoSpaceDN/>
      <w:spacing w:line="360" w:lineRule="auto"/>
      <w:ind w:firstLine="480" w:firstLineChars="200"/>
    </w:pPr>
    <w:rPr>
      <w:rFonts w:ascii="宋体" w:hAnsi="宋体" w:cs="宋体"/>
      <w:kern w:val="0"/>
      <w:sz w:val="24"/>
      <w:szCs w:val="20"/>
    </w:rPr>
  </w:style>
  <w:style w:type="paragraph" w:customStyle="1" w:styleId="101">
    <w:name w:val="表标题"/>
    <w:basedOn w:val="1"/>
    <w:autoRedefine/>
    <w:qFormat/>
    <w:uiPriority w:val="0"/>
    <w:pPr>
      <w:tabs>
        <w:tab w:val="left" w:pos="0"/>
      </w:tabs>
      <w:autoSpaceDE/>
      <w:autoSpaceDN/>
      <w:spacing w:before="240" w:after="120"/>
      <w:jc w:val="center"/>
    </w:pPr>
    <w:rPr>
      <w:rFonts w:ascii="宋体"/>
      <w:b/>
      <w:kern w:val="0"/>
      <w:sz w:val="24"/>
      <w:szCs w:val="20"/>
    </w:rPr>
  </w:style>
  <w:style w:type="paragraph" w:customStyle="1" w:styleId="102">
    <w:name w:val="表格文字 居中"/>
    <w:basedOn w:val="1"/>
    <w:autoRedefine/>
    <w:qFormat/>
    <w:uiPriority w:val="0"/>
    <w:pPr>
      <w:autoSpaceDE/>
      <w:autoSpaceDN/>
      <w:spacing w:line="320" w:lineRule="exact"/>
      <w:jc w:val="center"/>
    </w:pPr>
    <w:rPr>
      <w:rFonts w:ascii="华文仿宋" w:hAnsi="华文仿宋" w:eastAsia="华文仿宋" w:cs="宋体"/>
      <w:kern w:val="0"/>
      <w:sz w:val="34"/>
      <w:szCs w:val="20"/>
    </w:rPr>
  </w:style>
  <w:style w:type="paragraph" w:customStyle="1" w:styleId="103">
    <w:name w:val="关万武正文"/>
    <w:basedOn w:val="1"/>
    <w:autoRedefine/>
    <w:qFormat/>
    <w:uiPriority w:val="0"/>
    <w:pPr>
      <w:widowControl/>
      <w:autoSpaceDE/>
      <w:autoSpaceDN/>
      <w:spacing w:line="560" w:lineRule="exact"/>
      <w:ind w:firstLine="560" w:firstLineChars="200"/>
      <w:jc w:val="both"/>
    </w:pPr>
    <w:rPr>
      <w:rFonts w:hAnsi="宋体"/>
      <w:kern w:val="0"/>
      <w:sz w:val="28"/>
      <w:szCs w:val="28"/>
    </w:rPr>
  </w:style>
  <w:style w:type="character" w:customStyle="1" w:styleId="104">
    <w:name w:val="fontstyle01"/>
    <w:autoRedefine/>
    <w:qFormat/>
    <w:uiPriority w:val="0"/>
    <w:rPr>
      <w:rFonts w:hint="default" w:ascii="Times New Roman" w:hAnsi="Times New Roman" w:cs="Times New Roman"/>
      <w:color w:val="000000"/>
      <w:sz w:val="28"/>
      <w:szCs w:val="28"/>
    </w:rPr>
  </w:style>
  <w:style w:type="character" w:customStyle="1" w:styleId="105">
    <w:name w:val="fontstyle11"/>
    <w:autoRedefine/>
    <w:qFormat/>
    <w:uiPriority w:val="0"/>
    <w:rPr>
      <w:rFonts w:hint="eastAsia" w:ascii="宋体" w:hAnsi="宋体" w:eastAsia="宋体" w:cs="宋体"/>
      <w:color w:val="000000"/>
      <w:sz w:val="28"/>
      <w:szCs w:val="28"/>
    </w:rPr>
  </w:style>
  <w:style w:type="paragraph" w:customStyle="1" w:styleId="106">
    <w:name w:val="Char"/>
    <w:basedOn w:val="1"/>
    <w:autoRedefine/>
    <w:qFormat/>
    <w:uiPriority w:val="0"/>
    <w:pPr>
      <w:autoSpaceDE/>
      <w:autoSpaceDN/>
      <w:snapToGrid w:val="0"/>
      <w:spacing w:line="500" w:lineRule="exact"/>
      <w:ind w:firstLine="880" w:firstLineChars="200"/>
      <w:jc w:val="both"/>
    </w:pPr>
    <w:rPr>
      <w:kern w:val="0"/>
      <w:sz w:val="24"/>
      <w:szCs w:val="20"/>
    </w:rPr>
  </w:style>
  <w:style w:type="paragraph" w:customStyle="1" w:styleId="107">
    <w:name w:val="1"/>
    <w:basedOn w:val="1"/>
    <w:autoRedefine/>
    <w:qFormat/>
    <w:uiPriority w:val="0"/>
    <w:pPr>
      <w:widowControl/>
      <w:autoSpaceDE/>
      <w:autoSpaceDN/>
      <w:spacing w:before="100" w:beforeAutospacing="1" w:after="100" w:afterAutospacing="1"/>
    </w:pPr>
    <w:rPr>
      <w:rFonts w:ascii="宋体" w:hAnsi="宋体" w:cs="宋体"/>
      <w:color w:val="511B00"/>
      <w:kern w:val="0"/>
      <w:sz w:val="18"/>
      <w:szCs w:val="18"/>
    </w:rPr>
  </w:style>
  <w:style w:type="paragraph" w:customStyle="1" w:styleId="108">
    <w:name w:val="正文修改"/>
    <w:basedOn w:val="1"/>
    <w:autoRedefine/>
    <w:qFormat/>
    <w:uiPriority w:val="0"/>
    <w:pPr>
      <w:autoSpaceDE/>
      <w:autoSpaceDN/>
      <w:spacing w:line="360" w:lineRule="auto"/>
      <w:ind w:firstLine="200" w:firstLineChars="200"/>
      <w:jc w:val="both"/>
    </w:pPr>
    <w:rPr>
      <w:rFonts w:ascii="宋体"/>
      <w:kern w:val="0"/>
      <w:sz w:val="24"/>
      <w:szCs w:val="20"/>
    </w:rPr>
  </w:style>
  <w:style w:type="paragraph" w:customStyle="1" w:styleId="109">
    <w:name w:val="小四号图表名"/>
    <w:autoRedefine/>
    <w:qFormat/>
    <w:uiPriority w:val="0"/>
    <w:pPr>
      <w:topLinePunct/>
      <w:spacing w:line="300" w:lineRule="auto"/>
      <w:jc w:val="center"/>
    </w:pPr>
    <w:rPr>
      <w:rFonts w:ascii="Times New Roman" w:hAnsi="Times New Roman" w:eastAsia="宋体" w:cs="Times New Roman"/>
      <w:kern w:val="2"/>
      <w:sz w:val="24"/>
      <w:szCs w:val="24"/>
      <w:lang w:val="en-US" w:eastAsia="zh-CN" w:bidi="ar-SA"/>
    </w:rPr>
  </w:style>
  <w:style w:type="paragraph" w:customStyle="1" w:styleId="110">
    <w:name w:val="插入表格"/>
    <w:basedOn w:val="1"/>
    <w:autoRedefine/>
    <w:qFormat/>
    <w:uiPriority w:val="0"/>
    <w:pPr>
      <w:autoSpaceDE/>
      <w:autoSpaceDN/>
      <w:jc w:val="center"/>
    </w:pPr>
    <w:rPr>
      <w:rFonts w:ascii="Calibri" w:hAnsi="Calibri"/>
      <w:kern w:val="0"/>
      <w:szCs w:val="20"/>
    </w:rPr>
  </w:style>
  <w:style w:type="paragraph" w:customStyle="1" w:styleId="111">
    <w:name w:val="表格中字"/>
    <w:basedOn w:val="1"/>
    <w:autoRedefine/>
    <w:qFormat/>
    <w:uiPriority w:val="0"/>
    <w:pPr>
      <w:autoSpaceDE/>
      <w:autoSpaceDN/>
      <w:spacing w:line="400" w:lineRule="exact"/>
      <w:jc w:val="center"/>
    </w:pPr>
    <w:rPr>
      <w:kern w:val="0"/>
      <w:sz w:val="34"/>
      <w:szCs w:val="20"/>
    </w:rPr>
  </w:style>
  <w:style w:type="paragraph" w:customStyle="1" w:styleId="112">
    <w:name w:val="图文字"/>
    <w:basedOn w:val="1"/>
    <w:autoRedefine/>
    <w:qFormat/>
    <w:uiPriority w:val="0"/>
    <w:pPr>
      <w:autoSpaceDE/>
      <w:autoSpaceDN/>
      <w:spacing w:line="400" w:lineRule="exact"/>
      <w:jc w:val="center"/>
    </w:pPr>
    <w:rPr>
      <w:kern w:val="0"/>
      <w:sz w:val="34"/>
      <w:szCs w:val="20"/>
    </w:rPr>
  </w:style>
  <w:style w:type="paragraph" w:customStyle="1" w:styleId="113">
    <w:name w:val="表内字"/>
    <w:autoRedefine/>
    <w:qFormat/>
    <w:uiPriority w:val="0"/>
    <w:pPr>
      <w:spacing w:line="360" w:lineRule="exact"/>
      <w:jc w:val="center"/>
    </w:pPr>
    <w:rPr>
      <w:rFonts w:ascii="Times New Roman" w:hAnsi="Times New Roman" w:eastAsia="宋体" w:cs="Times New Roman"/>
      <w:color w:val="000000"/>
      <w:sz w:val="21"/>
      <w:szCs w:val="22"/>
      <w:lang w:val="en-US" w:eastAsia="zh-CN" w:bidi="ar-SA"/>
    </w:rPr>
  </w:style>
  <w:style w:type="paragraph" w:customStyle="1" w:styleId="114">
    <w:name w:val="样式 样式 样式 样式 Tahoma 行距: 固定值 29 磅 + + 段前: 0 磅 段后: 0 磅 + 首行缩进:  0.8..."/>
    <w:basedOn w:val="1"/>
    <w:autoRedefine/>
    <w:qFormat/>
    <w:uiPriority w:val="0"/>
    <w:pPr>
      <w:autoSpaceDE/>
      <w:autoSpaceDN/>
      <w:adjustRightInd w:val="0"/>
      <w:snapToGrid w:val="0"/>
      <w:spacing w:line="500" w:lineRule="atLeast"/>
      <w:ind w:firstLine="561"/>
      <w:jc w:val="both"/>
    </w:pPr>
    <w:rPr>
      <w:sz w:val="28"/>
      <w:szCs w:val="20"/>
    </w:rPr>
  </w:style>
  <w:style w:type="paragraph" w:customStyle="1" w:styleId="115">
    <w:name w:val="报告书格式"/>
    <w:basedOn w:val="1"/>
    <w:autoRedefine/>
    <w:qFormat/>
    <w:uiPriority w:val="0"/>
    <w:pPr>
      <w:autoSpaceDE/>
      <w:autoSpaceDN/>
      <w:spacing w:line="360" w:lineRule="auto"/>
      <w:ind w:firstLine="200" w:firstLineChars="200"/>
      <w:jc w:val="both"/>
    </w:pPr>
    <w:rPr>
      <w:rFonts w:ascii="宋体"/>
      <w:kern w:val="0"/>
      <w:sz w:val="24"/>
      <w:szCs w:val="20"/>
      <w:lang w:val="zh-CN"/>
    </w:rPr>
  </w:style>
  <w:style w:type="table" w:customStyle="1" w:styleId="116">
    <w:name w:val="Table Normal2"/>
    <w:autoRedefine/>
    <w:semiHidden/>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117">
    <w:name w:val="网格型2"/>
    <w:basedOn w:val="3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8">
    <w:name w:val="Table Normal21"/>
    <w:autoRedefine/>
    <w:semiHidden/>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119">
    <w:name w:val="Default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20">
    <w:name w:val="样式 标题 2 + Arial + 黑体 三号 行距: 1.5 倍行距"/>
    <w:autoRedefine/>
    <w:qFormat/>
    <w:uiPriority w:val="0"/>
    <w:pPr>
      <w:tabs>
        <w:tab w:val="left" w:pos="7770"/>
      </w:tabs>
      <w:spacing w:before="120" w:after="120" w:line="360" w:lineRule="auto"/>
    </w:pPr>
    <w:rPr>
      <w:rFonts w:ascii="黑体" w:hAnsi="Times New Roman" w:eastAsia="黑体" w:cs="宋体"/>
      <w:bCs/>
      <w:sz w:val="32"/>
      <w:lang w:val="en-US" w:eastAsia="zh-CN" w:bidi="ar-SA"/>
    </w:rPr>
  </w:style>
  <w:style w:type="paragraph" w:customStyle="1" w:styleId="121">
    <w:name w:val="表格"/>
    <w:basedOn w:val="80"/>
    <w:next w:val="1"/>
    <w:link w:val="122"/>
    <w:autoRedefine/>
    <w:qFormat/>
    <w:uiPriority w:val="0"/>
    <w:pPr>
      <w:adjustRightInd w:val="0"/>
      <w:spacing w:line="240" w:lineRule="auto"/>
    </w:pPr>
    <w:rPr>
      <w:rFonts w:ascii="Times New Roman" w:hAnsi="Times New Roman"/>
      <w:color w:val="000000"/>
      <w:szCs w:val="21"/>
    </w:rPr>
  </w:style>
  <w:style w:type="character" w:customStyle="1" w:styleId="122">
    <w:name w:val="表格 字符"/>
    <w:basedOn w:val="40"/>
    <w:link w:val="121"/>
    <w:autoRedefine/>
    <w:qFormat/>
    <w:uiPriority w:val="0"/>
    <w:rPr>
      <w:color w:val="000000"/>
      <w:kern w:val="2"/>
      <w:sz w:val="21"/>
      <w:szCs w:val="21"/>
    </w:rPr>
  </w:style>
  <w:style w:type="character" w:customStyle="1" w:styleId="123">
    <w:name w:val="题注 字符"/>
    <w:basedOn w:val="40"/>
    <w:link w:val="12"/>
    <w:autoRedefine/>
    <w:qFormat/>
    <w:uiPriority w:val="35"/>
    <w:rPr>
      <w:rFonts w:ascii="Arial" w:hAnsi="Arial" w:eastAsia="黑体" w:cs="Arial"/>
    </w:rPr>
  </w:style>
  <w:style w:type="table" w:customStyle="1" w:styleId="124">
    <w:name w:val="无格式表格 21"/>
    <w:basedOn w:val="38"/>
    <w:autoRedefine/>
    <w:qFormat/>
    <w:uiPriority w:val="42"/>
    <w:rPr>
      <w:rFonts w:ascii="Calibri" w:hAnsi="Calibri"/>
      <w:kern w:val="2"/>
      <w:sz w:val="21"/>
      <w:szCs w:val="22"/>
    </w:rPr>
    <w:tblPr>
      <w:tblBorders>
        <w:top w:val="single" w:color="7F7F7F" w:sz="4" w:space="0"/>
        <w:bottom w:val="single" w:color="7F7F7F" w:sz="4" w:space="0"/>
      </w:tblBorders>
    </w:tblPr>
    <w:tblStylePr w:type="firstRow">
      <w:rPr>
        <w:b/>
        <w:bCs/>
      </w:rPr>
      <w:tcPr>
        <w:tcBorders>
          <w:bottom w:val="single" w:color="7F7F7F" w:sz="4" w:space="0"/>
        </w:tcBorders>
      </w:tcPr>
    </w:tblStylePr>
    <w:tblStylePr w:type="lastRow">
      <w:rPr>
        <w:b/>
        <w:bCs/>
      </w:rPr>
      <w:tcPr>
        <w:tcBorders>
          <w:top w:val="single" w:color="7F7F7F" w:sz="4" w:space="0"/>
        </w:tcBorders>
      </w:tcPr>
    </w:tblStylePr>
    <w:tblStylePr w:type="firstCol">
      <w:rPr>
        <w:b/>
        <w:bCs/>
      </w:rPr>
    </w:tblStylePr>
    <w:tblStylePr w:type="lastCol">
      <w:rPr>
        <w:b/>
        <w:bCs/>
      </w:rPr>
    </w:tblStylePr>
    <w:tblStylePr w:type="band1Vert">
      <w:tcPr>
        <w:tcBorders>
          <w:left w:val="single" w:color="7F7F7F" w:sz="4" w:space="0"/>
          <w:right w:val="single" w:color="7F7F7F" w:sz="4" w:space="0"/>
        </w:tcBorders>
      </w:tcPr>
    </w:tblStylePr>
    <w:tblStylePr w:type="band2Vert">
      <w:tcPr>
        <w:tcBorders>
          <w:left w:val="single" w:color="7F7F7F" w:sz="4" w:space="0"/>
          <w:right w:val="single" w:color="7F7F7F" w:sz="4" w:space="0"/>
        </w:tcBorders>
      </w:tcPr>
    </w:tblStylePr>
    <w:tblStylePr w:type="band1Horz">
      <w:tcPr>
        <w:tcBorders>
          <w:top w:val="single" w:color="7F7F7F" w:sz="4" w:space="0"/>
          <w:bottom w:val="single" w:color="7F7F7F" w:sz="4" w:space="0"/>
        </w:tcBorders>
      </w:tcPr>
    </w:tblStylePr>
  </w:style>
  <w:style w:type="paragraph" w:customStyle="1" w:styleId="125">
    <w:name w:val="默认段落字体 Para Char"/>
    <w:basedOn w:val="1"/>
    <w:autoRedefine/>
    <w:qFormat/>
    <w:uiPriority w:val="0"/>
    <w:pPr>
      <w:widowControl/>
      <w:autoSpaceDE/>
      <w:autoSpaceDN/>
    </w:pPr>
    <w:rPr>
      <w:rFonts w:ascii="宋体" w:hAnsi="宋体" w:cs="宋体"/>
      <w:kern w:val="0"/>
      <w:sz w:val="26"/>
      <w:szCs w:val="20"/>
    </w:rPr>
  </w:style>
  <w:style w:type="paragraph" w:customStyle="1" w:styleId="126">
    <w:name w:val="列出段落1"/>
    <w:basedOn w:val="1"/>
    <w:autoRedefine/>
    <w:unhideWhenUsed/>
    <w:qFormat/>
    <w:uiPriority w:val="99"/>
    <w:pPr>
      <w:autoSpaceDE/>
      <w:autoSpaceDN/>
      <w:ind w:firstLine="420" w:firstLineChars="200"/>
      <w:jc w:val="both"/>
    </w:pPr>
    <w:rPr>
      <w:szCs w:val="20"/>
    </w:rPr>
  </w:style>
  <w:style w:type="paragraph" w:customStyle="1" w:styleId="127">
    <w:name w:val="【正文】"/>
    <w:basedOn w:val="14"/>
    <w:autoRedefine/>
    <w:qFormat/>
    <w:uiPriority w:val="99"/>
    <w:pPr>
      <w:spacing w:line="440" w:lineRule="exact"/>
      <w:ind w:firstLine="544" w:firstLineChars="200"/>
    </w:pPr>
    <w:rPr>
      <w:szCs w:val="20"/>
    </w:rPr>
  </w:style>
  <w:style w:type="paragraph" w:customStyle="1" w:styleId="128">
    <w:name w:val="图表文字"/>
    <w:autoRedefine/>
    <w:qFormat/>
    <w:uiPriority w:val="0"/>
    <w:pPr>
      <w:adjustRightInd w:val="0"/>
      <w:snapToGrid w:val="0"/>
      <w:jc w:val="center"/>
    </w:pPr>
    <w:rPr>
      <w:rFonts w:ascii="Times New Roman" w:hAnsi="Times New Roman" w:eastAsia="宋体" w:cs="Times New Roman"/>
      <w:kern w:val="2"/>
      <w:sz w:val="21"/>
      <w:szCs w:val="32"/>
      <w:lang w:val="en-US" w:eastAsia="zh-CN" w:bidi="ar-SA"/>
    </w:rPr>
  </w:style>
  <w:style w:type="paragraph" w:customStyle="1" w:styleId="129">
    <w:name w:val="我的正文 Char Char Char"/>
    <w:basedOn w:val="1"/>
    <w:autoRedefine/>
    <w:qFormat/>
    <w:uiPriority w:val="0"/>
    <w:pPr>
      <w:spacing w:line="360" w:lineRule="auto"/>
      <w:ind w:firstLine="200" w:firstLineChars="200"/>
    </w:pPr>
    <w:rPr>
      <w:sz w:val="24"/>
    </w:rPr>
  </w:style>
  <w:style w:type="paragraph" w:customStyle="1" w:styleId="130">
    <w:name w:val="正文 首行缩进： 2 字符"/>
    <w:basedOn w:val="1"/>
    <w:autoRedefine/>
    <w:qFormat/>
    <w:uiPriority w:val="0"/>
    <w:pPr>
      <w:adjustRightInd w:val="0"/>
      <w:snapToGrid w:val="0"/>
      <w:spacing w:line="360" w:lineRule="auto"/>
      <w:ind w:firstLine="480" w:firstLineChars="200"/>
      <w:textAlignment w:val="center"/>
    </w:pPr>
    <w:rPr>
      <w:rFonts w:cs="宋体"/>
      <w:bCs/>
      <w:sz w:val="24"/>
    </w:rPr>
  </w:style>
  <w:style w:type="paragraph" w:customStyle="1" w:styleId="131">
    <w:name w:val="样式4"/>
    <w:basedOn w:val="1"/>
    <w:autoRedefine/>
    <w:qFormat/>
    <w:uiPriority w:val="0"/>
    <w:pPr>
      <w:jc w:val="center"/>
    </w:pPr>
    <w:rPr>
      <w:szCs w:val="20"/>
    </w:rPr>
  </w:style>
  <w:style w:type="paragraph" w:customStyle="1" w:styleId="132">
    <w:name w:val="表格内容"/>
    <w:basedOn w:val="133"/>
    <w:autoRedefine/>
    <w:qFormat/>
    <w:uiPriority w:val="0"/>
    <w:pPr>
      <w:spacing w:line="240" w:lineRule="auto"/>
    </w:pPr>
    <w:rPr>
      <w:rFonts w:eastAsia="楷体_GB2312"/>
    </w:rPr>
  </w:style>
  <w:style w:type="paragraph" w:customStyle="1" w:styleId="133">
    <w:name w:val="表格标题"/>
    <w:basedOn w:val="12"/>
    <w:autoRedefine/>
    <w:qFormat/>
    <w:uiPriority w:val="0"/>
    <w:pPr>
      <w:spacing w:line="360" w:lineRule="auto"/>
      <w:jc w:val="center"/>
    </w:pPr>
    <w:rPr>
      <w:rFonts w:ascii="黑体"/>
    </w:rPr>
  </w:style>
  <w:style w:type="paragraph" w:customStyle="1" w:styleId="134">
    <w:name w:val="1、表名"/>
    <w:basedOn w:val="1"/>
    <w:autoRedefine/>
    <w:qFormat/>
    <w:uiPriority w:val="0"/>
    <w:pPr>
      <w:jc w:val="center"/>
      <w:textAlignment w:val="baseline"/>
    </w:pPr>
    <w:rPr>
      <w:b/>
      <w:kern w:val="0"/>
    </w:rPr>
  </w:style>
  <w:style w:type="paragraph" w:customStyle="1" w:styleId="135">
    <w:name w:val="Normal_0_0"/>
    <w:autoRedefine/>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136">
    <w:name w:val="表内容1"/>
    <w:basedOn w:val="1"/>
    <w:autoRedefine/>
    <w:qFormat/>
    <w:uiPriority w:val="0"/>
    <w:pPr>
      <w:adjustRightInd w:val="0"/>
      <w:snapToGrid w:val="0"/>
      <w:jc w:val="center"/>
    </w:pPr>
  </w:style>
  <w:style w:type="paragraph" w:customStyle="1" w:styleId="137">
    <w:name w:val="Normal_0"/>
    <w:autoRedefine/>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138">
    <w:name w:val="图表内容"/>
    <w:basedOn w:val="139"/>
    <w:next w:val="1"/>
    <w:link w:val="143"/>
    <w:autoRedefine/>
    <w:qFormat/>
    <w:uiPriority w:val="0"/>
    <w:pPr>
      <w:jc w:val="both"/>
    </w:pPr>
    <w:rPr>
      <w:rFonts w:eastAsia="宋体"/>
      <w:b w:val="0"/>
    </w:rPr>
  </w:style>
  <w:style w:type="paragraph" w:customStyle="1" w:styleId="139">
    <w:name w:val="图表名"/>
    <w:basedOn w:val="1"/>
    <w:next w:val="1"/>
    <w:link w:val="144"/>
    <w:autoRedefine/>
    <w:qFormat/>
    <w:uiPriority w:val="0"/>
    <w:pPr>
      <w:jc w:val="center"/>
    </w:pPr>
    <w:rPr>
      <w:rFonts w:eastAsia="黑体"/>
      <w:b/>
      <w:kern w:val="44"/>
      <w:szCs w:val="44"/>
    </w:rPr>
  </w:style>
  <w:style w:type="table" w:customStyle="1" w:styleId="140">
    <w:name w:val="三线"/>
    <w:basedOn w:val="38"/>
    <w:autoRedefine/>
    <w:qFormat/>
    <w:uiPriority w:val="99"/>
    <w:pPr>
      <w:jc w:val="both"/>
    </w:pPr>
    <w:tblPr>
      <w:tblBorders>
        <w:top w:val="single" w:color="auto" w:sz="12" w:space="0"/>
        <w:bottom w:val="single" w:color="auto" w:sz="12" w:space="0"/>
        <w:insideH w:val="single" w:color="auto" w:sz="4" w:space="0"/>
        <w:insideV w:val="single" w:color="auto" w:sz="4" w:space="0"/>
      </w:tblBorders>
    </w:tblPr>
    <w:tcPr>
      <w:shd w:val="clear" w:color="auto" w:fill="auto"/>
      <w:vAlign w:val="center"/>
    </w:tcPr>
    <w:tblStylePr w:type="firstRow">
      <w:rPr>
        <w:b/>
      </w:rPr>
    </w:tblStylePr>
  </w:style>
  <w:style w:type="paragraph" w:customStyle="1" w:styleId="141">
    <w:name w:val="正文2"/>
    <w:autoRedefine/>
    <w:qFormat/>
    <w:uiPriority w:val="0"/>
    <w:pPr>
      <w:widowControl w:val="0"/>
      <w:adjustRightInd w:val="0"/>
      <w:spacing w:after="120" w:line="460" w:lineRule="exact"/>
      <w:ind w:left="420" w:leftChars="200"/>
      <w:jc w:val="both"/>
    </w:pPr>
    <w:rPr>
      <w:rFonts w:ascii="Times New Roman" w:hAnsi="Times New Roman" w:eastAsia="宋体" w:cs="Times New Roman"/>
      <w:color w:val="000000"/>
      <w:sz w:val="24"/>
      <w:szCs w:val="24"/>
      <w:lang w:val="en-US" w:eastAsia="zh-CN" w:bidi="ar-SA"/>
    </w:rPr>
  </w:style>
  <w:style w:type="paragraph" w:customStyle="1" w:styleId="142">
    <w:name w:val="修订1"/>
    <w:autoRedefine/>
    <w:hidden/>
    <w:unhideWhenUsed/>
    <w:qFormat/>
    <w:uiPriority w:val="99"/>
    <w:rPr>
      <w:rFonts w:ascii="Times New Roman" w:hAnsi="Times New Roman" w:eastAsia="宋体" w:cs="Times New Roman"/>
      <w:kern w:val="2"/>
      <w:sz w:val="21"/>
      <w:szCs w:val="21"/>
      <w:lang w:val="en-US" w:eastAsia="zh-CN" w:bidi="ar-SA"/>
    </w:rPr>
  </w:style>
  <w:style w:type="character" w:customStyle="1" w:styleId="143">
    <w:name w:val="图表内容 字符"/>
    <w:basedOn w:val="40"/>
    <w:link w:val="138"/>
    <w:autoRedefine/>
    <w:qFormat/>
    <w:uiPriority w:val="0"/>
    <w:rPr>
      <w:kern w:val="44"/>
      <w:sz w:val="21"/>
      <w:szCs w:val="44"/>
    </w:rPr>
  </w:style>
  <w:style w:type="character" w:customStyle="1" w:styleId="144">
    <w:name w:val="图表名 字符"/>
    <w:basedOn w:val="88"/>
    <w:link w:val="139"/>
    <w:autoRedefine/>
    <w:qFormat/>
    <w:uiPriority w:val="0"/>
    <w:rPr>
      <w:rFonts w:ascii="黑体" w:hAnsi="黑体" w:eastAsia="黑体" w:cs="黑体"/>
      <w:bCs w:val="0"/>
      <w:kern w:val="44"/>
      <w:sz w:val="21"/>
      <w:szCs w:val="44"/>
    </w:rPr>
  </w:style>
  <w:style w:type="table" w:customStyle="1" w:styleId="145">
    <w:name w:val="三线1"/>
    <w:basedOn w:val="38"/>
    <w:autoRedefine/>
    <w:qFormat/>
    <w:uiPriority w:val="99"/>
    <w:pPr>
      <w:jc w:val="both"/>
    </w:pPr>
    <w:rPr>
      <w14:ligatures w14:val="standardContextual"/>
    </w:rPr>
    <w:tblPr>
      <w:tblBorders>
        <w:top w:val="single" w:color="auto" w:sz="12" w:space="0"/>
        <w:bottom w:val="single" w:color="auto" w:sz="12" w:space="0"/>
        <w:insideH w:val="single" w:color="auto" w:sz="4" w:space="0"/>
        <w:insideV w:val="single" w:color="auto" w:sz="4" w:space="0"/>
      </w:tblBorders>
    </w:tblPr>
    <w:tcPr>
      <w:shd w:val="clear" w:color="auto" w:fill="auto"/>
      <w:vAlign w:val="center"/>
    </w:tcPr>
    <w:tblStylePr w:type="firstRow">
      <w:rPr>
        <w:b/>
      </w:rPr>
    </w:tblStylePr>
  </w:style>
  <w:style w:type="paragraph" w:customStyle="1" w:styleId="146">
    <w:name w:val="表格文字"/>
    <w:basedOn w:val="1"/>
    <w:autoRedefine/>
    <w:qFormat/>
    <w:uiPriority w:val="0"/>
    <w:pPr>
      <w:jc w:val="center"/>
      <w:textAlignment w:val="center"/>
    </w:pPr>
    <w:rPr>
      <w:snapToGrid w:val="0"/>
      <w:color w:val="000000"/>
      <w:kern w:val="0"/>
    </w:rPr>
  </w:style>
  <w:style w:type="table" w:customStyle="1" w:styleId="147">
    <w:name w:val="pp"/>
    <w:basedOn w:val="38"/>
    <w:autoRedefine/>
    <w:qFormat/>
    <w:uiPriority w:val="0"/>
    <w:pPr>
      <w:jc w:val="center"/>
    </w:pPr>
    <w:tblPr>
      <w:tblBorders>
        <w:top w:val="single" w:color="auto" w:sz="12" w:space="0"/>
        <w:bottom w:val="single" w:color="auto" w:sz="12" w:space="0"/>
        <w:insideH w:val="single" w:color="auto" w:sz="4" w:space="0"/>
        <w:insideV w:val="single" w:color="auto" w:sz="4" w:space="0"/>
      </w:tblBorders>
    </w:tblPr>
    <w:tcPr>
      <w:vAlign w:val="center"/>
    </w:tcPr>
    <w:tblStylePr w:type="firstRow">
      <w:rPr>
        <w:b/>
        <w:i w:val="0"/>
      </w:rPr>
    </w:tblStyle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3" Type="http://schemas.openxmlformats.org/officeDocument/2006/relationships/fontTable" Target="fontTable.xml"/><Relationship Id="rId72" Type="http://schemas.openxmlformats.org/officeDocument/2006/relationships/customXml" Target="../customXml/item2.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jpe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jpeg"/><Relationship Id="rId61" Type="http://schemas.openxmlformats.org/officeDocument/2006/relationships/image" Target="media/image38.jpe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wmf"/><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footer" Target="footer2.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header" Target="header1.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jpeg"/><Relationship Id="rId35" Type="http://schemas.openxmlformats.org/officeDocument/2006/relationships/image" Target="media/image12.jpeg"/><Relationship Id="rId34" Type="http://schemas.openxmlformats.org/officeDocument/2006/relationships/image" Target="media/image11.jpeg"/><Relationship Id="rId33" Type="http://schemas.openxmlformats.org/officeDocument/2006/relationships/image" Target="media/image10.jpe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er" Target="foot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jpeg"/><Relationship Id="rId25" Type="http://schemas.openxmlformats.org/officeDocument/2006/relationships/image" Target="media/image2.pn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header" Target="header9.xml"/><Relationship Id="rId21" Type="http://schemas.openxmlformats.org/officeDocument/2006/relationships/footer" Target="footer11.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header" Target="header7.xml"/><Relationship Id="rId17" Type="http://schemas.openxmlformats.org/officeDocument/2006/relationships/footer" Target="footer9.xml"/><Relationship Id="rId16" Type="http://schemas.openxmlformats.org/officeDocument/2006/relationships/header" Target="header6.xml"/><Relationship Id="rId15" Type="http://schemas.openxmlformats.org/officeDocument/2006/relationships/footer" Target="footer8.xml"/><Relationship Id="rId14" Type="http://schemas.openxmlformats.org/officeDocument/2006/relationships/header" Target="header5.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F6F4C5F-734C-4A5B-B0AD-04ECD5052A3C}">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252</Pages>
  <Words>154933</Words>
  <Characters>180958</Characters>
  <Lines>1</Lines>
  <Paragraphs>1</Paragraphs>
  <TotalTime>2</TotalTime>
  <ScaleCrop>false</ScaleCrop>
  <LinksUpToDate>false</LinksUpToDate>
  <CharactersWithSpaces>189297</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2021-04-22T06:18:00Z</dcterms:created>
  <dc:creator>XYF</dc:creator>
  <cp:lastModifiedBy>Administrator</cp:lastModifiedBy>
  <cp:lastPrinted>2021-06-28T09:37:00Z</cp:lastPrinted>
  <dcterms:modified xsi:type="dcterms:W3CDTF">2024-07-09T05:51:20Z</dcterms:modified>
  <dc:title>生态保护类</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2019-04-28T00:00:00Z</vt:filetime>
  </property>
  <property fmtid="{D5CDD505-2E9C-101B-9397-08002B2CF9AE}" pid="3" name="Creator">
    <vt:lpwstr>WPS 文字</vt:lpwstr>
  </property>
  <property fmtid="{D5CDD505-2E9C-101B-9397-08002B2CF9AE}" pid="4" name="LastSaved">
    <vt:filetime>2019-07-15T00:00:00Z</vt:filetime>
  </property>
  <property fmtid="{D5CDD505-2E9C-101B-9397-08002B2CF9AE}" pid="5" name="KSOProductBuildVer">
    <vt:lpwstr>2052-12.1.0.16417</vt:lpwstr>
  </property>
  <property fmtid="{D5CDD505-2E9C-101B-9397-08002B2CF9AE}" pid="6" name="ICV">
    <vt:lpwstr>66822B597AF94D1788F6FBF1F64DF889_13</vt:lpwstr>
  </property>
</Properties>
</file>